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CAREER REPORT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Bimsara Gunarathna</w:t>
      </w:r>
    </w:p>
    <w:p>
      <w:pPr>
        <w:spacing w:after="6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Software / DevOps Engineer  —  Deployment &amp; Scalability Team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Enactor Ltd  |  August 2023 – February 2026</w:t>
      </w:r>
    </w:p>
    <w:p>
      <w:pPr>
        <w:pBdr>
          <w:bottom w:val="single" w:color="2E75B6" w:sz="12" w:space="8"/>
        </w:pBdr>
        <w:spacing w:after="360"/>
      </w:pPr>
    </w:p>
    <w:p>
      <w:pPr>
        <w:spacing w:before="280"/>
      </w:pPr>
    </w:p>
    <w:p>
      <w:pPr>
        <w:pStyle w:val="Heading1"/>
      </w:pPr>
      <w:r>
        <w:t xml:space="preserve">Executive Summary</w:t>
      </w:r>
    </w:p>
    <w:p>
      <w:pPr>
        <w:pBdr>
          <w:bottom w:val="single" w:color="2E75B6" w:sz="6" w:space="1"/>
        </w:pBdr>
        <w:spacing w:after="160"/>
      </w:pPr>
    </w:p>
    <w:p>
      <w:r>
        <w:t xml:space="preserve">Bimsara Gunarathna joined Enactor in August 2023 as a Software/DevOps Engineer on the Deployment &amp; Scalability team, based in Galle, Sri Lanka, reporting to Tech Lead Indika Thushara Semage. Over 2.5 years he progressed from general deployment support to owning major platform engineering work — most notably the Proxmox cloud provider integration into the Enactor Deployment Portal (EDP) and the AWS-to-Proxmox environment migration strategy. By February 2026 he had authored 5 of the 6 features in the EDP v1.0.250.243 release, owned two key Confluence knowledge pages, and earned peer code-review responsibilities, placing him firmly on a senior/tech-lead trajectory.</w:t>
      </w:r>
    </w:p>
    <w:p>
      <w:pPr>
        <w:spacing w:before="280"/>
      </w:pPr>
    </w:p>
    <w:p>
      <w:pPr>
        <w:pStyle w:val="Heading1"/>
      </w:pPr>
      <w:r>
        <w:t xml:space="preserve">Profile at a Glance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Bimsara Gunarathna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bimsara.gunarathna@enactor.co.uk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&amp; Scalability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Indika Thushara Semage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Galle, Sri Lanka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August 2023 – February 2026 (active)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Mid-level → Senior-track DevOps / Platform Engineer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Specialisations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engineering, CI/CD, AWS &amp; Proxmox infrastructure, Docker, EDP development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Team &amp; Organisation</w:t>
      </w:r>
    </w:p>
    <w:p>
      <w:pPr>
        <w:pBdr>
          <w:bottom w:val="single" w:color="2E75B6" w:sz="6" w:space="1"/>
        </w:pBdr>
        <w:spacing w:after="160"/>
      </w:pPr>
    </w:p>
    <w:p>
      <w:pPr>
        <w:spacing w:before="180"/>
      </w:pPr>
    </w:p>
    <w:p>
      <w:pPr>
        <w:pStyle w:val="Heading2"/>
      </w:pPr>
      <w:r>
        <w:t xml:space="preserve">Deployment &amp; Scalability Team (Sri Lanka)</w:t>
      </w:r>
    </w:p>
    <w:p>
      <w:pPr>
        <w:pStyle w:val="ListParagraph"/>
        <w:numPr>
          <w:ilvl w:val="0"/>
          <w:numId w:val="2"/>
        </w:numPr>
      </w:pPr>
      <w:r>
        <w:t xml:space="preserve">Indika Thushara Semage — Tech Lead</w:t>
      </w:r>
    </w:p>
    <w:p>
      <w:pPr>
        <w:pStyle w:val="ListParagraph"/>
        <w:numPr>
          <w:ilvl w:val="0"/>
          <w:numId w:val="2"/>
        </w:numPr>
      </w:pPr>
      <w:r>
        <w:t xml:space="preserve">Bimsara Gunarathna — Software / DevOps Engineer</w:t>
      </w:r>
    </w:p>
    <w:p>
      <w:pPr>
        <w:pStyle w:val="ListParagraph"/>
        <w:numPr>
          <w:ilvl w:val="0"/>
          <w:numId w:val="2"/>
        </w:numPr>
      </w:pPr>
      <w:r>
        <w:t xml:space="preserve">Karikaran Vettivel — Software Engineer</w:t>
      </w:r>
    </w:p>
    <w:p>
      <w:pPr>
        <w:pStyle w:val="ListParagraph"/>
        <w:numPr>
          <w:ilvl w:val="0"/>
          <w:numId w:val="2"/>
        </w:numPr>
      </w:pPr>
      <w:r>
        <w:t xml:space="preserve">Nilucshan Siva — Associate Tech Lead (departing Feb 2026; Kubernetes SME)</w:t>
      </w:r>
    </w:p>
    <w:p>
      <w:pPr>
        <w:pStyle w:val="ListParagraph"/>
        <w:numPr>
          <w:ilvl w:val="0"/>
          <w:numId w:val="2"/>
        </w:numPr>
      </w:pPr>
      <w:r>
        <w:t xml:space="preserve">Rohan Desilva — Software Engineer</w:t>
      </w:r>
    </w:p>
    <w:p>
      <w:pPr>
        <w:pStyle w:val="ListParagraph"/>
        <w:numPr>
          <w:ilvl w:val="0"/>
          <w:numId w:val="2"/>
        </w:numPr>
      </w:pPr>
      <w:r>
        <w:t xml:space="preserve">Janaka Bandara — Manager / Infrastructure approvals</w:t>
      </w:r>
    </w:p>
    <w:p>
      <w:pPr>
        <w:pStyle w:val="ListParagraph"/>
        <w:numPr>
          <w:ilvl w:val="0"/>
          <w:numId w:val="2"/>
        </w:numPr>
      </w:pPr>
      <w:r>
        <w:t xml:space="preserve">Surath Wijesinghe — Software Engineer</w:t>
      </w:r>
    </w:p>
    <w:p>
      <w:pPr>
        <w:pStyle w:val="ListParagraph"/>
        <w:numPr>
          <w:ilvl w:val="0"/>
          <w:numId w:val="2"/>
        </w:numPr>
      </w:pPr>
      <w:r>
        <w:t xml:space="preserve">Chathuranga Nimantha — Software Engineer</w:t>
      </w:r>
    </w:p>
    <w:p>
      <w:pPr>
        <w:spacing w:before="180"/>
      </w:pPr>
    </w:p>
    <w:p>
      <w:pPr>
        <w:pStyle w:val="Heading2"/>
      </w:pPr>
      <w:r>
        <w:t xml:space="preserve">UK Stakeholders</w:t>
      </w:r>
    </w:p>
    <w:p>
      <w:pPr>
        <w:pStyle w:val="ListParagraph"/>
        <w:numPr>
          <w:ilvl w:val="0"/>
          <w:numId w:val="2"/>
        </w:numPr>
      </w:pPr>
      <w:r>
        <w:t xml:space="preserve">Ben Munro Wild — Principal Architect (Modernisation Strategy, Proxmox reviews)</w:t>
      </w:r>
    </w:p>
    <w:p>
      <w:pPr>
        <w:pStyle w:val="ListParagraph"/>
        <w:numPr>
          <w:ilvl w:val="0"/>
          <w:numId w:val="2"/>
        </w:numPr>
      </w:pPr>
      <w:r>
        <w:t xml:space="preserve">Lee Smith — Senior Engineer (authorisation codes for Proxmox integration DO-2461)</w:t>
      </w:r>
    </w:p>
    <w:p>
      <w:pPr>
        <w:pStyle w:val="ListParagraph"/>
        <w:numPr>
          <w:ilvl w:val="0"/>
          <w:numId w:val="2"/>
        </w:numPr>
      </w:pPr>
      <w:r>
        <w:t xml:space="preserve">David Hall / John Wood — UK DevOps</w:t>
      </w:r>
    </w:p>
    <w:p>
      <w:pPr>
        <w:pStyle w:val="ListParagraph"/>
        <w:numPr>
          <w:ilvl w:val="0"/>
          <w:numId w:val="2"/>
        </w:numPr>
      </w:pPr>
      <w:r>
        <w:t xml:space="preserve">Dinesh Jayasinghe — Environment operations (AWS-to-Proxmox migration coordination)</w:t>
      </w:r>
    </w:p>
    <w:p>
      <w:pPr>
        <w:spacing w:before="280"/>
      </w:pPr>
    </w:p>
    <w:p>
      <w:pPr>
        <w:pStyle w:val="Heading1"/>
      </w:pPr>
      <w:r>
        <w:t xml:space="preserve">Major Projects &amp; Milestones</w:t>
      </w:r>
    </w:p>
    <w:p>
      <w:pPr>
        <w:pBdr>
          <w:bottom w:val="single" w:color="2E75B6" w:sz="6" w:space="1"/>
        </w:pBdr>
        <w:spacing w:after="160"/>
      </w:pPr>
    </w:p>
    <w:p>
      <w:pPr>
        <w:spacing w:before="180"/>
      </w:pPr>
    </w:p>
    <w:p>
      <w:pPr>
        <w:pStyle w:val="Heading2"/>
      </w:pPr>
      <w:r>
        <w:t xml:space="preserve">1. Proxmox Cloud Provider Integration (DO-2461)  —  Oct–Nov 2025</w:t>
      </w:r>
    </w:p>
    <w:p>
      <w:r>
        <w:t xml:space="preserve">Bimsara’s flagship deliverable. Extended the Enactor Deployment Portal to support Proxmox as a full cloud provider alongside AWS, enabling on-premises VM lifecycle management through the same portal UI and Ansible automation layer. The ticket progressed through Team Lead Approval → Technical Approval → Ready For Test → Closed. Lee Smith (UK) provided authorisation codes; Ben Munro Wild endorsed a future GitOps approach in a Confluence comment on the Modernisation Strategy Report.</w:t>
      </w:r>
    </w:p>
    <w:p>
      <w:pPr>
        <w:spacing w:before="180"/>
      </w:pPr>
    </w:p>
    <w:p>
      <w:pPr>
        <w:pStyle w:val="Heading2"/>
      </w:pPr>
      <w:r>
        <w:t xml:space="preserve">2. EDP Release v1.0.250.243  —  Nov 2025</w:t>
      </w:r>
    </w:p>
    <w:p>
      <w:r>
        <w:t xml:space="preserve">Bimsara authored 5 of the 6 documented features in this release: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Ticket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DO-2461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Introduce Proxmox cloud provider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DO-2451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transaction_isolation = READ-COMMITTED for new DB deployments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DO-2412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health check for database containers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DO-2524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 Ansible linux-deploy-suite skopeo installation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DO-2316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Deployment Fails on First Attempt (Read Replica)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Fix</w:t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3. AWS-to-Proxmox EM Migration — Phase 1  (Nov 2025)</w:t>
      </w:r>
    </w:p>
    <w:p>
      <w:r>
        <w:t xml:space="preserve">Authored the Confluence page “AWS to Proxmox EM Migration — Phase 1”. Coordinated decommissioning of 161 manually-created VMs (EDIAPT-631), environment cleanup, and the Specsavers support environment implementation on Proxmox (EDIAPT-642). Dinesh Jayasinghe used the page as a reference document for environment handovers.</w:t>
      </w:r>
    </w:p>
    <w:p>
      <w:pPr>
        <w:spacing w:before="180"/>
      </w:pPr>
    </w:p>
    <w:p>
      <w:pPr>
        <w:pStyle w:val="Heading2"/>
      </w:pPr>
      <w:r>
        <w:t xml:space="preserve">4. EDP Modernisation Strategy Report</w:t>
      </w:r>
    </w:p>
    <w:p>
      <w:r>
        <w:t xml:space="preserve">Authored a Confluence page outlining the long-term modernisation roadmap for the Deployment Portal. Ben Munro Wild commented on it suggesting a GitOps approach as Phase 2 — indicating the document was taken seriously at architecture level.</w:t>
      </w:r>
    </w:p>
    <w:p>
      <w:pPr>
        <w:spacing w:before="180"/>
      </w:pPr>
    </w:p>
    <w:p>
      <w:pPr>
        <w:pStyle w:val="Heading2"/>
      </w:pPr>
      <w:r>
        <w:t xml:space="preserve">5. Power BI Deployment Integration  —  Jul 2025</w:t>
      </w:r>
    </w:p>
    <w:p>
      <w:pPr>
        <w:pStyle w:val="ListParagraph"/>
        <w:numPr>
          <w:ilvl w:val="0"/>
          <w:numId w:val="2"/>
        </w:numPr>
      </w:pPr>
      <w:r>
        <w:t xml:space="preserve">DO-2497: Deploy VM for Enactor Operational DB Access during Power BI Deployment</w:t>
      </w:r>
    </w:p>
    <w:p>
      <w:pPr>
        <w:pStyle w:val="ListParagraph"/>
        <w:numPr>
          <w:ilvl w:val="0"/>
          <w:numId w:val="2"/>
        </w:numPr>
      </w:pPr>
      <w:r>
        <w:t xml:space="preserve">DO-2501 / CORP-5851: Fix Power BI Models missing from Deployment Dashboard</w:t>
      </w:r>
    </w:p>
    <w:p>
      <w:pPr>
        <w:pStyle w:val="ListParagraph"/>
        <w:numPr>
          <w:ilvl w:val="0"/>
          <w:numId w:val="2"/>
        </w:numPr>
      </w:pPr>
      <w:r>
        <w:t xml:space="preserve">DO-2484: Add character length validation to Environment Identifier for BI Deployments</w:t>
      </w:r>
    </w:p>
    <w:p>
      <w:pPr>
        <w:spacing w:before="180"/>
      </w:pPr>
    </w:p>
    <w:p>
      <w:pPr>
        <w:pStyle w:val="Heading2"/>
      </w:pPr>
      <w:r>
        <w:t xml:space="preserve">6. Database &amp; Infrastructure Improvements  —  Dec 2024–Jul 2025</w:t>
      </w:r>
    </w:p>
    <w:p>
      <w:pPr>
        <w:pStyle w:val="ListParagraph"/>
        <w:numPr>
          <w:ilvl w:val="0"/>
          <w:numId w:val="2"/>
        </w:numPr>
      </w:pPr>
      <w:r>
        <w:t xml:space="preserve">DO-2194: Fix RDS Deployment Status Incorrect in Pre-Prod and Prod</w:t>
      </w:r>
    </w:p>
    <w:p>
      <w:pPr>
        <w:pStyle w:val="ListParagraph"/>
        <w:numPr>
          <w:ilvl w:val="0"/>
          <w:numId w:val="2"/>
        </w:numPr>
      </w:pPr>
      <w:r>
        <w:t xml:space="preserve">DO-2193: RDS Name Validation</w:t>
      </w:r>
    </w:p>
    <w:p>
      <w:pPr>
        <w:pStyle w:val="ListParagraph"/>
        <w:numPr>
          <w:ilvl w:val="0"/>
          <w:numId w:val="2"/>
        </w:numPr>
      </w:pPr>
      <w:r>
        <w:t xml:space="preserve">DO-2172: Validate Compatible Platform Version when creating a topology</w:t>
      </w:r>
    </w:p>
    <w:p>
      <w:pPr>
        <w:pStyle w:val="ListParagraph"/>
        <w:numPr>
          <w:ilvl w:val="0"/>
          <w:numId w:val="2"/>
        </w:numPr>
      </w:pPr>
      <w:r>
        <w:t xml:space="preserve">DO-2168: Improve DB deployments — stop RDS instance if read replica is associated</w:t>
      </w:r>
    </w:p>
    <w:p>
      <w:pPr>
        <w:pStyle w:val="ListParagraph"/>
        <w:numPr>
          <w:ilvl w:val="0"/>
          <w:numId w:val="2"/>
        </w:numPr>
      </w:pPr>
      <w:r>
        <w:t xml:space="preserve">DO-2474: SQL error — Illegal mix of collations in MariaDB Docker Image</w:t>
      </w:r>
    </w:p>
    <w:p>
      <w:pPr>
        <w:spacing w:before="280"/>
      </w:pPr>
    </w:p>
    <w:p>
      <w:pPr>
        <w:pStyle w:val="Heading1"/>
      </w:pPr>
      <w:r>
        <w:t xml:space="preserve">JIRA Project Coverage (150+ Tickets)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 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Representative Tickets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EDP feature development &amp; DevOps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DO-2461, 2451, 2412, 2524, 2316, 2526, 2521, 2513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EDIAPT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Infrastructure, Proxmox environments, CI/CD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EDIAPT-656, 642, 631, 606, 373, 803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Corporate infra, customer environments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CORP-6415, 6198, 6134, 6057, 5882, 6014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Docker Images, CVE remediation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SDI-571, 570, 567, 546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EoD &amp; DevOps ad-hoc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EDAT-54 (Harrods), EDAT-60 (Jenkins)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team bugs, CVE tracking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RT-1265 (Tomcat CVE-2025-24813)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installers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INS-455, INS-404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control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ENCR-579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platform (reviewer)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PLAT-26026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Customer Engagement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Customer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Engagement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Harrods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EDAT-54: 2.7.525 build deploy; EDIAPT-606: RC2.295.1569 upgrade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Frasers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CORP-6134: Docker version upgrade advisory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Works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CORP-6258: High memory utilisation on live worker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Specsavers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UK/Global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EDIAPT-642: Proxmox support environment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Magasin du Nord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Denmark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DO-2521: Routing issue for device serial number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Leroy Merlin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France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DO-2507: RC delivery; K8s environment adoption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adoption support (via Nilucshan’s K8s initiative)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Mexico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Mexico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Domain/HTTPS certificate troubleshooting (Jan–Feb 2025)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TBC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EDIAPT-714: Presales environment creation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CI/CD &amp; Jenkins Work</w:t>
      </w:r>
    </w:p>
    <w:p>
      <w:pPr>
        <w:pBdr>
          <w:bottom w:val="single" w:color="2E75B6" w:sz="6" w:space="1"/>
        </w:pBdr>
        <w:spacing w:after="160"/>
      </w:pPr>
    </w:p>
    <w:p>
      <w:pPr>
        <w:pStyle w:val="ListParagraph"/>
        <w:numPr>
          <w:ilvl w:val="0"/>
          <w:numId w:val="2"/>
        </w:numPr>
      </w:pPr>
      <w:r>
        <w:t xml:space="preserve">EDIAPT-656: Investigated and resolved Test Configuration 2_7_1784 Pipeline Job Failure (Feb 2026)</w:t>
      </w:r>
    </w:p>
    <w:p>
      <w:pPr>
        <w:pStyle w:val="ListParagraph"/>
        <w:numPr>
          <w:ilvl w:val="0"/>
          <w:numId w:val="2"/>
        </w:numPr>
      </w:pPr>
      <w:r>
        <w:t xml:space="preserve">EDIAPT-803: Reviewed Jenkins SCDT Docker image update to v2.541.2 LTS with JDK 21 (Feb 2026)</w:t>
      </w:r>
    </w:p>
    <w:p>
      <w:pPr>
        <w:pStyle w:val="ListParagraph"/>
        <w:numPr>
          <w:ilvl w:val="0"/>
          <w:numId w:val="2"/>
        </w:numPr>
      </w:pPr>
      <w:r>
        <w:t xml:space="preserve">CORP-6141: Resolved Jenkins Agent Service startup failure on Windows</w:t>
      </w:r>
    </w:p>
    <w:p>
      <w:pPr>
        <w:pStyle w:val="ListParagraph"/>
        <w:numPr>
          <w:ilvl w:val="0"/>
          <w:numId w:val="2"/>
        </w:numPr>
      </w:pPr>
      <w:r>
        <w:t xml:space="preserve">CORP-6057: Fixed ‘Create Platform Branch and Pipelines’ job to correctly generate release jobs</w:t>
      </w:r>
    </w:p>
    <w:p>
      <w:pPr>
        <w:pStyle w:val="ListParagraph"/>
        <w:numPr>
          <w:ilvl w:val="0"/>
          <w:numId w:val="2"/>
        </w:numPr>
      </w:pPr>
      <w:r>
        <w:t xml:space="preserve">DO-2429: Investigated and resolved ‘Create Platform Branch off’ job regression</w:t>
      </w:r>
    </w:p>
    <w:p>
      <w:pPr>
        <w:pStyle w:val="ListParagraph"/>
        <w:numPr>
          <w:ilvl w:val="0"/>
          <w:numId w:val="2"/>
        </w:numPr>
      </w:pPr>
      <w:r>
        <w:t xml:space="preserve">DO-2526: Authored Functional Specification for Prod Artifact &amp; Docker Cleanup Process</w:t>
      </w:r>
    </w:p>
    <w:p>
      <w:pPr>
        <w:pStyle w:val="ListParagraph"/>
        <w:numPr>
          <w:ilvl w:val="0"/>
          <w:numId w:val="2"/>
        </w:numPr>
      </w:pPr>
      <w:r>
        <w:t xml:space="preserve">May 2024: Collaborated with David Hall (UK) on Jenkins optimisation; documented findings</w:t>
      </w:r>
    </w:p>
    <w:p>
      <w:pPr>
        <w:spacing w:before="280"/>
      </w:pPr>
    </w:p>
    <w:p>
      <w:pPr>
        <w:pStyle w:val="Heading1"/>
      </w:pPr>
      <w:r>
        <w:t xml:space="preserve">Security &amp; Compliance</w:t>
      </w:r>
    </w:p>
    <w:p>
      <w:pPr>
        <w:pBdr>
          <w:bottom w:val="single" w:color="2E75B6" w:sz="6" w:space="1"/>
        </w:pBdr>
        <w:spacing w:after="160"/>
      </w:pPr>
    </w:p>
    <w:p>
      <w:pPr>
        <w:pStyle w:val="ListParagraph"/>
        <w:numPr>
          <w:ilvl w:val="0"/>
          <w:numId w:val="2"/>
        </w:numPr>
      </w:pPr>
      <w:r>
        <w:t xml:space="preserve">RT-1265 / SDI-570: Coordinated Apache Tomcat upgrade to 9.0.99+ for CVE-2025-24813</w:t>
      </w:r>
    </w:p>
    <w:p>
      <w:pPr>
        <w:pStyle w:val="ListParagraph"/>
        <w:numPr>
          <w:ilvl w:val="0"/>
          <w:numId w:val="2"/>
        </w:numPr>
      </w:pPr>
      <w:r>
        <w:t xml:space="preserve">SDI-567: Tomcat 9.0.107 vulnerability upgrade</w:t>
      </w:r>
    </w:p>
    <w:p>
      <w:pPr>
        <w:pStyle w:val="ListParagraph"/>
        <w:numPr>
          <w:ilvl w:val="0"/>
          <w:numId w:val="2"/>
        </w:numPr>
      </w:pPr>
      <w:r>
        <w:t xml:space="preserve">CORP-6014: Added Trivy report generation option to Platform Release Pipeline</w:t>
      </w:r>
    </w:p>
    <w:p>
      <w:pPr>
        <w:pStyle w:val="ListParagraph"/>
        <w:numPr>
          <w:ilvl w:val="0"/>
          <w:numId w:val="2"/>
        </w:numPr>
      </w:pPr>
      <w:r>
        <w:t xml:space="preserve">EDIAPT-787: Participated in FOREGENIX Penetration Test Questionnaire (Feb 2026)</w:t>
      </w:r>
    </w:p>
    <w:p>
      <w:pPr>
        <w:pStyle w:val="ListParagraph"/>
        <w:numPr>
          <w:ilvl w:val="0"/>
          <w:numId w:val="2"/>
        </w:numPr>
      </w:pPr>
      <w:r>
        <w:t xml:space="preserve">CORP-5882: Resolved IAM role permission gap — added s3:GetBucketLocation to EDP AssumeRole policy</w:t>
      </w:r>
    </w:p>
    <w:p>
      <w:pPr>
        <w:spacing w:before="280"/>
      </w:pPr>
    </w:p>
    <w:p>
      <w:pPr>
        <w:pStyle w:val="Heading1"/>
      </w:pPr>
      <w:r>
        <w:t xml:space="preserve">Confluence Documentation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EDP Modernisation Strategy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bimsara.gunarathna (personal)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 Munro Wild commented advocating GitOps as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to Proxmox EM Migration — 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bimsara.gunarathna (personal)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Used by Dinesh Jayasinghe for environment handover coordination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EDP Release Notes v1.0.250.243 (contributor)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Enactor — Development (owned by indika.semage)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of 6 features attributed to Bimsara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config-4_3 (contributor)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Enactor — Development (owned by karikaran.vettivel)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Referenced as contributor</w:t>
            </w:r>
          </w:p>
        </w:tc>
      </w:tr>
    </w:tbl>
    <w:p>
      <w:pPr>
        <w:spacing w:after="80"/>
      </w:pPr>
    </w:p>
    <w:p>
      <w:r>
        <w:t xml:space="preserve">Indika Semage explicitly requested Bimsara update the EDP user manual to document the Proxmox implementation (Nov 2025, still pending as of Feb 2026).</w:t>
      </w:r>
    </w:p>
    <w:p>
      <w:pPr>
        <w:spacing w:before="280"/>
      </w:pPr>
    </w:p>
    <w:p>
      <w:pPr>
        <w:pStyle w:val="Heading1"/>
      </w:pPr>
      <w:r>
        <w:t xml:space="preserve">Training &amp; Development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 2023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 Deployment Process Training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training on EDP and Enactor deployment 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2024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Jenkins Optimisation Workshop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 David Hall (UK); findings documented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 2025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 Review — RFC-3 File Repository for Settlement Files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 Indika Semage; cross-functional design input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 2025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DO-2461 Implementation Review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 Karikaran Vettivel prior to Proxmox PR merge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Proxmox Disk Usage Review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 Ben Munro Wild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Cost Optimisation Review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Suggested adding Rohan Desilva to the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Deployment Training — Session 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Organised by Nilucshan Siva; Minikube, K8s manifests, AWS EKS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Technical Environment</w:t>
      </w:r>
    </w:p>
    <w:p>
      <w:pPr>
        <w:pBdr>
          <w:bottom w:val="single" w:color="2E75B6" w:sz="6" w:space="1"/>
        </w:pBdr>
        <w:spacing w:after="160"/>
      </w:pPr>
    </w:p>
    <w:p>
      <w:pPr>
        <w:spacing w:before="180"/>
      </w:pPr>
    </w:p>
    <w:p>
      <w:pPr>
        <w:pStyle w:val="Heading2"/>
      </w:pPr>
      <w:r>
        <w:t xml:space="preserve">Workstation (Feb 2026)</w:t>
      </w:r>
    </w:p>
    <w:p>
      <w:pPr>
        <w:pStyle w:val="ListParagraph"/>
        <w:numPr>
          <w:ilvl w:val="0"/>
          <w:numId w:val="2"/>
        </w:numPr>
      </w:pPr>
      <w:r>
        <w:t xml:space="preserve">OS: Ubuntu 22.04.5 LTS, Kernel 6.8.0-59-generic (HWE), dual-boot Windows 11 Pro</w:t>
      </w:r>
    </w:p>
    <w:p>
      <w:pPr>
        <w:pStyle w:val="ListParagraph"/>
        <w:numPr>
          <w:ilvl w:val="0"/>
          <w:numId w:val="2"/>
        </w:numPr>
      </w:pPr>
      <w:r>
        <w:t xml:space="preserve">HW: HP ProBook 450 G9 — Intel i7-1255U (10 cores), 32 GB RAM, Lexar NM620 2 TB NVMe</w:t>
      </w:r>
    </w:p>
    <w:p>
      <w:pPr>
        <w:pStyle w:val="ListParagraph"/>
        <w:numPr>
          <w:ilvl w:val="0"/>
          <w:numId w:val="2"/>
        </w:numPr>
      </w:pPr>
      <w:r>
        <w:t xml:space="preserve">Known issue: Realtek RTL8852BE WiFi poor Linux driver support; laptop replacement requested</w:t>
      </w:r>
    </w:p>
    <w:p>
      <w:pPr>
        <w:spacing w:before="180"/>
      </w:pP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Jenkins (Docker agents, LTS, JDK 21 review)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Docker, Docker Swarm, MariaDB containers, ARM64 multi-arch builds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(EC2, IAM, S3, RDS, ECR), Proxmox (on-prem virtualisation)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Ansible, Enactor Deployment Portal (EDP)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&amp;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Zabbix, Trivy vulnerability scanning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MariaDB, AWS RDS (multi-AZ, read replicas)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BI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Git, SVN (legacy)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Jira, Confluence, Slack (#deployment-and-scalability-team), Google Meet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Outstanding Items (Feb 2026)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Ticket / 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EDIAPT-201 — Trigger initial platform broadcasts from EDP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Review (28+ days)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follow-up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EDIAPT-659 — Branch off Product Installers for gamma2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Review (28+ days)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follow-up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EDP User Manual — Proxmox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Requested by Indika Semage (Nov 2025)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EDIAPT-714 — CTAC presales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Unassigned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 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Laptop replacement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approval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Requested to Janaka Bandara &amp; Nishantha Abeywardena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Training — Sessions 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1 completed Feb 23,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Proxmox 161-VM cleanup &amp; data centre 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 team initiative, Feb 2026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Career Assessment</w:t>
      </w:r>
    </w:p>
    <w:p>
      <w:pPr>
        <w:pBdr>
          <w:bottom w:val="single" w:color="2E75B6" w:sz="6" w:space="1"/>
        </w:pBdr>
        <w:spacing w:after="160"/>
      </w:pPr>
    </w:p>
    <w:p>
      <w:pPr>
        <w:spacing w:before="180"/>
      </w:pPr>
    </w:p>
    <w:p>
      <w:pPr>
        <w:pStyle w:val="Heading2"/>
      </w:pPr>
      <w:r>
        <w:t xml:space="preserve">Current Level</w:t>
      </w:r>
    </w:p>
    <w:p>
      <w:r>
        <w:t xml:space="preserve">Mid-level DevOps / Platform Engineer. Trajectory: SE II → Senior within 6–12 months based on current output.</w:t>
      </w:r>
    </w:p>
    <w:p>
      <w:pPr>
        <w:spacing w:before="180"/>
      </w:pPr>
    </w:p>
    <w:p>
      <w:pPr>
        <w:pStyle w:val="Heading2"/>
      </w:pPr>
      <w:r>
        <w:t xml:space="preserve">Evidence of Senior-Track Progression</w:t>
      </w:r>
    </w:p>
    <w:p>
      <w:pPr>
        <w:pStyle w:val="ListParagraph"/>
        <w:numPr>
          <w:ilvl w:val="0"/>
          <w:numId w:val="2"/>
        </w:numPr>
      </w:pPr>
      <w:r>
        <w:t xml:space="preserve">End-to-end ownership of major platform feature (Proxmox integration)</w:t>
      </w:r>
    </w:p>
    <w:p>
      <w:pPr>
        <w:pStyle w:val="ListParagraph"/>
        <w:numPr>
          <w:ilvl w:val="0"/>
          <w:numId w:val="2"/>
        </w:numPr>
      </w:pPr>
      <w:r>
        <w:t xml:space="preserve">Documentation authored at architecture level (Modernisation Strategy commented on by principal architect)</w:t>
      </w:r>
    </w:p>
    <w:p>
      <w:pPr>
        <w:pStyle w:val="ListParagraph"/>
        <w:numPr>
          <w:ilvl w:val="0"/>
          <w:numId w:val="2"/>
        </w:numPr>
      </w:pPr>
      <w:r>
        <w:t xml:space="preserve">Peer code-review responsibilities (Karikaran requesting reviews)</w:t>
      </w:r>
    </w:p>
    <w:p>
      <w:pPr>
        <w:pStyle w:val="ListParagraph"/>
        <w:numPr>
          <w:ilvl w:val="0"/>
          <w:numId w:val="2"/>
        </w:numPr>
      </w:pPr>
      <w:r>
        <w:t xml:space="preserve">Highest individual feature contribution in EDP v1.0.250.243 release (5 of 6)</w:t>
      </w:r>
    </w:p>
    <w:p>
      <w:pPr>
        <w:pStyle w:val="ListParagraph"/>
        <w:numPr>
          <w:ilvl w:val="0"/>
          <w:numId w:val="2"/>
        </w:numPr>
      </w:pPr>
      <w:r>
        <w:t xml:space="preserve">Proactively contributes to team process improvements and cost optimisation</w:t>
      </w:r>
    </w:p>
    <w:p>
      <w:pPr>
        <w:pStyle w:val="ListParagraph"/>
        <w:numPr>
          <w:ilvl w:val="0"/>
          <w:numId w:val="2"/>
        </w:numPr>
      </w:pPr>
      <w:r>
        <w:t xml:space="preserve">Participating in external security audits (FOREGENIX pentest questionnaire)</w:t>
      </w:r>
    </w:p>
    <w:p>
      <w:pPr>
        <w:spacing w:before="180"/>
      </w:pPr>
    </w:p>
    <w:p>
      <w:pPr>
        <w:pStyle w:val="Heading2"/>
      </w:pPr>
      <w:r>
        <w:t xml:space="preserve">Core Strengths</w:t>
      </w:r>
    </w:p>
    <w:p>
      <w:pPr>
        <w:pStyle w:val="ListParagraph"/>
        <w:numPr>
          <w:ilvl w:val="0"/>
          <w:numId w:val="2"/>
        </w:numPr>
      </w:pPr>
      <w:r>
        <w:t xml:space="preserve">Deep EDP product ownership — both feature development and infrastructure layer</w:t>
      </w:r>
    </w:p>
    <w:p>
      <w:pPr>
        <w:pStyle w:val="ListParagraph"/>
        <w:numPr>
          <w:ilvl w:val="0"/>
          <w:numId w:val="2"/>
        </w:numPr>
      </w:pPr>
      <w:r>
        <w:t xml:space="preserve">Strong CI/CD expertise: Jenkins, Ansible, Docker pipeline management</w:t>
      </w:r>
    </w:p>
    <w:p>
      <w:pPr>
        <w:pStyle w:val="ListParagraph"/>
        <w:numPr>
          <w:ilvl w:val="0"/>
          <w:numId w:val="2"/>
        </w:numPr>
      </w:pPr>
      <w:r>
        <w:t xml:space="preserve">Dual AWS + Proxmox cloud competency</w:t>
      </w:r>
    </w:p>
    <w:p>
      <w:pPr>
        <w:pStyle w:val="ListParagraph"/>
        <w:numPr>
          <w:ilvl w:val="0"/>
          <w:numId w:val="2"/>
        </w:numPr>
      </w:pPr>
      <w:r>
        <w:t xml:space="preserve">Reliable delivery on tier-1 retail customer deployments (Harrods, Frasers, The Works)</w:t>
      </w:r>
    </w:p>
    <w:p>
      <w:pPr>
        <w:pStyle w:val="ListParagraph"/>
        <w:numPr>
          <w:ilvl w:val="0"/>
          <w:numId w:val="2"/>
        </w:numPr>
      </w:pPr>
      <w:r>
        <w:t xml:space="preserve">Technical writing and knowledge management</w:t>
      </w:r>
    </w:p>
    <w:p>
      <w:pPr>
        <w:spacing w:before="180"/>
      </w:pPr>
    </w:p>
    <w:p>
      <w:pPr>
        <w:pStyle w:val="Heading2"/>
      </w:pPr>
      <w:r>
        <w:t xml:space="preserve">Growth Areas</w:t>
      </w:r>
    </w:p>
    <w:p>
      <w:pPr>
        <w:pStyle w:val="ListParagraph"/>
        <w:numPr>
          <w:ilvl w:val="0"/>
          <w:numId w:val="2"/>
        </w:numPr>
      </w:pPr>
      <w:r>
        <w:t xml:space="preserve">Kubernetes — actively training; K8s with Leroy Merlin and Macys is the natural next area</w:t>
      </w:r>
    </w:p>
    <w:p>
      <w:pPr>
        <w:pStyle w:val="ListParagraph"/>
        <w:numPr>
          <w:ilvl w:val="0"/>
          <w:numId w:val="2"/>
        </w:numPr>
      </w:pPr>
      <w:r>
        <w:t xml:space="preserve">GitOps tooling (Argo CD / Flux) — Ben Munro Wild’s recommended Phase 2 direction</w:t>
      </w:r>
    </w:p>
    <w:p>
      <w:pPr>
        <w:pStyle w:val="ListParagraph"/>
        <w:numPr>
          <w:ilvl w:val="0"/>
          <w:numId w:val="2"/>
        </w:numPr>
      </w:pPr>
      <w:r>
        <w:t xml:space="preserve">Formal tech-lead responsibilities — code review and approval workflows are the next step</w:t>
      </w:r>
    </w:p>
    <w:p>
      <w:pPr>
        <w:spacing w:before="280"/>
      </w:pPr>
    </w:p>
    <w:p>
      <w:pPr>
        <w:pStyle w:val="Heading1"/>
      </w:pPr>
      <w:r>
        <w:t xml:space="preserve">Career Timeline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Period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Event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 2023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Joined Enactor; completed infrastructure deployment process training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2024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Jenkins optimisation project with David Hall (UK); findings documented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 2024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EDP DB/RDS stability improvements (DO-2168, 2172, 2193, 2194)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Jul 2025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BI deployment integration; MariaDB collation 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Aug–Sep 2025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Trivy security pipeline; identity server Ubuntu upgrade; Frasers &amp; The Works support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 2025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DO-2461 implementation review; Proxmox SSH access &amp; environment investigations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 2025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EDP v1.0.250.243 released (5 Bimsara features); Proxmox migration Phase 1 doc published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 2025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Specsavers Proxmox environment deployment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 2026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Proxmox disk usage review with Ben Munro Wild; Harrods upgrade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2026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training; AWS Cost Optimisation review; Jenkins LTS review; FOREGENIX audit</w:t>
            </w:r>
          </w:p>
        </w:tc>
      </w:tr>
    </w:tbl>
    <w:p>
      <w:pPr>
        <w:spacing w:before="480"/>
      </w:pPr>
    </w:p>
    <w:p>
      <w:pPr>
        <w:pBdr>
          <w:top w:val="single" w:color="CCCCCC" w:sz="2" w:space="6"/>
        </w:pBdr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Report compiled from Enactor Gmail inbox (bimsara.gunarathna@enactor.co.uk) — JIRA notifications, Confluence mentions, meeting invites, and internal communications spanning August 2023 to February 2026. For internal use only.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Enactor Ltd  —  Deployment &amp; Scalability Team  | 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Bimsara Gunarathna  —  Career Report at Enactor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2026-02-23T09:43:59.466Z</dcterms:created>
  <dcterms:modified xsi:type="dcterms:W3CDTF">2026-02-23T09:43:59.466Z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