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14304">
      <w:pPr>
        <w:jc w:val="center"/>
        <w:rPr>
          <w:rFonts w:hint="eastAsia" w:eastAsiaTheme="minorEastAsia"/>
          <w:sz w:val="32"/>
          <w:szCs w:val="40"/>
          <w:lang w:val="en-US" w:eastAsia="zh-CN"/>
        </w:rPr>
      </w:pPr>
      <w:r>
        <w:rPr>
          <w:rFonts w:hint="eastAsia"/>
          <w:sz w:val="32"/>
          <w:szCs w:val="40"/>
          <w:lang w:val="en-US" w:eastAsia="zh-CN"/>
        </w:rPr>
        <w:t>年度总结（让你写你在这学期的课上学到什么）</w:t>
      </w:r>
    </w:p>
    <w:p w14:paraId="2D7CD2A0">
      <w:pPr>
        <w:rPr>
          <w:rFonts w:hint="eastAsia"/>
          <w:sz w:val="32"/>
          <w:szCs w:val="40"/>
        </w:rPr>
      </w:pPr>
      <w:r>
        <w:rPr>
          <w:rFonts w:hint="eastAsia"/>
          <w:sz w:val="32"/>
          <w:szCs w:val="40"/>
        </w:rPr>
        <w:t>Reflecting on the academic writing skills from the course, I've learned the importance of crafting a compelling abstract that succinctly captures the essence of a research paper, as illustrated in the Kushlev et al. study. The ability to summarize complex ideas and findings in a structured manner is crucial. Additionally, the concept of hedging has been instrumental in learning how to present arguments with a degree of flexibility, acknowledging the multifaceted nature of research. Paraphrasing and quoting techniques were also highlighted, emphasizing the need to respect original work while integrating it into our own narratives. These skills are not just about writing a paper; they're about engaging in scholarly dialogue and contributing to the academic discourse.</w:t>
      </w:r>
    </w:p>
    <w:p w14:paraId="413C9060">
      <w:pPr>
        <w:rPr>
          <w:rFonts w:hint="eastAsia"/>
          <w:sz w:val="32"/>
          <w:szCs w:val="40"/>
        </w:rPr>
      </w:pPr>
    </w:p>
    <w:p w14:paraId="5A297817">
      <w:pPr>
        <w:rPr>
          <w:rFonts w:hint="eastAsia"/>
          <w:sz w:val="32"/>
          <w:szCs w:val="40"/>
        </w:rPr>
      </w:pPr>
    </w:p>
    <w:p w14:paraId="1CF355DF">
      <w:pPr>
        <w:rPr>
          <w:rFonts w:hint="eastAsia"/>
          <w:sz w:val="32"/>
          <w:szCs w:val="40"/>
        </w:rPr>
      </w:pPr>
    </w:p>
    <w:p w14:paraId="11DEBE27">
      <w:pPr>
        <w:rPr>
          <w:rFonts w:hint="eastAsia"/>
          <w:sz w:val="32"/>
          <w:szCs w:val="40"/>
        </w:rPr>
      </w:pPr>
    </w:p>
    <w:p w14:paraId="4215F0B3">
      <w:pPr>
        <w:rPr>
          <w:rFonts w:hint="eastAsia"/>
          <w:sz w:val="32"/>
          <w:szCs w:val="40"/>
        </w:rPr>
      </w:pPr>
    </w:p>
    <w:p w14:paraId="308874C6">
      <w:pPr>
        <w:rPr>
          <w:rFonts w:hint="eastAsia"/>
          <w:sz w:val="32"/>
          <w:szCs w:val="40"/>
        </w:rPr>
      </w:pPr>
    </w:p>
    <w:p w14:paraId="67AE1122">
      <w:pPr>
        <w:rPr>
          <w:rFonts w:hint="eastAsia"/>
          <w:sz w:val="32"/>
          <w:szCs w:val="40"/>
        </w:rPr>
      </w:pPr>
    </w:p>
    <w:p w14:paraId="07641A26">
      <w:pPr>
        <w:rPr>
          <w:rFonts w:hint="eastAsia"/>
          <w:sz w:val="32"/>
          <w:szCs w:val="40"/>
        </w:rPr>
      </w:pPr>
    </w:p>
    <w:p w14:paraId="1D6EE368">
      <w:pPr>
        <w:rPr>
          <w:rFonts w:hint="eastAsia"/>
          <w:sz w:val="32"/>
          <w:szCs w:val="40"/>
          <w:lang w:val="en-US" w:eastAsia="zh-CN"/>
        </w:rPr>
      </w:pPr>
      <w:r>
        <w:rPr>
          <w:rFonts w:hint="eastAsia"/>
          <w:sz w:val="32"/>
          <w:szCs w:val="40"/>
          <w:lang w:val="en-US" w:eastAsia="zh-CN"/>
        </w:rPr>
        <w:t>小论文-样题版</w:t>
      </w:r>
    </w:p>
    <w:p w14:paraId="56D75089"/>
    <w:p w14:paraId="3579C707">
      <w:pPr>
        <w:rPr>
          <w:rFonts w:hint="eastAsia"/>
          <w:sz w:val="24"/>
          <w:szCs w:val="32"/>
        </w:rPr>
      </w:pPr>
      <w:r>
        <w:rPr>
          <w:rFonts w:hint="eastAsia"/>
          <w:sz w:val="24"/>
          <w:szCs w:val="32"/>
        </w:rPr>
        <w:t>Part I Essay Writing (20 Points)</w:t>
      </w:r>
    </w:p>
    <w:p w14:paraId="1C15937E">
      <w:pPr>
        <w:rPr>
          <w:rFonts w:hint="eastAsia"/>
          <w:sz w:val="24"/>
          <w:szCs w:val="32"/>
        </w:rPr>
      </w:pPr>
      <w:r>
        <w:rPr>
          <w:rFonts w:hint="eastAsia"/>
          <w:sz w:val="24"/>
          <w:szCs w:val="32"/>
        </w:rPr>
        <w:t>Directions: Nowadays, young people prefer online interactions to face-to-face ones，do you agree or disagree with the statement above?</w:t>
      </w:r>
    </w:p>
    <w:p w14:paraId="6BB4F1C5">
      <w:pPr>
        <w:rPr>
          <w:sz w:val="24"/>
          <w:szCs w:val="32"/>
        </w:rPr>
      </w:pPr>
      <w:r>
        <w:rPr>
          <w:rFonts w:hint="eastAsia"/>
          <w:sz w:val="24"/>
          <w:szCs w:val="32"/>
        </w:rPr>
        <w:t>Please write an essay that contains a minimum of 300 words to state, explain, and support your opinion. Use specific reasons and examples to express your ideas.</w:t>
      </w:r>
    </w:p>
    <w:p w14:paraId="78E90840">
      <w:pPr>
        <w:rPr>
          <w:rFonts w:hint="eastAsia"/>
          <w:sz w:val="32"/>
          <w:szCs w:val="40"/>
          <w:lang w:val="en-US" w:eastAsia="zh-CN"/>
        </w:rPr>
      </w:pPr>
    </w:p>
    <w:p w14:paraId="615D8209">
      <w:pPr>
        <w:rPr>
          <w:rFonts w:hint="default"/>
          <w:sz w:val="32"/>
          <w:szCs w:val="40"/>
          <w:lang w:val="en-US" w:eastAsia="zh-CN"/>
        </w:rPr>
      </w:pPr>
      <w:r>
        <w:rPr>
          <w:rFonts w:hint="default"/>
          <w:sz w:val="32"/>
          <w:szCs w:val="40"/>
          <w:lang w:val="en-US" w:eastAsia="zh-CN"/>
        </w:rPr>
        <w:t>Title: The Shift Towards Online Interactions Among the Youth</w:t>
      </w:r>
    </w:p>
    <w:p w14:paraId="35795A64">
      <w:pPr>
        <w:rPr>
          <w:rFonts w:hint="default"/>
          <w:sz w:val="32"/>
          <w:szCs w:val="40"/>
          <w:lang w:val="en-US" w:eastAsia="zh-CN"/>
        </w:rPr>
      </w:pPr>
    </w:p>
    <w:p w14:paraId="4C8CF426">
      <w:pPr>
        <w:rPr>
          <w:rFonts w:hint="default"/>
          <w:sz w:val="32"/>
          <w:szCs w:val="40"/>
          <w:lang w:val="en-US" w:eastAsia="zh-CN"/>
        </w:rPr>
      </w:pPr>
      <w:r>
        <w:rPr>
          <w:rFonts w:hint="default"/>
          <w:sz w:val="32"/>
          <w:szCs w:val="40"/>
          <w:lang w:val="en-US" w:eastAsia="zh-CN"/>
        </w:rPr>
        <w:t>In recent times, there has been a noticeable trend where young people are increasingly opting for online interactions over traditional face-to-face communication. While some may argue that this shift is a natural progression of social dynamics in the digital age, I tend to disagree with the notion that this preference is an unequivocal reality for all young individuals.</w:t>
      </w:r>
    </w:p>
    <w:p w14:paraId="0205A81D">
      <w:pPr>
        <w:rPr>
          <w:rFonts w:hint="default"/>
          <w:sz w:val="32"/>
          <w:szCs w:val="40"/>
          <w:lang w:val="en-US" w:eastAsia="zh-CN"/>
        </w:rPr>
      </w:pPr>
    </w:p>
    <w:p w14:paraId="515AA6F8">
      <w:pPr>
        <w:rPr>
          <w:rFonts w:hint="default"/>
          <w:sz w:val="32"/>
          <w:szCs w:val="40"/>
          <w:lang w:val="en-US" w:eastAsia="zh-CN"/>
        </w:rPr>
      </w:pPr>
      <w:r>
        <w:rPr>
          <w:rFonts w:hint="default"/>
          <w:sz w:val="32"/>
          <w:szCs w:val="40"/>
          <w:lang w:val="en-US" w:eastAsia="zh-CN"/>
        </w:rPr>
        <w:t>Firstly, face-to-face interactions offer a depth and richness that online communication cannot replicate. Personal connections are often fostered through non-verbal cues such as facial expressions and body language, which are significantly diminished in online interactions. For instance, a study by Kushlev et al. (2019) found that the presence of smartphones reduced smiling during social interactions, indicating that face-to-face communication cues are important for social bonding. This suggests that young people still value and seek out in-person interactions for genuine social experiences.</w:t>
      </w:r>
    </w:p>
    <w:p w14:paraId="46911D84">
      <w:pPr>
        <w:rPr>
          <w:rFonts w:hint="default"/>
          <w:sz w:val="32"/>
          <w:szCs w:val="40"/>
          <w:lang w:val="en-US" w:eastAsia="zh-CN"/>
        </w:rPr>
      </w:pPr>
    </w:p>
    <w:p w14:paraId="2B6CC2B5">
      <w:pPr>
        <w:rPr>
          <w:rFonts w:hint="default"/>
          <w:sz w:val="32"/>
          <w:szCs w:val="40"/>
          <w:lang w:val="en-US" w:eastAsia="zh-CN"/>
        </w:rPr>
      </w:pPr>
      <w:r>
        <w:rPr>
          <w:rFonts w:hint="default"/>
          <w:sz w:val="32"/>
          <w:szCs w:val="40"/>
          <w:lang w:val="en-US" w:eastAsia="zh-CN"/>
        </w:rPr>
        <w:t>Moreover, while online interactions provide convenience and can facilitate connections across geographical distances, they often lack the personal touch and sense of community that face-to-face interactions offer. For example, many youth organizations and schools continue to organize physical events and gatherings, which are well-attended by young people, demonstrating their preference for direct social engagement.</w:t>
      </w:r>
    </w:p>
    <w:p w14:paraId="350E2BA1">
      <w:pPr>
        <w:rPr>
          <w:rFonts w:hint="default"/>
          <w:sz w:val="32"/>
          <w:szCs w:val="40"/>
          <w:lang w:val="en-US" w:eastAsia="zh-CN"/>
        </w:rPr>
      </w:pPr>
    </w:p>
    <w:p w14:paraId="5343FCF9">
      <w:pPr>
        <w:rPr>
          <w:rFonts w:hint="default"/>
          <w:sz w:val="32"/>
          <w:szCs w:val="40"/>
          <w:lang w:val="en-US" w:eastAsia="zh-CN"/>
        </w:rPr>
      </w:pPr>
      <w:r>
        <w:rPr>
          <w:rFonts w:hint="default"/>
          <w:sz w:val="32"/>
          <w:szCs w:val="40"/>
          <w:lang w:val="en-US" w:eastAsia="zh-CN"/>
        </w:rPr>
        <w:t>Additionally, the preference for online interactions may be influenced by situational factors rather than a wholesale rejection of face-to-face communication. Young people might choose online platforms for interactions when they seek anonymity or when discussing sensitive topics. However, for casual socializing and deepening friendships, face-to-face interactions remain the preferred mode, as they allow for a more authentic and engaging experience.</w:t>
      </w:r>
    </w:p>
    <w:p w14:paraId="2190FBF8">
      <w:pPr>
        <w:rPr>
          <w:rFonts w:hint="default"/>
          <w:sz w:val="32"/>
          <w:szCs w:val="40"/>
          <w:lang w:val="en-US" w:eastAsia="zh-CN"/>
        </w:rPr>
      </w:pPr>
    </w:p>
    <w:p w14:paraId="4B6A67A8">
      <w:pPr>
        <w:rPr>
          <w:rFonts w:hint="default"/>
          <w:sz w:val="32"/>
          <w:szCs w:val="40"/>
          <w:lang w:val="en-US" w:eastAsia="zh-CN"/>
        </w:rPr>
      </w:pPr>
      <w:r>
        <w:rPr>
          <w:rFonts w:hint="default"/>
          <w:sz w:val="32"/>
          <w:szCs w:val="40"/>
          <w:lang w:val="en-US" w:eastAsia="zh-CN"/>
        </w:rPr>
        <w:t>In conclusion, while it is undeniable that online interactions have become an integral part of how young people communicate, it would be an oversimplification to assert that they prefer it over face-to-face communication. The choice between online and in-person interactions is often context-dependent, and many young people continue to value the authenticity and depth that face-to-face interactions provide. Therefore, I disagree with the statement that young people prefer online interactions to face-to-face ones, as it overlooks the continued importance and preference for direct human contact in their social lives.</w:t>
      </w:r>
    </w:p>
    <w:p w14:paraId="2236450F">
      <w:pPr>
        <w:rPr>
          <w:rFonts w:hint="default"/>
          <w:sz w:val="32"/>
          <w:szCs w:val="40"/>
          <w:lang w:val="en-US" w:eastAsia="zh-CN"/>
        </w:rPr>
      </w:pPr>
    </w:p>
    <w:p w14:paraId="5BA67717">
      <w:pPr>
        <w:rPr>
          <w:rFonts w:hint="default"/>
          <w:sz w:val="32"/>
          <w:szCs w:val="40"/>
          <w:lang w:val="en-US" w:eastAsia="zh-CN"/>
        </w:rPr>
      </w:pPr>
      <w:r>
        <w:rPr>
          <w:rFonts w:hint="eastAsia"/>
          <w:sz w:val="32"/>
          <w:szCs w:val="40"/>
          <w:lang w:val="en-US" w:eastAsia="zh-CN"/>
        </w:rPr>
        <w:t>大论文</w:t>
      </w:r>
      <w:bookmarkStart w:id="0" w:name="_GoBack"/>
      <w:bookmarkEnd w:id="0"/>
    </w:p>
    <w:p w14:paraId="3DA80F8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i/>
          <w:iCs/>
          <w:kern w:val="2"/>
          <w:sz w:val="24"/>
          <w:szCs w:val="24"/>
        </w:rPr>
      </w:pPr>
      <w:r>
        <w:rPr>
          <w:rFonts w:hint="default" w:ascii="Times New Roman" w:hAnsi="Times New Roman" w:eastAsia="宋体" w:cs="Times New Roman"/>
          <w:b/>
          <w:bCs/>
          <w:kern w:val="2"/>
          <w:sz w:val="24"/>
          <w:szCs w:val="24"/>
          <w:lang w:val="en-US" w:eastAsia="zh-CN" w:bidi="ar"/>
        </w:rPr>
        <w:t xml:space="preserve"> </w:t>
      </w:r>
      <w:r>
        <w:rPr>
          <w:rFonts w:hint="default" w:ascii="Times New Roman" w:hAnsi="Times New Roman" w:eastAsia="宋体" w:cs="Times New Roman"/>
          <w:i/>
          <w:iCs/>
          <w:kern w:val="2"/>
          <w:sz w:val="24"/>
          <w:szCs w:val="24"/>
          <w:lang w:val="en-US" w:eastAsia="zh-CN" w:bidi="ar"/>
        </w:rPr>
        <w:t>Please paraphrase the following sentences based on the academic skills you have learned in our class.</w:t>
      </w:r>
    </w:p>
    <w:p w14:paraId="6DFF93C1">
      <w:pPr>
        <w:keepNext w:val="0"/>
        <w:keepLines w:val="0"/>
        <w:widowControl w:val="0"/>
        <w:suppressLineNumbers w:val="0"/>
        <w:spacing w:before="0" w:beforeAutospacing="0" w:after="0" w:afterAutospacing="0"/>
        <w:ind w:left="0" w:right="0"/>
        <w:jc w:val="both"/>
      </w:pPr>
      <w:r>
        <w:rPr>
          <w:rFonts w:hint="default" w:ascii="Times New Roman" w:hAnsi="Times New Roman" w:eastAsia="等线" w:cs="Times New Roman"/>
          <w:kern w:val="2"/>
          <w:sz w:val="21"/>
          <w:szCs w:val="21"/>
          <w:lang w:val="en-US" w:eastAsia="zh-CN" w:bidi="ar"/>
        </w:rPr>
        <w:t xml:space="preserve">In North America, friendships clearly are a matter of choice. The density of U.S. cities and the ease of communication and relocation make many friendships voluntary. But in small villages, you simply form relationships with those in your village. You don’t have the luxury of selecting friends. </w:t>
      </w:r>
    </w:p>
    <w:p w14:paraId="13966944">
      <w:pPr>
        <w:rPr>
          <w:rFonts w:hint="default"/>
          <w:sz w:val="32"/>
          <w:szCs w:val="40"/>
          <w:lang w:val="en-US" w:eastAsia="zh-CN"/>
        </w:rPr>
      </w:pPr>
      <w:r>
        <w:rPr>
          <w:rFonts w:hint="default"/>
          <w:sz w:val="32"/>
          <w:szCs w:val="40"/>
          <w:lang w:val="en-US" w:eastAsia="zh-CN"/>
        </w:rPr>
        <w:t>In North America, it is evident that forming friendships is largely a voluntary decision. The close-knit nature of communities in the United States, coupled with the convenience of communication and the mobility of residents, allows for a more selective approach to companionship. Conversely, in the context of small, tight-knit villages, relationships are inherently established with the local populace. Here, individuals do not have the option to be selective about their companionship; instead, social bonds are formed out of necessity with those who are geographically proximate.</w:t>
      </w:r>
    </w:p>
    <w:p w14:paraId="4615D983">
      <w:pPr>
        <w:rPr>
          <w:rFonts w:hint="default"/>
          <w:sz w:val="32"/>
          <w:szCs w:val="40"/>
          <w:lang w:val="en-US" w:eastAsia="zh-CN"/>
        </w:rPr>
      </w:pPr>
    </w:p>
    <w:p w14:paraId="01E24388"/>
    <w:p w14:paraId="4269D48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D5980"/>
    <w:rsid w:val="6A4610AD"/>
    <w:rsid w:val="712D162C"/>
    <w:rsid w:val="793B7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679</Words>
  <Characters>3958</Characters>
  <Lines>1</Lines>
  <Paragraphs>1</Paragraphs>
  <TotalTime>32</TotalTime>
  <ScaleCrop>false</ScaleCrop>
  <LinksUpToDate>false</LinksUpToDate>
  <CharactersWithSpaces>4613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2024-12-23T02:00:00Z</dcterms:created>
  <dc:creator>24891</dc:creator>
  <cp:lastModifiedBy>叶禹赋</cp:lastModifiedBy>
  <dcterms:modified xsi:type="dcterms:W3CDTF">2025-11-19T07:02:25Z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8C4C01853D114BAFAFEFCF424F8EED9D_12</vt:lpwstr>
  </property>
  <property fmtid="{D5CDD505-2E9C-101B-9397-08002B2CF9AE}" pid="4" name="KSOTemplateDocerSaveRecord">
    <vt:lpwstr>eyJoZGlkIjoiMjk3YWM4ZDQ0Mjc0YzY5NjgwMWQ1ZTNhMTJkN2VjZWQiLCJ1c2VySWQiOiIzNzU3MTU4OTAifQ==</vt:lpwstr>
  </property>
</Properties>
</file>