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7BCFEBC3">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"1-2" \h \u </w:instrText>
          </w:r>
          <w:r>
            <w:rPr>
              <w:rFonts w:hint="default" w:ascii="Times New Roman" w:hAnsi="Times New Roman" w:eastAsia="仿宋" w:cs="Times New Roman"/>
            </w:rPr>
            <w:fldChar w:fldCharType="separate"/>
          </w: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_Toc28591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_Toc28591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BE969BE">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_Toc9772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_Toc9772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B761D7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_Toc13403 </w:instrText>
          </w:r>
          <w:r>
            <w:rPr>
              <w:rFonts w:hint="default" w:ascii="Times New Roman" w:hAnsi="Times New Roman" w:eastAsia="仿宋" w:cs="Times New Roman"/>
              <w:sz w:val="24"/>
              <w:szCs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_Toc13403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0208B97">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_Toc16653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 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_Toc16653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21E87A1">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_Toc20646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2.1 产品方案</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_Toc20646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43DA74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_Toc11902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2.2 产品质量要求</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_Toc11902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64053BF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_Toc9731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2.3 工艺流程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_Toc9731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3CA6A7D">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_Toc10108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2.4 物料衡算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_Toc10108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1E08F4C5">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_Toc22887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2.5 设备计算与选型</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_Toc22887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12</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FF2DE2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_Toc5462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2.6 水、电、汽计算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_Toc5462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14B7A6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_Toc20073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2.7 车间工艺布置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_Toc20073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1A18AA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_Toc30398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2.8 车间劳动定员</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_Toc30398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DE0F230">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_Toc29830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 非工艺设计</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_Toc29830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DC1975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_Toc647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3.1 门窗、地面、墙面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_Toc647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17</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AF74CE3">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_Toc16230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3.3 原料仓库及产品仓库</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_Toc16230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19</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F41AEAE">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_Toc7510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 环境保护</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_Toc7510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BAF4BB9">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_Toc10829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4.1 三废的处理</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_Toc10829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20</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3A85A9BC">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_Toc8648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4.2 噪声的控制</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_Toc8648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1A62EA5">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_Toc26659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 车间成本核算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_Toc26659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1987E3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_Toc14047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5.1 生产成本</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_Toc14047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21</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A3953C7">
          <w:pPr>
            <w:pStyle w:val="10"/>
            <w:tabs>
              <w:tab w:val="right" w:leader="dot" w:pos="8788"/>
            </w:tabs>
            <w:ind w:left="0" w:leftChars="0" w:firstLine="0" w:firstLineChars="0"/>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_Toc11449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5.2 总成本核算</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_Toc11449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420F624">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_Toc3757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6 结论</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_Toc3757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23</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0CE1680B">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_Toc8502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kern w:val="2"/>
              <w:sz w:val="24"/>
              <w:szCs w:val="24"/>
              <w:lang w:val="en-US" w:eastAsia="zh-CN" w:bidi="ar-SA"/>
            </w:rPr>
            <w:t>【参 考 文 献】</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_Toc8502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24</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4ED74996">
          <w:pPr>
            <w:pStyle w:val="9"/>
            <w:tabs>
              <w:tab w:val="right" w:leader="dot" w:pos="8788"/>
            </w:tabs>
            <w:rPr>
              <w:rFonts w:ascii="Times New Roman" w:hAnsi="Times New Roman" w:eastAsia="仿宋" w:cs="Times New Roman"/>
              <w:sz w:val="24"/>
              <w:szCs w:val="24"/>
            </w:rPr>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_Toc30624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致 谢</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_Toc30624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25</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55F35B1B">
          <w:pPr>
            <w:pStyle w:val="9"/>
            <w:tabs>
              <w:tab w:val="right" w:leader="dot" w:pos="8788"/>
            </w:tabs>
          </w:pPr>
          <w:r>
            <w:rPr>
              <w:rFonts w:hint="default" w:ascii="Times New Roman" w:hAnsi="Times New Roman" w:eastAsia="仿宋" w:cs="Times New Roman"/>
              <w:sz w:val="24"/>
              <w:szCs w:val="24"/>
            </w:rPr>
            <w:fldChar w:fldCharType="begin"/>
          </w:r>
          <w:r>
            <w:rPr>
              <w:rFonts w:hint="default" w:ascii="Times New Roman" w:hAnsi="Times New Roman" w:eastAsia="仿宋" w:cs="Times New Roman"/>
              <w:sz w:val="24"/>
              <w:szCs w:val="24"/>
            </w:rPr>
            <w:instrText xml:space="preserve"> HYPERLINK \l _Toc25798 </w:instrText>
          </w:r>
          <w:r>
            <w:rPr>
              <w:rFonts w:hint="default" w:ascii="Times New Roman" w:hAnsi="Times New Roman" w:eastAsia="仿宋" w:cs="Times New Roman"/>
              <w:sz w:val="24"/>
              <w:szCs w:val="24"/>
            </w:rPr>
            <w:fldChar w:fldCharType="separate"/>
          </w:r>
          <w:r>
            <w:rPr>
              <w:rFonts w:hint="eastAsia" w:ascii="Times New Roman" w:hAnsi="Times New Roman" w:eastAsia="仿宋" w:cs="Times New Roman"/>
              <w:bCs/>
              <w:sz w:val="24"/>
              <w:szCs w:val="24"/>
              <w:lang w:val="en-US" w:eastAsia="zh-CN"/>
            </w:rPr>
            <w:t>附录 工程图纸</w:t>
          </w:r>
          <w:r>
            <w:rPr>
              <w:rFonts w:ascii="Times New Roman" w:hAnsi="Times New Roman" w:eastAsia="仿宋" w:cs="Times New Roman"/>
              <w:sz w:val="24"/>
              <w:szCs w:val="24"/>
            </w:rPr>
            <w:tab/>
          </w:r>
          <w:r>
            <w:rPr>
              <w:rFonts w:ascii="Times New Roman" w:hAnsi="Times New Roman" w:eastAsia="仿宋" w:cs="Times New Roman"/>
              <w:sz w:val="24"/>
              <w:szCs w:val="24"/>
            </w:rPr>
            <w:fldChar w:fldCharType="begin"/>
          </w:r>
          <w:r>
            <w:rPr>
              <w:rFonts w:ascii="Times New Roman" w:hAnsi="Times New Roman" w:eastAsia="仿宋" w:cs="Times New Roman"/>
              <w:sz w:val="24"/>
              <w:szCs w:val="24"/>
            </w:rPr>
            <w:instrText xml:space="preserve"> PAGEREF _Toc25798 \h </w:instrText>
          </w:r>
          <w:r>
            <w:rPr>
              <w:rFonts w:ascii="Times New Roman" w:hAnsi="Times New Roman" w:eastAsia="仿宋" w:cs="Times New Roman"/>
              <w:sz w:val="24"/>
              <w:szCs w:val="24"/>
            </w:rPr>
            <w:fldChar w:fldCharType="separate"/>
          </w:r>
          <w:r>
            <w:rPr>
              <w:rFonts w:ascii="Times New Roman" w:hAnsi="Times New Roman" w:eastAsia="仿宋" w:cs="Times New Roman"/>
              <w:sz w:val="24"/>
              <w:szCs w:val="24"/>
            </w:rPr>
            <w:t>26</w:t>
          </w:r>
          <w:r>
            <w:rPr>
              <w:rFonts w:ascii="Times New Roman" w:hAnsi="Times New Roman" w:eastAsia="仿宋" w:cs="Times New Roman"/>
              <w:sz w:val="24"/>
              <w:szCs w:val="24"/>
            </w:rPr>
            <w:fldChar w:fldCharType="end"/>
          </w:r>
          <w:r>
            <w:rPr>
              <w:rFonts w:hint="default" w:ascii="Times New Roman" w:hAnsi="Times New Roman" w:eastAsia="仿宋" w:cs="Times New Roman"/>
              <w:sz w:val="24"/>
              <w:szCs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汁进行混合，再通过灌装以及冷藏后熟等步骤制成。车间整年规划生产300日，每日1班每班8小时，每班产量3.5吨。生产设备的总体投资为131.65万元，每个班次消耗鲜牛乳2800kg、蓝莓果浆700kg、蔗糖245kg等｡ 每年消耗的水量为5865吨，用电量为125250千瓦/时，蒸汽使用量为163.2吨。厂房建筑面积达864平方米，劳动人员数量为26人，每年生产1000吨蓝莓酸奶的总成本是1483.57万元，换算成每瓶（250克）成本为3.71元。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78777B8A">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scheme uses a stirred-style yogurt production process, taking fresh milk and frozen blueberry puree as the principal raw materials. After undergoing standardization, homogenization treatment, pasteurization process, inoculation operation, constant-temperature fermentation, emulsion breaking step, and cooling, followed by blueberry juice blending, filling, and refrigeration, the product is ready. The workshop intends to carry out production for 300 days annually. There is 1 work-shift each day, and each shift lasts for 8 hours. The production volume per shift is 3.5 tons. The overall investment in production facilities is 1.3165 million yuan, and each work-shift uses 2800kg of fresh milk, 700kg of blueberry puree, 245kg of sucrose, etc. The yearly water usage amounts to 5865t, the electricity consumption is 125250kW</w:t>
      </w:r>
      <w:r>
        <w:rPr>
          <w:rFonts w:hint="default" w:ascii="Times New Roman" w:hAnsi="Times New Roman" w:eastAsia="黑体" w:cs="Times New Roman"/>
          <w:sz w:val="24"/>
          <w:szCs w:val="24"/>
          <w:lang w:val="en-US" w:eastAsia="zh-CN"/>
        </w:rPr>
        <w:t>·</w:t>
      </w:r>
      <w:r>
        <w:rPr>
          <w:rFonts w:hint="eastAsia" w:eastAsia="黑体"/>
          <w:sz w:val="24"/>
          <w:szCs w:val="24"/>
          <w:lang w:val="en-US" w:eastAsia="zh-CN"/>
        </w:rPr>
        <w:t>h, and the steam utilization is 163.2t. The workshop features a floor area of 864</w:t>
      </w:r>
      <w:r>
        <w:rPr>
          <w:rFonts w:hint="default" w:ascii="Times New Roman" w:hAnsi="Times New Roman" w:eastAsia="黑体" w:cs="Times New Roman"/>
          <w:sz w:val="24"/>
          <w:szCs w:val="24"/>
          <w:lang w:val="en-US" w:eastAsia="zh-CN"/>
        </w:rPr>
        <w:t>m²</w:t>
      </w:r>
      <w:r>
        <w:rPr>
          <w:rFonts w:hint="eastAsia" w:eastAsia="黑体"/>
          <w:sz w:val="24"/>
          <w:szCs w:val="24"/>
          <w:lang w:val="en-US" w:eastAsia="zh-CN"/>
        </w:rPr>
        <w:t xml:space="preserve"> and a labor quota of 26 individuals. The overall cost of manufacturing 1000 tons of blueberry yogurt annually amounts to 14.8357 million yuan, which is equal to a cost of 3.71 yuan per bottle (250g). Meanwhile, a treatment scheme for three wastes and noise has been devised to guarantee eco-friendly production. This design employs AutoCAD software to create process flow charts and workshop equipment layout charts, visually presenting the workshop layout and equipment configuration.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28591"/>
      <w:bookmarkStart w:id="1" w:name="_Toc17326"/>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numId w:val="0"/>
        </w:numPr>
        <w:kinsoku/>
        <w:wordWrap/>
        <w:overflowPunct/>
        <w:topLinePunct w:val="0"/>
        <w:autoSpaceDE/>
        <w:autoSpaceDN/>
        <w:bidi w:val="0"/>
        <w:adjustRightInd/>
        <w:snapToGrid/>
        <w:spacing w:line="440" w:lineRule="exact"/>
        <w:ind w:leftChars="0" w:firstLine="480" w:firstLineChars="200"/>
        <w:textAlignment w:val="auto"/>
        <w:outlineLvl w:val="1"/>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bookmarkStart w:id="3" w:name="_Toc9772"/>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 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r>
        <w:rPr>
          <w:rFonts w:hint="eastAsia" w:ascii="黑体" w:hAnsi="黑体" w:eastAsia="黑体" w:cs="Times New Roman"/>
          <w:b w:val="0"/>
          <w:bCs w:val="0"/>
          <w:sz w:val="24"/>
          <w:szCs w:val="24"/>
          <w:lang w:val="en-US" w:eastAsia="zh-CN" w:bidi="ar-SA"/>
        </w:rPr>
        <w:t xml:space="preserve"> </w:t>
      </w:r>
      <w:bookmarkStart w:id="5" w:name="_Toc13403"/>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168404166"/>
      <w:bookmarkStart w:id="7" w:name="_Toc25408"/>
      <w:r>
        <w:rPr>
          <w:rFonts w:hint="eastAsia"/>
          <w:b w:val="0"/>
          <w:sz w:val="24"/>
          <w:szCs w:val="24"/>
          <w:lang w:val="en-US" w:eastAsia="zh-CN"/>
        </w:rPr>
        <w:t>从营养素构成角度看，蓝莓果实同时具备基础营养的价值和高膳食纤维的特点。 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lang w:val="en-US" w:eastAsia="zh-CN"/>
        </w:rPr>
        <w:t>｡ 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lang w:val="en-US" w:eastAsia="zh-CN"/>
        </w:rPr>
        <w:t>｡ 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bookmarkStart w:id="8" w:name="_Toc16653"/>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w:t>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 xml:space="preserve">上述特殊的生物活性和综合营养特性，奠定蓝莓作为发酵乳等功能性食品主要辅料的技术意义｡ </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20646"/>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本设计所针对的目标产品定位为搅拌型酸奶，其主要是由优质生鲜乳和特色蓝莓果料作为原辅料复合制作而成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11902"/>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1</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eastAsia" w:ascii="黑体" w:hAnsi="黑体" w:eastAsia="黑体" w:cs="黑体"/>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12" w:space="0"/>
              <w:bottom w:val="single" w:color="auto" w:sz="4"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4" w:space="0"/>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表4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9731"/>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B106672">
      <w:pPr>
        <w:rPr>
          <w:rFonts w:hint="eastAsia"/>
          <w:strike w:val="0"/>
          <w:dstrike w:val="0"/>
          <w:lang w:val="en-US" w:eastAsia="zh-CN"/>
        </w:rPr>
      </w:pPr>
      <w:r>
        <w:rPr>
          <w:rFonts w:hint="eastAsia"/>
          <w:strike w:val="0"/>
          <w:dstrike w:val="0"/>
          <w:lang w:val="en-US" w:eastAsia="zh-CN"/>
        </w:rPr>
        <w:drawing>
          <wp:inline distT="0" distB="0" distL="114300" distR="114300">
            <wp:extent cx="5573395" cy="837565"/>
            <wp:effectExtent l="0" t="0" r="4445" b="635"/>
            <wp:docPr id="2" name="图片 2" descr="PixPin_2026-05-08_16-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ixPin_2026-05-08_16-12-07"/>
                    <pic:cNvPicPr>
                      <a:picLocks noChangeAspect="1"/>
                    </pic:cNvPicPr>
                  </pic:nvPicPr>
                  <pic:blipFill>
                    <a:blip r:embed="rId10"/>
                    <a:stretch>
                      <a:fillRect/>
                    </a:stretch>
                  </pic:blipFill>
                  <pic:spPr>
                    <a:xfrm>
                      <a:off x="0" y="0"/>
                      <a:ext cx="5573395" cy="83756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307"/>
      <w:bookmarkStart w:id="17" w:name="_Toc168404169"/>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蓝莓汁制备：将去梗、清洗</w:t>
      </w:r>
      <w:r>
        <w:rPr>
          <w:rFonts w:hint="eastAsia" w:cs="宋体"/>
          <w:b w:val="0"/>
          <w:color w:val="000000" w:themeColor="text1"/>
          <w:sz w:val="24"/>
          <w:szCs w:val="24"/>
          <w:lang w:val="en-US" w:eastAsia="zh-CN"/>
          <w14:textFill>
            <w14:solidFill>
              <w14:schemeClr w14:val="tx1"/>
            </w14:solidFill>
          </w14:textFill>
        </w:rPr>
        <w:t>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榨汁并添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（2）原料乳查验：挑选符合GB19302规定的生鲜牛乳，通过感官、理化以及微生物检测｡ 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杀菌与冷却：把经过标准化处理的鲜乳杀菌</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搅拌均匀：将预先制备好并已冷却的蓝莓汁按配方比例加入冷却后的酸奶基料中，搅拌均匀，使蓝莓汁与酸奶充分混合，产品呈均匀一致的蓝紫色。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74DB6BA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1E0D274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15BDB67A">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10108"/>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2862.3</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2848.0</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2833.7</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2819.5</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2793.9</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2765.0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蓝莓汁制备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25.0</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471.4</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2862.3</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858.7</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471.4</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141.4</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 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 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sz w:val="21"/>
                <w:szCs w:val="21"/>
              </w:rPr>
            </w:pPr>
            <w:r>
              <w:rPr>
                <w:rFonts w:hint="eastAsia"/>
                <w:sz w:val="21"/>
                <w:szCs w:val="21"/>
              </w:rPr>
              <w:t>每班需要量</w:t>
            </w:r>
          </w:p>
        </w:tc>
        <w:tc>
          <w:tcPr>
            <w:tcW w:w="1955" w:type="pct"/>
            <w:tcBorders>
              <w:top w:val="single" w:color="auto" w:sz="12" w:space="0"/>
              <w:bottom w:val="single" w:color="auto" w:sz="4" w:space="0"/>
            </w:tcBorders>
            <w:vAlign w:val="center"/>
          </w:tcPr>
          <w:p w14:paraId="235CCA2E">
            <w:pPr>
              <w:spacing w:line="400" w:lineRule="exact"/>
              <w:jc w:val="center"/>
              <w:rPr>
                <w:sz w:val="21"/>
                <w:szCs w:val="21"/>
              </w:rPr>
            </w:pPr>
            <w:r>
              <w:rPr>
                <w:rFonts w:hint="eastAsia"/>
                <w:sz w:val="21"/>
                <w:szCs w:val="21"/>
              </w:rPr>
              <w:t>全年需要量</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22887"/>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 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 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榨汁机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2349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C7FA809">
            <w:pPr>
              <w:spacing w:line="400" w:lineRule="exact"/>
              <w:jc w:val="center"/>
              <w:rPr>
                <w:rFonts w:hint="default"/>
                <w:color w:val="000000"/>
                <w:sz w:val="21"/>
                <w:szCs w:val="21"/>
                <w:lang w:val="en-US" w:eastAsia="zh-CN"/>
              </w:rPr>
            </w:pPr>
            <w:r>
              <w:rPr>
                <w:rFonts w:hint="eastAsia"/>
                <w:color w:val="000000"/>
                <w:sz w:val="21"/>
                <w:szCs w:val="21"/>
                <w:lang w:val="en-US" w:eastAsia="zh-CN"/>
              </w:rPr>
              <w:t>锅炉</w:t>
            </w:r>
          </w:p>
        </w:tc>
        <w:tc>
          <w:tcPr>
            <w:tcW w:w="1599" w:type="dxa"/>
            <w:vAlign w:val="center"/>
          </w:tcPr>
          <w:p w14:paraId="5DCF7A0D">
            <w:pPr>
              <w:spacing w:line="400" w:lineRule="exact"/>
              <w:jc w:val="center"/>
              <w:rPr>
                <w:rFonts w:hint="default"/>
                <w:color w:val="000000"/>
                <w:sz w:val="21"/>
                <w:szCs w:val="21"/>
                <w:lang w:val="en-US" w:eastAsia="zh-CN"/>
              </w:rPr>
            </w:pPr>
            <w:r>
              <w:rPr>
                <w:rFonts w:hint="eastAsia"/>
                <w:color w:val="000000"/>
                <w:sz w:val="21"/>
                <w:szCs w:val="21"/>
                <w:lang w:val="en-US" w:eastAsia="zh-CN"/>
              </w:rPr>
              <w:t>WNS1-1.0</w:t>
            </w:r>
          </w:p>
        </w:tc>
        <w:tc>
          <w:tcPr>
            <w:tcW w:w="1143" w:type="dxa"/>
            <w:vAlign w:val="center"/>
          </w:tcPr>
          <w:p w14:paraId="4CC4BEE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1C2473B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1t/h</w:t>
            </w:r>
          </w:p>
        </w:tc>
        <w:tc>
          <w:tcPr>
            <w:tcW w:w="1074" w:type="dxa"/>
            <w:vAlign w:val="center"/>
          </w:tcPr>
          <w:p w14:paraId="7CA49D09">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B427204">
            <w:pPr>
              <w:spacing w:line="400" w:lineRule="exact"/>
              <w:jc w:val="center"/>
              <w:rPr>
                <w:rFonts w:hint="default"/>
                <w:color w:val="000000"/>
                <w:sz w:val="21"/>
                <w:szCs w:val="21"/>
                <w:lang w:val="en-US" w:eastAsia="zh-CN"/>
              </w:rPr>
            </w:pPr>
            <w:r>
              <w:rPr>
                <w:rFonts w:hint="eastAsia"/>
                <w:color w:val="000000"/>
                <w:sz w:val="21"/>
                <w:szCs w:val="21"/>
                <w:lang w:val="en-US" w:eastAsia="zh-CN"/>
              </w:rPr>
              <w:t>6.0</w:t>
            </w:r>
          </w:p>
        </w:tc>
        <w:tc>
          <w:tcPr>
            <w:tcW w:w="1145" w:type="dxa"/>
            <w:vAlign w:val="center"/>
          </w:tcPr>
          <w:p w14:paraId="7CA306C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r>
      <w:tr w14:paraId="50C06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04DEDA7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空气压缩机</w:t>
            </w:r>
          </w:p>
        </w:tc>
        <w:tc>
          <w:tcPr>
            <w:tcW w:w="1599" w:type="dxa"/>
            <w:vAlign w:val="center"/>
          </w:tcPr>
          <w:p w14:paraId="746FC3B2">
            <w:pPr>
              <w:spacing w:line="400" w:lineRule="exact"/>
              <w:jc w:val="center"/>
              <w:rPr>
                <w:rFonts w:hint="default" w:eastAsia="宋体"/>
                <w:sz w:val="21"/>
                <w:lang w:val="en-US" w:eastAsia="zh-CN"/>
              </w:rPr>
            </w:pPr>
            <w:r>
              <w:rPr>
                <w:rFonts w:hint="eastAsia"/>
                <w:sz w:val="21"/>
                <w:lang w:val="en-US" w:eastAsia="zh-CN"/>
              </w:rPr>
              <w:t>KY-3.0</w:t>
            </w:r>
          </w:p>
        </w:tc>
        <w:tc>
          <w:tcPr>
            <w:tcW w:w="1143" w:type="dxa"/>
            <w:vAlign w:val="center"/>
          </w:tcPr>
          <w:p w14:paraId="7EB373E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1243" w:type="dxa"/>
            <w:vAlign w:val="center"/>
          </w:tcPr>
          <w:p w14:paraId="457269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r>
              <w:rPr>
                <w:rFonts w:hint="eastAsia"/>
                <w:color w:val="000000"/>
                <w:sz w:val="21"/>
                <w:szCs w:val="21"/>
                <w:vertAlign w:val="baseline"/>
                <w:lang w:val="en-US" w:eastAsia="zh-CN"/>
              </w:rPr>
              <w:t>/min</w:t>
            </w:r>
          </w:p>
        </w:tc>
        <w:tc>
          <w:tcPr>
            <w:tcW w:w="1074" w:type="dxa"/>
            <w:vAlign w:val="center"/>
          </w:tcPr>
          <w:p w14:paraId="5133A14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44BF376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76BD21A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546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榨汁机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DE77FD7">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6ABA8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EF04CCA">
            <w:pPr>
              <w:spacing w:line="400" w:lineRule="exact"/>
              <w:ind w:firstLine="420"/>
              <w:jc w:val="center"/>
              <w:rPr>
                <w:sz w:val="21"/>
                <w:szCs w:val="21"/>
              </w:rPr>
            </w:pPr>
          </w:p>
        </w:tc>
        <w:tc>
          <w:tcPr>
            <w:tcW w:w="1232" w:type="pct"/>
            <w:vAlign w:val="center"/>
          </w:tcPr>
          <w:p w14:paraId="0639F84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锅炉</w:t>
            </w:r>
          </w:p>
        </w:tc>
        <w:tc>
          <w:tcPr>
            <w:tcW w:w="612" w:type="pct"/>
            <w:vAlign w:val="center"/>
          </w:tcPr>
          <w:p w14:paraId="5C2993C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531" w:type="pct"/>
            <w:vAlign w:val="center"/>
          </w:tcPr>
          <w:p w14:paraId="786F585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416EEF60">
            <w:pPr>
              <w:spacing w:line="400" w:lineRule="exact"/>
              <w:jc w:val="center"/>
              <w:rPr>
                <w:rFonts w:hint="default"/>
                <w:color w:val="000000"/>
                <w:sz w:val="21"/>
                <w:szCs w:val="21"/>
                <w:lang w:val="en-US" w:eastAsia="zh-CN"/>
              </w:rPr>
            </w:pPr>
            <w:r>
              <w:rPr>
                <w:rFonts w:hint="eastAsia"/>
                <w:color w:val="000000"/>
                <w:sz w:val="21"/>
                <w:szCs w:val="21"/>
                <w:lang w:val="en-US" w:eastAsia="zh-CN"/>
              </w:rPr>
              <w:t>4</w:t>
            </w:r>
          </w:p>
        </w:tc>
        <w:tc>
          <w:tcPr>
            <w:tcW w:w="991" w:type="pct"/>
          </w:tcPr>
          <w:p w14:paraId="443836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1800</w:t>
            </w:r>
          </w:p>
        </w:tc>
      </w:tr>
      <w:tr w14:paraId="389A8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806430B">
            <w:pPr>
              <w:spacing w:line="400" w:lineRule="exact"/>
              <w:ind w:firstLine="420"/>
              <w:jc w:val="center"/>
              <w:rPr>
                <w:sz w:val="21"/>
                <w:szCs w:val="21"/>
              </w:rPr>
            </w:pPr>
          </w:p>
        </w:tc>
        <w:tc>
          <w:tcPr>
            <w:tcW w:w="1232" w:type="pct"/>
            <w:vAlign w:val="center"/>
          </w:tcPr>
          <w:p w14:paraId="0C09FAC4">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空气压缩机</w:t>
            </w:r>
          </w:p>
        </w:tc>
        <w:tc>
          <w:tcPr>
            <w:tcW w:w="612" w:type="pct"/>
            <w:vAlign w:val="center"/>
          </w:tcPr>
          <w:p w14:paraId="01C7EA6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7.5</w:t>
            </w:r>
          </w:p>
        </w:tc>
        <w:tc>
          <w:tcPr>
            <w:tcW w:w="531" w:type="pct"/>
            <w:vAlign w:val="center"/>
          </w:tcPr>
          <w:p w14:paraId="4F45A7C9">
            <w:pPr>
              <w:spacing w:line="400" w:lineRule="exact"/>
              <w:jc w:val="center"/>
              <w:rPr>
                <w:color w:val="000000"/>
                <w:sz w:val="21"/>
                <w:szCs w:val="21"/>
              </w:rPr>
            </w:pPr>
            <w:r>
              <w:rPr>
                <w:rFonts w:eastAsia="等线"/>
                <w:color w:val="000000"/>
                <w:sz w:val="21"/>
                <w:szCs w:val="21"/>
              </w:rPr>
              <w:t>1</w:t>
            </w:r>
          </w:p>
        </w:tc>
        <w:tc>
          <w:tcPr>
            <w:tcW w:w="991" w:type="pct"/>
          </w:tcPr>
          <w:p w14:paraId="688EBC88">
            <w:pPr>
              <w:spacing w:line="400" w:lineRule="exact"/>
              <w:jc w:val="center"/>
              <w:rPr>
                <w:rFonts w:hint="default"/>
                <w:color w:val="000000"/>
                <w:sz w:val="21"/>
                <w:szCs w:val="21"/>
                <w:lang w:val="en-US" w:eastAsia="zh-CN"/>
              </w:rPr>
            </w:pPr>
            <w:r>
              <w:rPr>
                <w:rFonts w:hint="eastAsia"/>
                <w:color w:val="000000"/>
                <w:sz w:val="21"/>
                <w:szCs w:val="21"/>
                <w:lang w:val="en-US" w:eastAsia="zh-CN"/>
              </w:rPr>
              <w:t>6</w:t>
            </w:r>
          </w:p>
        </w:tc>
        <w:tc>
          <w:tcPr>
            <w:tcW w:w="991" w:type="pct"/>
          </w:tcPr>
          <w:p w14:paraId="07D76AB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13500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ind w:firstLine="420"/>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125250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eastAsia="宋体"/>
          <w:lang w:val="en-US" w:eastAsia="zh-CN"/>
        </w:rPr>
      </w:pPr>
      <w:r>
        <w:rPr>
          <w:rFonts w:hint="eastAsia"/>
          <w:lang w:val="en-US" w:eastAsia="zh-CN"/>
        </w:rPr>
        <w:t>根据蓝莓酸奶车间的生产工艺，需要消耗蒸汽的工序主要为巴氏杀菌（鲜乳杀菌）、调配以及CIP清洗系统的热水制备，则年用汽量计算如下表所示。</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eastAsia" w:ascii="黑体" w:hAnsi="黑体" w:eastAsia="黑体"/>
          <w:sz w:val="21"/>
          <w:szCs w:val="21"/>
          <w:lang w:val="en-US" w:eastAsia="zh-CN"/>
        </w:rPr>
        <w:t xml:space="preserve">11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eastAsia="宋体"/>
                <w:sz w:val="21"/>
                <w:szCs w:val="21"/>
                <w:lang w:val="en-US" w:eastAsia="zh-CN"/>
              </w:rPr>
              <w:t>86</w:t>
            </w:r>
          </w:p>
        </w:tc>
        <w:tc>
          <w:tcPr>
            <w:tcW w:w="1117" w:type="pct"/>
            <w:vAlign w:val="center"/>
          </w:tcPr>
          <w:p w14:paraId="24AE29C2">
            <w:pPr>
              <w:spacing w:line="400" w:lineRule="exact"/>
              <w:jc w:val="center"/>
              <w:rPr>
                <w:rFonts w:hint="default" w:eastAsia="宋体"/>
                <w:sz w:val="21"/>
                <w:szCs w:val="21"/>
                <w:lang w:val="en-US" w:eastAsia="zh-CN"/>
              </w:rPr>
            </w:pPr>
            <w:r>
              <w:rPr>
                <w:rFonts w:hint="eastAsia" w:eastAsia="宋体"/>
                <w:sz w:val="21"/>
                <w:szCs w:val="21"/>
                <w:lang w:val="en-US" w:eastAsia="zh-CN"/>
              </w:rPr>
              <w:t>25800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eastAsia="宋体"/>
                <w:sz w:val="21"/>
                <w:szCs w:val="21"/>
                <w:lang w:val="en-US" w:eastAsia="zh-CN"/>
              </w:rPr>
              <w:t>208</w:t>
            </w:r>
          </w:p>
        </w:tc>
        <w:tc>
          <w:tcPr>
            <w:tcW w:w="1117" w:type="pct"/>
            <w:vAlign w:val="center"/>
          </w:tcPr>
          <w:p w14:paraId="03B23287">
            <w:pPr>
              <w:spacing w:line="400" w:lineRule="exact"/>
              <w:jc w:val="center"/>
              <w:rPr>
                <w:rFonts w:hint="default" w:eastAsia="宋体"/>
                <w:sz w:val="21"/>
                <w:szCs w:val="21"/>
                <w:lang w:val="en-US" w:eastAsia="zh-CN"/>
              </w:rPr>
            </w:pPr>
            <w:r>
              <w:rPr>
                <w:rFonts w:hint="eastAsia" w:eastAsia="宋体"/>
                <w:sz w:val="21"/>
                <w:szCs w:val="21"/>
                <w:lang w:val="en-US" w:eastAsia="zh-CN"/>
              </w:rPr>
              <w:t>62400</w:t>
            </w:r>
          </w:p>
        </w:tc>
      </w:tr>
      <w:tr w14:paraId="70DC6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54393C05">
            <w:pPr>
              <w:spacing w:line="400" w:lineRule="exact"/>
              <w:jc w:val="center"/>
              <w:rPr>
                <w:rFonts w:hint="eastAsia" w:eastAsia="宋体"/>
                <w:sz w:val="21"/>
                <w:szCs w:val="21"/>
                <w:lang w:eastAsia="zh-CN"/>
              </w:rPr>
            </w:pPr>
            <w:r>
              <w:rPr>
                <w:rFonts w:hint="eastAsia" w:eastAsia="宋体"/>
                <w:sz w:val="21"/>
                <w:szCs w:val="21"/>
                <w:lang w:val="en-US" w:eastAsia="zh-CN"/>
              </w:rPr>
              <w:t>发酵保温</w:t>
            </w:r>
          </w:p>
        </w:tc>
        <w:tc>
          <w:tcPr>
            <w:tcW w:w="1332" w:type="pct"/>
            <w:vAlign w:val="center"/>
          </w:tcPr>
          <w:p w14:paraId="3E1B6D9D">
            <w:pPr>
              <w:spacing w:line="400" w:lineRule="exact"/>
              <w:jc w:val="center"/>
              <w:rPr>
                <w:rFonts w:hint="eastAsia" w:eastAsia="宋体"/>
                <w:sz w:val="21"/>
                <w:szCs w:val="21"/>
                <w:lang w:val="en-US" w:eastAsia="zh-CN"/>
              </w:rPr>
            </w:pPr>
            <w:r>
              <w:rPr>
                <w:rFonts w:hint="eastAsia" w:eastAsia="宋体"/>
                <w:sz w:val="21"/>
                <w:szCs w:val="21"/>
                <w:lang w:val="en-US" w:eastAsia="zh-CN"/>
              </w:rPr>
              <w:t>发酵罐</w:t>
            </w:r>
          </w:p>
        </w:tc>
        <w:tc>
          <w:tcPr>
            <w:tcW w:w="901" w:type="pct"/>
          </w:tcPr>
          <w:p w14:paraId="458ACF2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3</w:t>
            </w:r>
          </w:p>
        </w:tc>
        <w:tc>
          <w:tcPr>
            <w:tcW w:w="807" w:type="pct"/>
            <w:vAlign w:val="center"/>
          </w:tcPr>
          <w:p w14:paraId="3B619AD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100</w:t>
            </w:r>
          </w:p>
        </w:tc>
        <w:tc>
          <w:tcPr>
            <w:tcW w:w="1117" w:type="pct"/>
            <w:vAlign w:val="center"/>
          </w:tcPr>
          <w:p w14:paraId="1BC7ECC8">
            <w:pPr>
              <w:spacing w:line="400" w:lineRule="exact"/>
              <w:jc w:val="center"/>
              <w:rPr>
                <w:rFonts w:hint="default" w:eastAsia="宋体"/>
                <w:sz w:val="21"/>
                <w:szCs w:val="21"/>
                <w:lang w:val="en-US" w:eastAsia="zh-CN"/>
              </w:rPr>
            </w:pPr>
            <w:r>
              <w:rPr>
                <w:rFonts w:hint="eastAsia" w:eastAsia="宋体"/>
                <w:sz w:val="21"/>
                <w:szCs w:val="21"/>
                <w:lang w:val="en-US" w:eastAsia="zh-CN"/>
              </w:rPr>
              <w:t>3000</w:t>
            </w:r>
          </w:p>
        </w:tc>
      </w:tr>
      <w:tr w14:paraId="59015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7419E6F0">
            <w:pPr>
              <w:spacing w:line="400" w:lineRule="exact"/>
              <w:jc w:val="center"/>
              <w:rPr>
                <w:rFonts w:hint="eastAsia" w:eastAsia="宋体"/>
                <w:sz w:val="21"/>
                <w:szCs w:val="21"/>
                <w:lang w:val="en-US" w:eastAsia="zh-CN"/>
              </w:rPr>
            </w:pPr>
            <w:bookmarkStart w:id="25" w:name="_Toc3004"/>
            <w:bookmarkStart w:id="26" w:name="_Toc168404172"/>
            <w:r>
              <w:rPr>
                <w:rFonts w:hint="eastAsia" w:eastAsia="宋体"/>
                <w:sz w:val="21"/>
                <w:szCs w:val="21"/>
                <w:lang w:val="en-US" w:eastAsia="zh-CN"/>
              </w:rPr>
              <w:t>清洗</w:t>
            </w:r>
          </w:p>
        </w:tc>
        <w:tc>
          <w:tcPr>
            <w:tcW w:w="1332" w:type="pct"/>
            <w:vAlign w:val="center"/>
          </w:tcPr>
          <w:p w14:paraId="50A7976D">
            <w:pPr>
              <w:spacing w:line="400" w:lineRule="exact"/>
              <w:jc w:val="center"/>
              <w:rPr>
                <w:rFonts w:hint="default" w:eastAsia="宋体"/>
                <w:sz w:val="21"/>
                <w:szCs w:val="21"/>
                <w:lang w:val="en-US" w:eastAsia="zh-CN"/>
              </w:rPr>
            </w:pPr>
            <w:r>
              <w:rPr>
                <w:rFonts w:hint="eastAsia" w:eastAsia="宋体"/>
                <w:sz w:val="21"/>
                <w:szCs w:val="21"/>
                <w:lang w:val="en-US" w:eastAsia="zh-CN"/>
              </w:rPr>
              <w:t>CIP系统</w:t>
            </w:r>
          </w:p>
        </w:tc>
        <w:tc>
          <w:tcPr>
            <w:tcW w:w="901" w:type="pct"/>
          </w:tcPr>
          <w:p w14:paraId="3B396787">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w:t>
            </w:r>
          </w:p>
        </w:tc>
        <w:tc>
          <w:tcPr>
            <w:tcW w:w="807" w:type="pct"/>
            <w:vAlign w:val="center"/>
          </w:tcPr>
          <w:p w14:paraId="5385D684">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150</w:t>
            </w:r>
          </w:p>
        </w:tc>
        <w:tc>
          <w:tcPr>
            <w:tcW w:w="1117" w:type="pct"/>
            <w:vAlign w:val="center"/>
          </w:tcPr>
          <w:p w14:paraId="375CDF1F">
            <w:pPr>
              <w:spacing w:line="400" w:lineRule="exact"/>
              <w:jc w:val="center"/>
              <w:rPr>
                <w:rFonts w:hint="default" w:eastAsia="宋体"/>
                <w:sz w:val="21"/>
                <w:szCs w:val="21"/>
                <w:lang w:val="en-US" w:eastAsia="zh-CN"/>
              </w:rPr>
            </w:pPr>
            <w:r>
              <w:rPr>
                <w:rFonts w:hint="eastAsia" w:eastAsia="宋体"/>
                <w:sz w:val="21"/>
                <w:szCs w:val="21"/>
                <w:lang w:val="en-US" w:eastAsia="zh-CN"/>
              </w:rPr>
              <w:t>45000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eastAsia="宋体"/>
                <w:sz w:val="21"/>
                <w:szCs w:val="21"/>
                <w:lang w:val="en-US" w:eastAsia="zh-CN"/>
              </w:rPr>
              <w:t>163200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20073"/>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 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30398"/>
      <w:bookmarkStart w:id="30"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206A9D1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bookmarkEnd w:id="30"/>
    </w:p>
    <w:p w14:paraId="3AC6BF2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lang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蓝莓解冻（或鲜果分选）、清洗、榨汁/打浆</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1" w:name="_Toc168404174"/>
            <w:bookmarkStart w:id="32" w:name="_Toc8437"/>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center"/>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3" w:name="_Toc29830"/>
      <w:r>
        <w:rPr>
          <w:rFonts w:hint="eastAsia" w:ascii="Times New Roman" w:hAnsi="Times New Roman" w:eastAsia="黑体" w:cs="黑体"/>
          <w:b w:val="0"/>
          <w:bCs w:val="0"/>
          <w:sz w:val="24"/>
          <w:szCs w:val="24"/>
          <w:lang w:val="en-US" w:eastAsia="zh-CN"/>
        </w:rPr>
        <w:t>3 非工艺设计</w:t>
      </w:r>
      <w:bookmarkEnd w:id="31"/>
      <w:bookmarkEnd w:id="32"/>
      <w:bookmarkEnd w:id="33"/>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4" w:name="_Toc168404175"/>
      <w:bookmarkStart w:id="35" w:name="_Toc13771"/>
      <w:bookmarkStart w:id="36" w:name="_Toc647"/>
      <w:r>
        <w:rPr>
          <w:rFonts w:hint="eastAsia" w:ascii="Times New Roman" w:hAnsi="Times New Roman" w:eastAsia="黑体" w:cs="黑体"/>
          <w:b w:val="0"/>
          <w:bCs/>
          <w:sz w:val="24"/>
          <w:szCs w:val="16"/>
          <w:lang w:val="en-US" w:eastAsia="zh-CN"/>
        </w:rPr>
        <w:t>3.1 门窗、地面、墙面及顶棚</w:t>
      </w:r>
      <w:bookmarkEnd w:id="34"/>
      <w:bookmarkEnd w:id="35"/>
      <w:bookmarkEnd w:id="36"/>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pStyle w:val="3"/>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1"/>
        <w:rPr>
          <w:rFonts w:hint="eastAsia" w:ascii="Times New Roman" w:hAnsi="Times New Roman" w:eastAsia="宋体" w:cs="Times New Roman"/>
          <w:b w:val="0"/>
          <w:sz w:val="24"/>
          <w:lang w:val="en-US" w:eastAsia="zh-CN" w:bidi="ar-SA"/>
        </w:rPr>
      </w:pPr>
      <w:bookmarkStart w:id="37" w:name="_Toc32057"/>
      <w:bookmarkStart w:id="38"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 xml:space="preserve">定时检验空气微生物的含量，装设空气净化设备并强化通风｡各功能区域分开设置，配备专门的废物收集容器，废弃物存放处与生产区保持距离，定时进行无害化处置，避免交叉污染｡ </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6230"/>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AA3E8B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2" w:name="_Toc9060"/>
      <w:bookmarkStart w:id="43" w:name="_Toc168404178"/>
      <w:bookmarkStart w:id="44" w:name="_Toc7510"/>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168404179"/>
      <w:bookmarkStart w:id="46" w:name="_Toc10829"/>
      <w:bookmarkStart w:id="47" w:name="_Toc3673"/>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777CDCED">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6F42935">
      <w:pPr>
        <w:rPr>
          <w:rFonts w:hint="eastAsia" w:cs="Times New Roman"/>
          <w:b w:val="0"/>
          <w:kern w:val="0"/>
          <w:sz w:val="24"/>
          <w:lang w:val="en-US" w:eastAsia="zh-CN" w:bidi="ar-SA"/>
        </w:rPr>
      </w:pPr>
      <w:r>
        <w:rPr>
          <w:rFonts w:hint="eastAsia" w:cs="Times New Roman"/>
          <w:b w:val="0"/>
          <w:kern w:val="0"/>
          <w:sz w:val="24"/>
          <w:lang w:val="en-US" w:eastAsia="zh-CN" w:bidi="ar-SA"/>
        </w:rPr>
        <w:br w:type="page"/>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bookmarkStart w:id="50" w:name="_Toc8648"/>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59E4FD73">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黑体" w:hAnsi="黑体" w:eastAsia="黑体" w:cs="黑体"/>
          <w:b w:val="0"/>
          <w:bCs/>
          <w:kern w:val="44"/>
          <w:sz w:val="24"/>
          <w:szCs w:val="11"/>
          <w:lang w:val="en-US" w:eastAsia="zh-CN" w:bidi="ar-SA"/>
        </w:rPr>
      </w:pPr>
      <w:bookmarkStart w:id="51" w:name="_Toc168404181"/>
      <w:bookmarkStart w:id="52" w:name="_Toc14390"/>
      <w:bookmarkStart w:id="53" w:name="_Toc26659"/>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4047"/>
      <w:bookmarkStart w:id="55" w:name="_Toc168404182"/>
      <w:bookmarkStart w:id="56" w:name="_Toc23431"/>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2800</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700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15400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白砂糖</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245</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1470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复配稳定剂</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14</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420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直投式发酵剂</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200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0.35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65571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550973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柠檬酸</w:t>
            </w:r>
          </w:p>
        </w:tc>
        <w:tc>
          <w:tcPr>
            <w:tcW w:w="1185" w:type="pct"/>
            <w:vAlign w:val="center"/>
          </w:tcPr>
          <w:p w14:paraId="2CD3B4B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10</w:t>
            </w:r>
          </w:p>
        </w:tc>
        <w:tc>
          <w:tcPr>
            <w:tcW w:w="1426" w:type="pct"/>
            <w:vAlign w:val="center"/>
          </w:tcPr>
          <w:p w14:paraId="7278C7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w:t>
            </w:r>
          </w:p>
        </w:tc>
        <w:tc>
          <w:tcPr>
            <w:tcW w:w="1426" w:type="pct"/>
            <w:vAlign w:val="center"/>
          </w:tcPr>
          <w:p w14:paraId="3E7040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70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32830</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年原辅料总成本=32830元/班×300班=9849000元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013B4237">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7B41740C">
      <w:pPr>
        <w:rPr>
          <w:rFonts w:hint="eastAsia" w:cs="Times New Roman"/>
          <w:sz w:val="24"/>
          <w:lang w:val="en-US" w:eastAsia="zh-CN" w:bidi="ar-SA"/>
        </w:rPr>
      </w:pPr>
      <w:r>
        <w:rPr>
          <w:rFonts w:hint="eastAsia" w:cs="Times New Roman"/>
          <w:sz w:val="24"/>
          <w:lang w:val="en-US" w:eastAsia="zh-CN" w:bidi="ar-SA"/>
        </w:rPr>
        <w:br w:type="page"/>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r>
              <w:rPr>
                <w:rFonts w:hint="eastAsia"/>
                <w:sz w:val="21"/>
                <w:lang w:eastAsia="zh-CN"/>
              </w:rPr>
              <w:t>（</w:t>
            </w:r>
            <w:r>
              <w:rPr>
                <w:rFonts w:hint="eastAsia"/>
                <w:sz w:val="21"/>
                <w:lang w:val="en-US" w:eastAsia="zh-CN"/>
              </w:rPr>
              <w:t>含税）</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125250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 xml:space="preserve"> 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7.77</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163200kg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4.08</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bl>
    <w:p w14:paraId="6E2EB36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cs="黑体"/>
          <w:b w:val="0"/>
          <w:bCs/>
          <w:sz w:val="24"/>
          <w:szCs w:val="16"/>
          <w:lang w:val="en-US" w:eastAsia="zh-CN"/>
        </w:rPr>
      </w:pPr>
      <w:r>
        <w:rPr>
          <w:rFonts w:hint="eastAsia" w:ascii="宋体" w:hAnsi="宋体" w:cs="宋体"/>
          <w:sz w:val="24"/>
          <w:lang w:val="en-US" w:eastAsia="zh-CN" w:bidi="ar-SA"/>
        </w:rPr>
        <w:t>则蓝莓酸奶车间</w:t>
      </w:r>
      <w:r>
        <w:rPr>
          <w:rFonts w:hint="eastAsia" w:cs="Times New Roman"/>
          <w:sz w:val="24"/>
          <w:lang w:val="en-US" w:eastAsia="zh-CN" w:bidi="ar-SA"/>
        </w:rPr>
        <w:t>一年的总水电汽成本为14.89万元。</w:t>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49130CB5">
      <w:pPr>
        <w:spacing w:line="440" w:lineRule="exact"/>
        <w:ind w:firstLine="480" w:firstLineChars="200"/>
        <w:rPr>
          <w:rFonts w:hint="eastAsia" w:ascii="黑体" w:hAnsi="黑体" w:eastAsia="黑体" w:cs="黑体"/>
          <w:b w:val="0"/>
          <w:bCs/>
          <w:sz w:val="24"/>
          <w:szCs w:val="16"/>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11449"/>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984.9</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14.89</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1483.57</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1483.57万元。每瓶蓝莓酸奶重量为0.25kg，则理论年产量为1000000kg÷0.25kg=4000000瓶。平均每瓶酸奶的成本为1483.57万元÷400万瓶≈3.71元/瓶，出厂价定为5元/瓶，年利润为（5-3.71）元×400万瓶=516万元，回本周期为1483.57万元÷516万元≈2.88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3757"/>
      <w:bookmarkStart w:id="61" w:name="_Toc168404185"/>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每班消耗鲜牛乳2800kg、蓝莓果浆700kg、蔗糖245kg等原辅料，原辅料成本3.28万元/班；年总成本1483.57万元，折合每瓶（250g）成本3.71元。产品出厂价定为5元/瓶，年利润516万元，投资回收期为两到三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8502"/>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30624"/>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7BCBA77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start="1"/>
          <w:cols w:space="425" w:num="1"/>
          <w:docGrid w:type="lines" w:linePitch="312" w:charSpace="0"/>
        </w:sectPr>
      </w:pPr>
      <w:bookmarkStart w:id="107" w:name="_Toc28768"/>
      <w:bookmarkStart w:id="108" w:name="_Toc7734"/>
      <w:bookmarkStart w:id="109" w:name="_Toc25798"/>
      <w:bookmarkStart w:id="110" w:name="_GoBack"/>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-360045</wp:posOffset>
            </wp:positionH>
            <wp:positionV relativeFrom="paragraph">
              <wp:posOffset>503555</wp:posOffset>
            </wp:positionV>
            <wp:extent cx="5578475" cy="7890510"/>
            <wp:effectExtent l="0" t="0" r="14605" b="3810"/>
            <wp:wrapNone/>
            <wp:docPr id="3" name="图片 3" descr="附录-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附录-1"/>
                    <pic:cNvPicPr>
                      <a:picLocks noChangeAspect="1"/>
                    </pic:cNvPicPr>
                  </pic:nvPicPr>
                  <pic:blipFill>
                    <a:blip r:embed="rId11"/>
                    <a:stretch>
                      <a:fillRect/>
                    </a:stretch>
                  </pic:blipFill>
                  <pic:spPr>
                    <a:xfrm>
                      <a:off x="0" y="0"/>
                      <a:ext cx="5578475" cy="7890510"/>
                    </a:xfrm>
                    <a:prstGeom prst="rect">
                      <a:avLst/>
                    </a:prstGeom>
                  </pic:spPr>
                </pic:pic>
              </a:graphicData>
            </a:graphic>
          </wp:anchor>
        </w:drawing>
      </w:r>
      <w:bookmarkEnd w:id="110"/>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50F7B28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3360"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None/>
            <wp:docPr id="6" name="图片 6" descr="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车间平面布局 Model (1)"/>
                    <pic:cNvPicPr>
                      <a:picLocks noChangeAspect="1"/>
                    </pic:cNvPicPr>
                  </pic:nvPicPr>
                  <pic:blipFill>
                    <a:blip r:embed="rId12"/>
                    <a:stretch>
                      <a:fillRect/>
                    </a:stretch>
                  </pic:blipFill>
                  <pic:spPr>
                    <a:xfrm rot="10800000">
                      <a:off x="0" y="0"/>
                      <a:ext cx="5578475" cy="789051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-268605</wp:posOffset>
            </wp:positionH>
            <wp:positionV relativeFrom="paragraph">
              <wp:posOffset>320675</wp:posOffset>
            </wp:positionV>
            <wp:extent cx="5578475" cy="7890510"/>
            <wp:effectExtent l="0" t="0" r="14605" b="3810"/>
            <wp:wrapTopAndBottom/>
            <wp:docPr id="7" name="图片 7" descr="C:/Users/Texer/Desktop/毕设/CAD/主要设备三视图 Model (1).png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Texer/Desktop/毕设/CAD/主要设备三视图 Model (1).png主要设备三视图 Model (1)"/>
                    <pic:cNvPicPr>
                      <a:picLocks noChangeAspect="1"/>
                    </pic:cNvPicPr>
                  </pic:nvPicPr>
                  <pic:blipFill>
                    <a:blip r:embed="rId13"/>
                    <a:srcRect t="6" b="6"/>
                    <a:stretch>
                      <a:fillRect/>
                    </a:stretch>
                  </pic:blipFill>
                  <pic:spPr>
                    <a:xfrm>
                      <a:off x="0" y="0"/>
                      <a:ext cx="5578475" cy="7890510"/>
                    </a:xfrm>
                    <a:prstGeom prst="rect">
                      <a:avLst/>
                    </a:prstGeom>
                  </pic:spPr>
                </pic:pic>
              </a:graphicData>
            </a:graphic>
          </wp:anchor>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CvwKVW3AIAACQGAAAOAAAAAAAAAAEAIAAAAB8BAABkcnMvZTJvRG9jLnhtbFBLBQYA&#10;AAAABgAGAFkBAABtBg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3E2476"/>
    <w:rsid w:val="00533BFA"/>
    <w:rsid w:val="0055574E"/>
    <w:rsid w:val="007856D0"/>
    <w:rsid w:val="0090207B"/>
    <w:rsid w:val="00952E84"/>
    <w:rsid w:val="009D404E"/>
    <w:rsid w:val="009F092F"/>
    <w:rsid w:val="00D305B2"/>
    <w:rsid w:val="01214A9D"/>
    <w:rsid w:val="014717F5"/>
    <w:rsid w:val="01620D9F"/>
    <w:rsid w:val="018239F6"/>
    <w:rsid w:val="019341D5"/>
    <w:rsid w:val="01B31FD7"/>
    <w:rsid w:val="01C84669"/>
    <w:rsid w:val="01CD2B81"/>
    <w:rsid w:val="02217E97"/>
    <w:rsid w:val="027E7FF8"/>
    <w:rsid w:val="02C2223C"/>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7C599F"/>
    <w:rsid w:val="049F343C"/>
    <w:rsid w:val="04CF4159"/>
    <w:rsid w:val="04D22822"/>
    <w:rsid w:val="051200B1"/>
    <w:rsid w:val="052135A4"/>
    <w:rsid w:val="0524626C"/>
    <w:rsid w:val="05510153"/>
    <w:rsid w:val="056A1DE3"/>
    <w:rsid w:val="056D1E95"/>
    <w:rsid w:val="05700779"/>
    <w:rsid w:val="0597643A"/>
    <w:rsid w:val="05B13500"/>
    <w:rsid w:val="05BC001D"/>
    <w:rsid w:val="0627649A"/>
    <w:rsid w:val="06844FB8"/>
    <w:rsid w:val="068766B9"/>
    <w:rsid w:val="068834BD"/>
    <w:rsid w:val="06A64F55"/>
    <w:rsid w:val="06C76A96"/>
    <w:rsid w:val="06D223B7"/>
    <w:rsid w:val="06E25D2C"/>
    <w:rsid w:val="07470DB9"/>
    <w:rsid w:val="074F1551"/>
    <w:rsid w:val="07585815"/>
    <w:rsid w:val="07717CC3"/>
    <w:rsid w:val="078735B9"/>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7B662E"/>
    <w:rsid w:val="0A9F717D"/>
    <w:rsid w:val="0AA305CC"/>
    <w:rsid w:val="0AC84167"/>
    <w:rsid w:val="0AD310EE"/>
    <w:rsid w:val="0AE65372"/>
    <w:rsid w:val="0B03317D"/>
    <w:rsid w:val="0B040552"/>
    <w:rsid w:val="0B436A10"/>
    <w:rsid w:val="0B514A22"/>
    <w:rsid w:val="0B5575E3"/>
    <w:rsid w:val="0B754E1B"/>
    <w:rsid w:val="0BA0772C"/>
    <w:rsid w:val="0C1C2F3E"/>
    <w:rsid w:val="0C2A0BF5"/>
    <w:rsid w:val="0C2D2C04"/>
    <w:rsid w:val="0C48260B"/>
    <w:rsid w:val="0C872834"/>
    <w:rsid w:val="0CAA2ACE"/>
    <w:rsid w:val="0CAB4813"/>
    <w:rsid w:val="0CD97D8C"/>
    <w:rsid w:val="0D295F98"/>
    <w:rsid w:val="0D7B7E36"/>
    <w:rsid w:val="0DA64F33"/>
    <w:rsid w:val="0DBE5BCC"/>
    <w:rsid w:val="0DC51F28"/>
    <w:rsid w:val="0DC64C17"/>
    <w:rsid w:val="0DD10C05"/>
    <w:rsid w:val="0E270CC8"/>
    <w:rsid w:val="0E3336AB"/>
    <w:rsid w:val="0E3D63EB"/>
    <w:rsid w:val="0E9631E0"/>
    <w:rsid w:val="0EA37FCC"/>
    <w:rsid w:val="0EC263D3"/>
    <w:rsid w:val="0EC266A4"/>
    <w:rsid w:val="0F204B8F"/>
    <w:rsid w:val="0F4751BE"/>
    <w:rsid w:val="0F542633"/>
    <w:rsid w:val="0F652790"/>
    <w:rsid w:val="0F771777"/>
    <w:rsid w:val="0F954AE1"/>
    <w:rsid w:val="0FD71350"/>
    <w:rsid w:val="0FED6CEB"/>
    <w:rsid w:val="0FEF74F0"/>
    <w:rsid w:val="0FF94348"/>
    <w:rsid w:val="0FFE305D"/>
    <w:rsid w:val="100006CE"/>
    <w:rsid w:val="10563548"/>
    <w:rsid w:val="10AD196B"/>
    <w:rsid w:val="10CA6EC1"/>
    <w:rsid w:val="10F23C6F"/>
    <w:rsid w:val="1102722C"/>
    <w:rsid w:val="11202258"/>
    <w:rsid w:val="11D52002"/>
    <w:rsid w:val="11D60187"/>
    <w:rsid w:val="12027A1E"/>
    <w:rsid w:val="126F12EF"/>
    <w:rsid w:val="12B603BF"/>
    <w:rsid w:val="12BE6EB0"/>
    <w:rsid w:val="12D678D9"/>
    <w:rsid w:val="12FE6C66"/>
    <w:rsid w:val="132C5202"/>
    <w:rsid w:val="132D4308"/>
    <w:rsid w:val="134358DA"/>
    <w:rsid w:val="134F24D1"/>
    <w:rsid w:val="136E6D46"/>
    <w:rsid w:val="13EB3FA7"/>
    <w:rsid w:val="140E1E82"/>
    <w:rsid w:val="141B6D9E"/>
    <w:rsid w:val="14200B1E"/>
    <w:rsid w:val="143D55B7"/>
    <w:rsid w:val="144349CA"/>
    <w:rsid w:val="14496C80"/>
    <w:rsid w:val="147C2760"/>
    <w:rsid w:val="14943C5A"/>
    <w:rsid w:val="14990ECA"/>
    <w:rsid w:val="15045A5F"/>
    <w:rsid w:val="155E1785"/>
    <w:rsid w:val="15654037"/>
    <w:rsid w:val="15757273"/>
    <w:rsid w:val="15771544"/>
    <w:rsid w:val="15A01A35"/>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821451A"/>
    <w:rsid w:val="18511400"/>
    <w:rsid w:val="185479FD"/>
    <w:rsid w:val="18B72C9A"/>
    <w:rsid w:val="18D83C45"/>
    <w:rsid w:val="18E35EF3"/>
    <w:rsid w:val="19216AC6"/>
    <w:rsid w:val="19383D27"/>
    <w:rsid w:val="193C385F"/>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BC3B1B"/>
    <w:rsid w:val="1AE97737"/>
    <w:rsid w:val="1B0C6C17"/>
    <w:rsid w:val="1B1060FE"/>
    <w:rsid w:val="1B216501"/>
    <w:rsid w:val="1B24060C"/>
    <w:rsid w:val="1B3C01E5"/>
    <w:rsid w:val="1B455F02"/>
    <w:rsid w:val="1B682381"/>
    <w:rsid w:val="1BB543B0"/>
    <w:rsid w:val="1BC62263"/>
    <w:rsid w:val="1BD0092E"/>
    <w:rsid w:val="1BD21EF1"/>
    <w:rsid w:val="1C5C4446"/>
    <w:rsid w:val="1C6B0537"/>
    <w:rsid w:val="1C8B444C"/>
    <w:rsid w:val="1C8E0291"/>
    <w:rsid w:val="1C963239"/>
    <w:rsid w:val="1C9706F7"/>
    <w:rsid w:val="1CA04BFE"/>
    <w:rsid w:val="1CB27013"/>
    <w:rsid w:val="1CC93F94"/>
    <w:rsid w:val="1D22539B"/>
    <w:rsid w:val="1DAE3F03"/>
    <w:rsid w:val="1DB02674"/>
    <w:rsid w:val="1DE640FF"/>
    <w:rsid w:val="1DF32B31"/>
    <w:rsid w:val="1E1430E7"/>
    <w:rsid w:val="1E3824DF"/>
    <w:rsid w:val="1E403142"/>
    <w:rsid w:val="1E5F585E"/>
    <w:rsid w:val="1E73714A"/>
    <w:rsid w:val="1E7E2B16"/>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6C0324"/>
    <w:rsid w:val="20902A30"/>
    <w:rsid w:val="2092077A"/>
    <w:rsid w:val="20AE14FE"/>
    <w:rsid w:val="20CB0635"/>
    <w:rsid w:val="210D0C9A"/>
    <w:rsid w:val="211B682B"/>
    <w:rsid w:val="215D225D"/>
    <w:rsid w:val="21AE0FDC"/>
    <w:rsid w:val="21CA5426"/>
    <w:rsid w:val="21DA4716"/>
    <w:rsid w:val="21DD17F0"/>
    <w:rsid w:val="21F345B0"/>
    <w:rsid w:val="222C075C"/>
    <w:rsid w:val="22483320"/>
    <w:rsid w:val="227E633A"/>
    <w:rsid w:val="22810181"/>
    <w:rsid w:val="22E64F71"/>
    <w:rsid w:val="23387ED6"/>
    <w:rsid w:val="233E161A"/>
    <w:rsid w:val="23420D6C"/>
    <w:rsid w:val="23665B38"/>
    <w:rsid w:val="239D6604"/>
    <w:rsid w:val="239E04F7"/>
    <w:rsid w:val="23BC12D8"/>
    <w:rsid w:val="23C40371"/>
    <w:rsid w:val="24066307"/>
    <w:rsid w:val="240E6C34"/>
    <w:rsid w:val="241A4BC2"/>
    <w:rsid w:val="244D7963"/>
    <w:rsid w:val="244F37F8"/>
    <w:rsid w:val="246508B0"/>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F637EA"/>
    <w:rsid w:val="25FE49BA"/>
    <w:rsid w:val="266B440B"/>
    <w:rsid w:val="266C581A"/>
    <w:rsid w:val="2674607E"/>
    <w:rsid w:val="2685414B"/>
    <w:rsid w:val="269A4809"/>
    <w:rsid w:val="26DE4854"/>
    <w:rsid w:val="26FE1506"/>
    <w:rsid w:val="272D0945"/>
    <w:rsid w:val="273A2C15"/>
    <w:rsid w:val="27656114"/>
    <w:rsid w:val="276E3494"/>
    <w:rsid w:val="27DF69D9"/>
    <w:rsid w:val="280411C2"/>
    <w:rsid w:val="284A3F39"/>
    <w:rsid w:val="284E0B51"/>
    <w:rsid w:val="285C326E"/>
    <w:rsid w:val="28702875"/>
    <w:rsid w:val="287A4275"/>
    <w:rsid w:val="28EB0FF7"/>
    <w:rsid w:val="28F3736D"/>
    <w:rsid w:val="2904719B"/>
    <w:rsid w:val="290731DA"/>
    <w:rsid w:val="290B1084"/>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9185D"/>
    <w:rsid w:val="2C2C35FC"/>
    <w:rsid w:val="2C2E4ADF"/>
    <w:rsid w:val="2C3F0EDD"/>
    <w:rsid w:val="2C53613E"/>
    <w:rsid w:val="2C8132A3"/>
    <w:rsid w:val="2C825415"/>
    <w:rsid w:val="2C884632"/>
    <w:rsid w:val="2CBF1D70"/>
    <w:rsid w:val="2CC971DC"/>
    <w:rsid w:val="2CD61EB8"/>
    <w:rsid w:val="2CF653D4"/>
    <w:rsid w:val="2D39103A"/>
    <w:rsid w:val="2D397142"/>
    <w:rsid w:val="2D3F6B77"/>
    <w:rsid w:val="2DAB1B97"/>
    <w:rsid w:val="2DEE385D"/>
    <w:rsid w:val="2E0A3B00"/>
    <w:rsid w:val="2E1113A3"/>
    <w:rsid w:val="2E1530F1"/>
    <w:rsid w:val="2E521E0D"/>
    <w:rsid w:val="2E6F393B"/>
    <w:rsid w:val="2EA25C4E"/>
    <w:rsid w:val="2EA339A5"/>
    <w:rsid w:val="2ED026DB"/>
    <w:rsid w:val="2EFE6E2D"/>
    <w:rsid w:val="2F383BDA"/>
    <w:rsid w:val="2F3B4EEB"/>
    <w:rsid w:val="2F417517"/>
    <w:rsid w:val="2F432A1A"/>
    <w:rsid w:val="2F4818DE"/>
    <w:rsid w:val="2F666452"/>
    <w:rsid w:val="2F927DA7"/>
    <w:rsid w:val="2FA8676C"/>
    <w:rsid w:val="2FAA36C3"/>
    <w:rsid w:val="2FB36551"/>
    <w:rsid w:val="2FDC2C0D"/>
    <w:rsid w:val="2FDD4C94"/>
    <w:rsid w:val="2FEC390C"/>
    <w:rsid w:val="2FF365A0"/>
    <w:rsid w:val="2FFE78CA"/>
    <w:rsid w:val="301B2407"/>
    <w:rsid w:val="3034687E"/>
    <w:rsid w:val="30380661"/>
    <w:rsid w:val="306275EE"/>
    <w:rsid w:val="306433FB"/>
    <w:rsid w:val="306E5FB4"/>
    <w:rsid w:val="30923A41"/>
    <w:rsid w:val="30D75B88"/>
    <w:rsid w:val="30DB643E"/>
    <w:rsid w:val="30E15504"/>
    <w:rsid w:val="310959B1"/>
    <w:rsid w:val="311D5E56"/>
    <w:rsid w:val="31725FA9"/>
    <w:rsid w:val="31792ACF"/>
    <w:rsid w:val="318956D7"/>
    <w:rsid w:val="31E40435"/>
    <w:rsid w:val="31F866D8"/>
    <w:rsid w:val="320C3CA9"/>
    <w:rsid w:val="32194741"/>
    <w:rsid w:val="32247147"/>
    <w:rsid w:val="323922EC"/>
    <w:rsid w:val="32722318"/>
    <w:rsid w:val="327360D5"/>
    <w:rsid w:val="32F72511"/>
    <w:rsid w:val="330E09B1"/>
    <w:rsid w:val="331362FA"/>
    <w:rsid w:val="332130EA"/>
    <w:rsid w:val="33483B2E"/>
    <w:rsid w:val="339733AC"/>
    <w:rsid w:val="33BA19FB"/>
    <w:rsid w:val="33D94AF6"/>
    <w:rsid w:val="33E17B56"/>
    <w:rsid w:val="33EF7C18"/>
    <w:rsid w:val="33F7221B"/>
    <w:rsid w:val="34325900"/>
    <w:rsid w:val="349D297D"/>
    <w:rsid w:val="34AB66CA"/>
    <w:rsid w:val="34C825B7"/>
    <w:rsid w:val="34DB2264"/>
    <w:rsid w:val="34DC19C6"/>
    <w:rsid w:val="35137922"/>
    <w:rsid w:val="356815AA"/>
    <w:rsid w:val="356B2D42"/>
    <w:rsid w:val="35973B37"/>
    <w:rsid w:val="3598340C"/>
    <w:rsid w:val="35B35CCE"/>
    <w:rsid w:val="35B53A9E"/>
    <w:rsid w:val="35BC161A"/>
    <w:rsid w:val="35BD126D"/>
    <w:rsid w:val="35C72C49"/>
    <w:rsid w:val="36576CB4"/>
    <w:rsid w:val="368045CB"/>
    <w:rsid w:val="368065EA"/>
    <w:rsid w:val="36987B67"/>
    <w:rsid w:val="36BC2C27"/>
    <w:rsid w:val="36E7289C"/>
    <w:rsid w:val="36EE26AB"/>
    <w:rsid w:val="372F0468"/>
    <w:rsid w:val="3739565E"/>
    <w:rsid w:val="377232B5"/>
    <w:rsid w:val="379A16BD"/>
    <w:rsid w:val="37BA68FC"/>
    <w:rsid w:val="37C163D1"/>
    <w:rsid w:val="37EA047C"/>
    <w:rsid w:val="37F232A7"/>
    <w:rsid w:val="380F0075"/>
    <w:rsid w:val="38305B7D"/>
    <w:rsid w:val="384542BC"/>
    <w:rsid w:val="389A4932"/>
    <w:rsid w:val="389B368F"/>
    <w:rsid w:val="39276A42"/>
    <w:rsid w:val="393022D9"/>
    <w:rsid w:val="393B616F"/>
    <w:rsid w:val="394D7A40"/>
    <w:rsid w:val="396315A3"/>
    <w:rsid w:val="396347B3"/>
    <w:rsid w:val="398B779E"/>
    <w:rsid w:val="39B91941"/>
    <w:rsid w:val="39C77D6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6B45C1"/>
    <w:rsid w:val="3C7341D7"/>
    <w:rsid w:val="3C76700F"/>
    <w:rsid w:val="3C9453DA"/>
    <w:rsid w:val="3C957F32"/>
    <w:rsid w:val="3CD44D29"/>
    <w:rsid w:val="3CDB292A"/>
    <w:rsid w:val="3D2403CA"/>
    <w:rsid w:val="3D741543"/>
    <w:rsid w:val="3D962707"/>
    <w:rsid w:val="3E191DEE"/>
    <w:rsid w:val="3E4D3BD3"/>
    <w:rsid w:val="3E671936"/>
    <w:rsid w:val="3E780848"/>
    <w:rsid w:val="3EEC7BC8"/>
    <w:rsid w:val="3F661A90"/>
    <w:rsid w:val="3F7E0C95"/>
    <w:rsid w:val="3F83579F"/>
    <w:rsid w:val="3FC3761C"/>
    <w:rsid w:val="3FC962B1"/>
    <w:rsid w:val="401A30F6"/>
    <w:rsid w:val="404B28C3"/>
    <w:rsid w:val="407F60FD"/>
    <w:rsid w:val="4092686D"/>
    <w:rsid w:val="40EA6130"/>
    <w:rsid w:val="41004C96"/>
    <w:rsid w:val="4104473A"/>
    <w:rsid w:val="411078CD"/>
    <w:rsid w:val="41272213"/>
    <w:rsid w:val="41474664"/>
    <w:rsid w:val="417138A9"/>
    <w:rsid w:val="41736541"/>
    <w:rsid w:val="417C4D58"/>
    <w:rsid w:val="41AF0FFA"/>
    <w:rsid w:val="41D878E4"/>
    <w:rsid w:val="41DE6648"/>
    <w:rsid w:val="42216661"/>
    <w:rsid w:val="4247721E"/>
    <w:rsid w:val="424E43F8"/>
    <w:rsid w:val="427F7570"/>
    <w:rsid w:val="42876CE2"/>
    <w:rsid w:val="42903005"/>
    <w:rsid w:val="42B8353C"/>
    <w:rsid w:val="430D62CD"/>
    <w:rsid w:val="432F49F0"/>
    <w:rsid w:val="435D4F14"/>
    <w:rsid w:val="43BD1D7C"/>
    <w:rsid w:val="43D57920"/>
    <w:rsid w:val="440856C0"/>
    <w:rsid w:val="440E0B44"/>
    <w:rsid w:val="44224E6B"/>
    <w:rsid w:val="4484172B"/>
    <w:rsid w:val="448B0916"/>
    <w:rsid w:val="44B6296D"/>
    <w:rsid w:val="45064FBE"/>
    <w:rsid w:val="457918C4"/>
    <w:rsid w:val="45F03C17"/>
    <w:rsid w:val="460460EC"/>
    <w:rsid w:val="465E4AF7"/>
    <w:rsid w:val="466C691A"/>
    <w:rsid w:val="46734756"/>
    <w:rsid w:val="467A3EB2"/>
    <w:rsid w:val="467F37CC"/>
    <w:rsid w:val="46BF681F"/>
    <w:rsid w:val="46E516DE"/>
    <w:rsid w:val="46F31C44"/>
    <w:rsid w:val="46F70B49"/>
    <w:rsid w:val="47490DD0"/>
    <w:rsid w:val="475A449F"/>
    <w:rsid w:val="4773248D"/>
    <w:rsid w:val="478B5BE9"/>
    <w:rsid w:val="478E5BF3"/>
    <w:rsid w:val="479308E9"/>
    <w:rsid w:val="47990A9D"/>
    <w:rsid w:val="479E0D55"/>
    <w:rsid w:val="47AD0F98"/>
    <w:rsid w:val="47C441CA"/>
    <w:rsid w:val="480B761B"/>
    <w:rsid w:val="481B23A6"/>
    <w:rsid w:val="48256D81"/>
    <w:rsid w:val="488028A3"/>
    <w:rsid w:val="488C1EEE"/>
    <w:rsid w:val="488E7F11"/>
    <w:rsid w:val="48C5283C"/>
    <w:rsid w:val="48D34A2F"/>
    <w:rsid w:val="48D57DF0"/>
    <w:rsid w:val="48E41F49"/>
    <w:rsid w:val="48E649AE"/>
    <w:rsid w:val="491633B3"/>
    <w:rsid w:val="491F2D26"/>
    <w:rsid w:val="49302DA0"/>
    <w:rsid w:val="493C5CD0"/>
    <w:rsid w:val="49501EAC"/>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F16491"/>
    <w:rsid w:val="4B1E4B4A"/>
    <w:rsid w:val="4B7E5E68"/>
    <w:rsid w:val="4BA44BB9"/>
    <w:rsid w:val="4BCB5E91"/>
    <w:rsid w:val="4C230C04"/>
    <w:rsid w:val="4C2D26A8"/>
    <w:rsid w:val="4C5C7A55"/>
    <w:rsid w:val="4C793B3F"/>
    <w:rsid w:val="4C7F4CBE"/>
    <w:rsid w:val="4CAC3328"/>
    <w:rsid w:val="4CC36A5F"/>
    <w:rsid w:val="4CE53C23"/>
    <w:rsid w:val="4CF16FE9"/>
    <w:rsid w:val="4D054AFC"/>
    <w:rsid w:val="4D2A47B7"/>
    <w:rsid w:val="4D7009BD"/>
    <w:rsid w:val="4D9C3E67"/>
    <w:rsid w:val="4D9D3A88"/>
    <w:rsid w:val="4DBC2E94"/>
    <w:rsid w:val="4DCF0F56"/>
    <w:rsid w:val="4E193FF7"/>
    <w:rsid w:val="4E213D88"/>
    <w:rsid w:val="4E453CD9"/>
    <w:rsid w:val="4E514C61"/>
    <w:rsid w:val="4E760C3B"/>
    <w:rsid w:val="4E7E733C"/>
    <w:rsid w:val="4EAF104D"/>
    <w:rsid w:val="4ED77988"/>
    <w:rsid w:val="4EEA6BBA"/>
    <w:rsid w:val="4EF241A3"/>
    <w:rsid w:val="4F0A5E14"/>
    <w:rsid w:val="4F440434"/>
    <w:rsid w:val="4F890607"/>
    <w:rsid w:val="4FC652ED"/>
    <w:rsid w:val="4FC86D44"/>
    <w:rsid w:val="4FF359B6"/>
    <w:rsid w:val="50200540"/>
    <w:rsid w:val="50285660"/>
    <w:rsid w:val="502C5131"/>
    <w:rsid w:val="50342624"/>
    <w:rsid w:val="504D696F"/>
    <w:rsid w:val="5060304C"/>
    <w:rsid w:val="506972BF"/>
    <w:rsid w:val="508A58C1"/>
    <w:rsid w:val="50B37E70"/>
    <w:rsid w:val="50EA6DB9"/>
    <w:rsid w:val="50FC7343"/>
    <w:rsid w:val="51000A73"/>
    <w:rsid w:val="51454191"/>
    <w:rsid w:val="514C620D"/>
    <w:rsid w:val="51514E61"/>
    <w:rsid w:val="519D1BF6"/>
    <w:rsid w:val="51BC1C05"/>
    <w:rsid w:val="51DD0AE1"/>
    <w:rsid w:val="521F2DEA"/>
    <w:rsid w:val="52553BB4"/>
    <w:rsid w:val="52625B2B"/>
    <w:rsid w:val="52882CDF"/>
    <w:rsid w:val="5291221C"/>
    <w:rsid w:val="529E01D6"/>
    <w:rsid w:val="52BF7966"/>
    <w:rsid w:val="52C27F9B"/>
    <w:rsid w:val="530A0D10"/>
    <w:rsid w:val="5330111E"/>
    <w:rsid w:val="53745777"/>
    <w:rsid w:val="537D36C3"/>
    <w:rsid w:val="538318BC"/>
    <w:rsid w:val="53BD0749"/>
    <w:rsid w:val="53E83D39"/>
    <w:rsid w:val="53F85BCC"/>
    <w:rsid w:val="543E18F6"/>
    <w:rsid w:val="54BE47E5"/>
    <w:rsid w:val="550F6EFA"/>
    <w:rsid w:val="55261C80"/>
    <w:rsid w:val="5583158B"/>
    <w:rsid w:val="559144C5"/>
    <w:rsid w:val="55937A20"/>
    <w:rsid w:val="55ED5D80"/>
    <w:rsid w:val="56204B37"/>
    <w:rsid w:val="563441A1"/>
    <w:rsid w:val="565129A9"/>
    <w:rsid w:val="56614D70"/>
    <w:rsid w:val="56C40FAE"/>
    <w:rsid w:val="56D73355"/>
    <w:rsid w:val="56F34E24"/>
    <w:rsid w:val="572032C7"/>
    <w:rsid w:val="573329D7"/>
    <w:rsid w:val="576215A8"/>
    <w:rsid w:val="578A3156"/>
    <w:rsid w:val="57B343A9"/>
    <w:rsid w:val="57B40121"/>
    <w:rsid w:val="58145286"/>
    <w:rsid w:val="582B57B9"/>
    <w:rsid w:val="582F2AD7"/>
    <w:rsid w:val="584410E0"/>
    <w:rsid w:val="585F111F"/>
    <w:rsid w:val="5863030F"/>
    <w:rsid w:val="586E7F1B"/>
    <w:rsid w:val="592D105D"/>
    <w:rsid w:val="593212FE"/>
    <w:rsid w:val="595D3540"/>
    <w:rsid w:val="59623128"/>
    <w:rsid w:val="59747B68"/>
    <w:rsid w:val="59793D78"/>
    <w:rsid w:val="59821302"/>
    <w:rsid w:val="598F1F6F"/>
    <w:rsid w:val="59A41FA0"/>
    <w:rsid w:val="59AA358A"/>
    <w:rsid w:val="5A1738D9"/>
    <w:rsid w:val="5A5D6093"/>
    <w:rsid w:val="5A6574B1"/>
    <w:rsid w:val="5A680661"/>
    <w:rsid w:val="5A9552DA"/>
    <w:rsid w:val="5AA1001F"/>
    <w:rsid w:val="5AA4622B"/>
    <w:rsid w:val="5ABA1C31"/>
    <w:rsid w:val="5AC86D37"/>
    <w:rsid w:val="5B0B2944"/>
    <w:rsid w:val="5B155164"/>
    <w:rsid w:val="5B4812AC"/>
    <w:rsid w:val="5B4F6FAF"/>
    <w:rsid w:val="5B81213C"/>
    <w:rsid w:val="5BA26C70"/>
    <w:rsid w:val="5BE73454"/>
    <w:rsid w:val="5BE84759"/>
    <w:rsid w:val="5BF4553D"/>
    <w:rsid w:val="5C425CFC"/>
    <w:rsid w:val="5C4F4BF7"/>
    <w:rsid w:val="5C643F86"/>
    <w:rsid w:val="5C665539"/>
    <w:rsid w:val="5C7D6786"/>
    <w:rsid w:val="5CFF708F"/>
    <w:rsid w:val="5D477710"/>
    <w:rsid w:val="5D4B2D1B"/>
    <w:rsid w:val="5D5757D7"/>
    <w:rsid w:val="5D892330"/>
    <w:rsid w:val="5D9C5497"/>
    <w:rsid w:val="5DBF512A"/>
    <w:rsid w:val="5DFF19E2"/>
    <w:rsid w:val="5E0F2166"/>
    <w:rsid w:val="5EAB4F7B"/>
    <w:rsid w:val="5EAC7460"/>
    <w:rsid w:val="5EB01642"/>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600227CA"/>
    <w:rsid w:val="60305ACE"/>
    <w:rsid w:val="6048342C"/>
    <w:rsid w:val="6054524C"/>
    <w:rsid w:val="606409DB"/>
    <w:rsid w:val="60720BE3"/>
    <w:rsid w:val="609B47A1"/>
    <w:rsid w:val="60E34B01"/>
    <w:rsid w:val="61077514"/>
    <w:rsid w:val="610B7637"/>
    <w:rsid w:val="611A0EA3"/>
    <w:rsid w:val="61247BC4"/>
    <w:rsid w:val="612620F2"/>
    <w:rsid w:val="61396F21"/>
    <w:rsid w:val="61563D8A"/>
    <w:rsid w:val="61675A89"/>
    <w:rsid w:val="61E437AA"/>
    <w:rsid w:val="61F538FF"/>
    <w:rsid w:val="62066A55"/>
    <w:rsid w:val="621719D8"/>
    <w:rsid w:val="623D18BA"/>
    <w:rsid w:val="6241427D"/>
    <w:rsid w:val="62554D62"/>
    <w:rsid w:val="62674759"/>
    <w:rsid w:val="62935A59"/>
    <w:rsid w:val="62CF4061"/>
    <w:rsid w:val="62E47B0C"/>
    <w:rsid w:val="632E7709"/>
    <w:rsid w:val="63A75D22"/>
    <w:rsid w:val="63B00791"/>
    <w:rsid w:val="63B5357F"/>
    <w:rsid w:val="63BD1004"/>
    <w:rsid w:val="63C705B2"/>
    <w:rsid w:val="63CD15D5"/>
    <w:rsid w:val="63D47B81"/>
    <w:rsid w:val="643207A1"/>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B544EF"/>
    <w:rsid w:val="66F71181"/>
    <w:rsid w:val="67466C30"/>
    <w:rsid w:val="6747041E"/>
    <w:rsid w:val="67566AFF"/>
    <w:rsid w:val="675B2A2A"/>
    <w:rsid w:val="675E0579"/>
    <w:rsid w:val="67654F94"/>
    <w:rsid w:val="677F41DA"/>
    <w:rsid w:val="67E542AD"/>
    <w:rsid w:val="67E62A51"/>
    <w:rsid w:val="68107747"/>
    <w:rsid w:val="68120C78"/>
    <w:rsid w:val="68164673"/>
    <w:rsid w:val="681E4308"/>
    <w:rsid w:val="68237975"/>
    <w:rsid w:val="68272865"/>
    <w:rsid w:val="6838670D"/>
    <w:rsid w:val="68757459"/>
    <w:rsid w:val="687E0D52"/>
    <w:rsid w:val="68816686"/>
    <w:rsid w:val="68834BBC"/>
    <w:rsid w:val="68883F0D"/>
    <w:rsid w:val="68C301C4"/>
    <w:rsid w:val="68D128E1"/>
    <w:rsid w:val="68E25001"/>
    <w:rsid w:val="690E1BE8"/>
    <w:rsid w:val="69161412"/>
    <w:rsid w:val="69262B12"/>
    <w:rsid w:val="693D5CD9"/>
    <w:rsid w:val="698C77F2"/>
    <w:rsid w:val="699904A8"/>
    <w:rsid w:val="69B75B4F"/>
    <w:rsid w:val="69CC4101"/>
    <w:rsid w:val="69D12FAB"/>
    <w:rsid w:val="6A116821"/>
    <w:rsid w:val="6A1A2624"/>
    <w:rsid w:val="6A3E7FFD"/>
    <w:rsid w:val="6A580EEF"/>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A01AC4"/>
    <w:rsid w:val="6CC20C29"/>
    <w:rsid w:val="6CCB1BC5"/>
    <w:rsid w:val="6CD646CF"/>
    <w:rsid w:val="6CF92FE3"/>
    <w:rsid w:val="6CFC757E"/>
    <w:rsid w:val="6D245E19"/>
    <w:rsid w:val="6D8B7FE5"/>
    <w:rsid w:val="6DA0107C"/>
    <w:rsid w:val="6DC42A14"/>
    <w:rsid w:val="6DE4548A"/>
    <w:rsid w:val="6DE45822"/>
    <w:rsid w:val="6DE5298B"/>
    <w:rsid w:val="6DE720B2"/>
    <w:rsid w:val="6DF20A14"/>
    <w:rsid w:val="6DF258F4"/>
    <w:rsid w:val="6E1F58A5"/>
    <w:rsid w:val="6E425AE3"/>
    <w:rsid w:val="6E4E7458"/>
    <w:rsid w:val="6E6955A2"/>
    <w:rsid w:val="6E827A5B"/>
    <w:rsid w:val="6EAD4B62"/>
    <w:rsid w:val="6EBB192F"/>
    <w:rsid w:val="6F101C89"/>
    <w:rsid w:val="6F134BAA"/>
    <w:rsid w:val="6F231519"/>
    <w:rsid w:val="6F5E706E"/>
    <w:rsid w:val="6F6E713D"/>
    <w:rsid w:val="6FA37B33"/>
    <w:rsid w:val="6FB645DF"/>
    <w:rsid w:val="6FC55912"/>
    <w:rsid w:val="6FD71C4D"/>
    <w:rsid w:val="6FF75C84"/>
    <w:rsid w:val="703E7787"/>
    <w:rsid w:val="70697080"/>
    <w:rsid w:val="7074043C"/>
    <w:rsid w:val="709829C9"/>
    <w:rsid w:val="70AC019F"/>
    <w:rsid w:val="70C42D2B"/>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7F5809"/>
    <w:rsid w:val="72C909D3"/>
    <w:rsid w:val="72D36A71"/>
    <w:rsid w:val="72EF558F"/>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504558C"/>
    <w:rsid w:val="75225F8C"/>
    <w:rsid w:val="75546F0E"/>
    <w:rsid w:val="757403BC"/>
    <w:rsid w:val="75761242"/>
    <w:rsid w:val="75943B6B"/>
    <w:rsid w:val="75D96EA9"/>
    <w:rsid w:val="7635037C"/>
    <w:rsid w:val="76393286"/>
    <w:rsid w:val="767979DF"/>
    <w:rsid w:val="7687286F"/>
    <w:rsid w:val="76C34768"/>
    <w:rsid w:val="76C360DC"/>
    <w:rsid w:val="76DC5F6F"/>
    <w:rsid w:val="76F55C40"/>
    <w:rsid w:val="77130569"/>
    <w:rsid w:val="773C6D5C"/>
    <w:rsid w:val="773D2DAD"/>
    <w:rsid w:val="77730BDA"/>
    <w:rsid w:val="77E67B45"/>
    <w:rsid w:val="77F42148"/>
    <w:rsid w:val="78390ED2"/>
    <w:rsid w:val="783E61D3"/>
    <w:rsid w:val="787130F8"/>
    <w:rsid w:val="788071FB"/>
    <w:rsid w:val="78833532"/>
    <w:rsid w:val="78B8489E"/>
    <w:rsid w:val="78BD69DE"/>
    <w:rsid w:val="79023C15"/>
    <w:rsid w:val="7914333F"/>
    <w:rsid w:val="793677EC"/>
    <w:rsid w:val="7939786F"/>
    <w:rsid w:val="794D0F04"/>
    <w:rsid w:val="7956519B"/>
    <w:rsid w:val="795B7C31"/>
    <w:rsid w:val="79661644"/>
    <w:rsid w:val="796C53DD"/>
    <w:rsid w:val="796E1A86"/>
    <w:rsid w:val="79815763"/>
    <w:rsid w:val="79990A0D"/>
    <w:rsid w:val="79FF4E7B"/>
    <w:rsid w:val="7A0027B8"/>
    <w:rsid w:val="7A1E0C67"/>
    <w:rsid w:val="7A2D742D"/>
    <w:rsid w:val="7A351AB3"/>
    <w:rsid w:val="7A6A7A61"/>
    <w:rsid w:val="7A7A445B"/>
    <w:rsid w:val="7A8077B2"/>
    <w:rsid w:val="7B44371A"/>
    <w:rsid w:val="7B5937C2"/>
    <w:rsid w:val="7B6A44CF"/>
    <w:rsid w:val="7B8C2698"/>
    <w:rsid w:val="7B93603A"/>
    <w:rsid w:val="7B9859C3"/>
    <w:rsid w:val="7B9B4B89"/>
    <w:rsid w:val="7BA342E6"/>
    <w:rsid w:val="7BB310BF"/>
    <w:rsid w:val="7C1B7D45"/>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E140867"/>
    <w:rsid w:val="7E176B90"/>
    <w:rsid w:val="7E4B4A8C"/>
    <w:rsid w:val="7E4E6457"/>
    <w:rsid w:val="7E501A9F"/>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11262</Words>
  <Characters>13779</Characters>
  <Lines>0</Lines>
  <Paragraphs>0</Paragraphs>
  <TotalTime>1</TotalTime>
  <ScaleCrop>false</ScaleCrop>
  <LinksUpToDate>false</LinksUpToDate>
  <CharactersWithSpaces>14477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2026-05-20T14:14:23Z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