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C0D42">
      <w:pPr>
        <w:jc w:val="left"/>
        <w:rPr>
          <w:rFonts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附件1</w:t>
      </w:r>
    </w:p>
    <w:p w14:paraId="633F66B7">
      <w:pPr>
        <w:jc w:val="center"/>
        <w:rPr>
          <w:rFonts w:ascii="华文新魏" w:eastAsia="华文新魏"/>
          <w:sz w:val="52"/>
          <w:szCs w:val="52"/>
        </w:rPr>
      </w:pPr>
    </w:p>
    <w:p w14:paraId="39C26C20">
      <w:pPr>
        <w:jc w:val="center"/>
        <w:rPr>
          <w:rFonts w:ascii="华文新魏" w:eastAsia="华文新魏"/>
          <w:sz w:val="52"/>
          <w:szCs w:val="52"/>
        </w:rPr>
      </w:pPr>
    </w:p>
    <w:p w14:paraId="094F6432">
      <w:pPr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/>
          <w:sz w:val="72"/>
          <w:szCs w:val="72"/>
        </w:rPr>
        <w:t>天津农学院</w:t>
      </w:r>
    </w:p>
    <w:p w14:paraId="23AED895">
      <w:pPr>
        <w:jc w:val="center"/>
        <w:rPr>
          <w:rFonts w:ascii="华文新魏" w:eastAsia="华文新魏"/>
          <w:sz w:val="84"/>
          <w:szCs w:val="84"/>
        </w:rPr>
      </w:pPr>
      <w:r>
        <w:rPr>
          <w:rFonts w:ascii="华文新魏" w:eastAsia="华文新魏"/>
          <w:sz w:val="84"/>
          <w:szCs w:val="84"/>
        </w:rPr>
        <w:t>毕业</w:t>
      </w:r>
      <w:r>
        <w:rPr>
          <w:rFonts w:hint="eastAsia" w:ascii="华文新魏" w:eastAsia="华文新魏"/>
          <w:sz w:val="84"/>
          <w:szCs w:val="84"/>
        </w:rPr>
        <w:t>设计</w:t>
      </w:r>
      <w:r>
        <w:rPr>
          <w:rFonts w:ascii="华文新魏" w:eastAsia="华文新魏"/>
          <w:sz w:val="84"/>
          <w:szCs w:val="84"/>
        </w:rPr>
        <w:t>任务书</w:t>
      </w:r>
    </w:p>
    <w:p w14:paraId="58D0B016">
      <w:pPr>
        <w:jc w:val="center"/>
        <w:rPr>
          <w:rFonts w:hAnsi="宋体"/>
          <w:b/>
          <w:bCs/>
          <w:sz w:val="52"/>
          <w:szCs w:val="52"/>
        </w:rPr>
      </w:pPr>
    </w:p>
    <w:p w14:paraId="185CC00C">
      <w:pPr>
        <w:rPr>
          <w:rFonts w:hAnsi="宋体"/>
          <w:b/>
          <w:bCs/>
          <w:sz w:val="52"/>
          <w:szCs w:val="52"/>
        </w:rPr>
      </w:pPr>
    </w:p>
    <w:p w14:paraId="296A59DB">
      <w:pPr>
        <w:spacing w:line="360" w:lineRule="auto"/>
        <w:ind w:firstLine="800" w:firstLineChars="250"/>
        <w:rPr>
          <w:rFonts w:hAnsi="宋体"/>
          <w:sz w:val="32"/>
          <w:szCs w:val="32"/>
        </w:rPr>
      </w:pPr>
    </w:p>
    <w:p w14:paraId="327180A1">
      <w:pPr>
        <w:spacing w:line="360" w:lineRule="auto"/>
        <w:rPr>
          <w:rFonts w:hAnsi="宋体"/>
          <w:sz w:val="32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843"/>
      </w:tblGrid>
      <w:tr w14:paraId="706D7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156A5">
            <w:pPr>
              <w:pStyle w:val="6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题目</w:t>
            </w:r>
          </w:p>
        </w:tc>
        <w:tc>
          <w:tcPr>
            <w:tcW w:w="484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111CDC8">
            <w:pPr>
              <w:pStyle w:val="6"/>
              <w:widowControl/>
              <w:spacing w:beforeAutospacing="0" w:afterAutospacing="0" w:line="440" w:lineRule="exact"/>
              <w:rPr>
                <w:rFonts w:ascii="Times New Roman" w:cs="宋体"/>
                <w:sz w:val="28"/>
                <w:szCs w:val="28"/>
              </w:rPr>
            </w:pPr>
            <w:r>
              <w:rPr>
                <w:rFonts w:hint="eastAsia" w:ascii="Times New Roman" w:cs="宋体"/>
                <w:sz w:val="28"/>
                <w:szCs w:val="28"/>
              </w:rPr>
              <w:t>年产</w:t>
            </w:r>
            <w:r>
              <w:rPr>
                <w:rFonts w:ascii="Times New Roman"/>
                <w:sz w:val="28"/>
                <w:szCs w:val="28"/>
              </w:rPr>
              <w:t>1000</w:t>
            </w:r>
            <w:r>
              <w:rPr>
                <w:rFonts w:hint="eastAsia" w:ascii="Times New Roman" w:cs="宋体"/>
                <w:sz w:val="28"/>
                <w:szCs w:val="28"/>
              </w:rPr>
              <w:t>吨蓝莓酸奶车间设计</w:t>
            </w:r>
          </w:p>
        </w:tc>
      </w:tr>
      <w:tr w14:paraId="57EC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4E537">
            <w:pPr>
              <w:pStyle w:val="6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学生姓名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247AF26">
            <w:pPr>
              <w:pStyle w:val="6"/>
              <w:widowControl/>
              <w:spacing w:beforeAutospacing="0" w:afterAutospacing="0" w:line="440" w:lineRule="exact"/>
              <w:rPr>
                <w:rFonts w:ascii="Times New Roman" w:cs="宋体"/>
                <w:sz w:val="28"/>
                <w:szCs w:val="28"/>
              </w:rPr>
            </w:pPr>
            <w:r>
              <w:rPr>
                <w:rFonts w:hint="eastAsia" w:ascii="Times New Roman" w:cs="宋体"/>
                <w:sz w:val="28"/>
                <w:szCs w:val="28"/>
              </w:rPr>
              <w:t>王华杰</w:t>
            </w:r>
          </w:p>
        </w:tc>
      </w:tr>
      <w:tr w14:paraId="0E2D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11EE4">
            <w:pPr>
              <w:pStyle w:val="6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二级学院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5BB72BC">
            <w:pPr>
              <w:pStyle w:val="6"/>
              <w:widowControl/>
              <w:spacing w:beforeAutospacing="0" w:afterAutospacing="0" w:line="440" w:lineRule="exact"/>
              <w:rPr>
                <w:rFonts w:ascii="Times New Roman" w:cs="宋体"/>
                <w:sz w:val="28"/>
                <w:szCs w:val="28"/>
              </w:rPr>
            </w:pPr>
            <w:r>
              <w:rPr>
                <w:rFonts w:hint="eastAsia" w:ascii="Times New Roman" w:cs="宋体"/>
                <w:sz w:val="28"/>
                <w:szCs w:val="28"/>
              </w:rPr>
              <w:t>食品科学与生物工程学院</w:t>
            </w:r>
          </w:p>
        </w:tc>
      </w:tr>
      <w:tr w14:paraId="6D05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4B39C">
            <w:pPr>
              <w:pStyle w:val="6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系别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68635D9">
            <w:pPr>
              <w:pStyle w:val="6"/>
              <w:widowControl/>
              <w:spacing w:beforeAutospacing="0" w:afterAutospacing="0" w:line="440" w:lineRule="exact"/>
              <w:rPr>
                <w:rFonts w:ascii="Times New Roman" w:cs="宋体"/>
                <w:sz w:val="28"/>
                <w:szCs w:val="28"/>
              </w:rPr>
            </w:pPr>
            <w:r>
              <w:rPr>
                <w:rFonts w:hint="eastAsia" w:ascii="Times New Roman" w:cs="宋体"/>
                <w:sz w:val="28"/>
                <w:szCs w:val="28"/>
              </w:rPr>
              <w:t>食品科学与工程系</w:t>
            </w:r>
          </w:p>
        </w:tc>
      </w:tr>
      <w:tr w14:paraId="0AE0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B5A5D">
            <w:pPr>
              <w:pStyle w:val="6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专业班级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02E859E">
            <w:pPr>
              <w:pStyle w:val="6"/>
              <w:widowControl/>
              <w:spacing w:beforeAutospacing="0" w:afterAutospacing="0" w:line="440" w:lineRule="exact"/>
              <w:rPr>
                <w:rFonts w:ascii="Times New Roman" w:cs="宋体"/>
                <w:sz w:val="28"/>
                <w:szCs w:val="28"/>
              </w:rPr>
            </w:pPr>
            <w:r>
              <w:rPr>
                <w:rFonts w:hint="eastAsia" w:ascii="Times New Roman" w:cs="宋体"/>
                <w:sz w:val="28"/>
                <w:szCs w:val="28"/>
              </w:rPr>
              <w:t>2022级食品科学与工程3班</w:t>
            </w:r>
          </w:p>
        </w:tc>
      </w:tr>
      <w:tr w14:paraId="44C1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C762B">
            <w:pPr>
              <w:pStyle w:val="6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指导教师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BFA1549">
            <w:pPr>
              <w:pStyle w:val="6"/>
              <w:widowControl/>
              <w:spacing w:beforeAutospacing="0" w:afterAutospacing="0" w:line="440" w:lineRule="exact"/>
              <w:rPr>
                <w:rFonts w:ascii="Times New Roman" w:cs="宋体"/>
                <w:sz w:val="28"/>
                <w:szCs w:val="28"/>
              </w:rPr>
            </w:pPr>
            <w:r>
              <w:rPr>
                <w:rFonts w:hint="eastAsia" w:ascii="Times New Roman" w:cs="宋体"/>
                <w:sz w:val="28"/>
                <w:szCs w:val="28"/>
              </w:rPr>
              <w:t>郭梅</w:t>
            </w:r>
          </w:p>
        </w:tc>
      </w:tr>
    </w:tbl>
    <w:p w14:paraId="0930B200">
      <w:pPr>
        <w:spacing w:line="360" w:lineRule="auto"/>
        <w:rPr>
          <w:rFonts w:eastAsia="楷体_GB2312"/>
          <w:sz w:val="28"/>
          <w:szCs w:val="28"/>
        </w:rPr>
      </w:pPr>
    </w:p>
    <w:p w14:paraId="3B84561F">
      <w:pPr>
        <w:spacing w:line="360" w:lineRule="auto"/>
        <w:ind w:firstLine="800" w:firstLineChars="250"/>
        <w:rPr>
          <w:rFonts w:eastAsia="楷体_GB2312"/>
          <w:sz w:val="32"/>
          <w:u w:val="single"/>
        </w:rPr>
      </w:pPr>
    </w:p>
    <w:p w14:paraId="6A996BAB">
      <w:pPr>
        <w:spacing w:line="360" w:lineRule="auto"/>
        <w:ind w:firstLine="800" w:firstLineChars="250"/>
        <w:rPr>
          <w:rFonts w:eastAsia="楷体_GB2312"/>
          <w:sz w:val="32"/>
          <w:u w:val="single"/>
        </w:rPr>
      </w:pPr>
    </w:p>
    <w:p w14:paraId="6C39F7CD">
      <w:pPr>
        <w:spacing w:line="360" w:lineRule="auto"/>
        <w:rPr>
          <w:rFonts w:eastAsia="楷体_GB2312"/>
          <w:sz w:val="32"/>
          <w:u w:val="single"/>
        </w:rPr>
      </w:pPr>
    </w:p>
    <w:p w14:paraId="4E70028B">
      <w:pPr>
        <w:jc w:val="center"/>
        <w:rPr>
          <w:rFonts w:hint="eastAsia" w:ascii="黑体" w:hAnsi="宋体" w:eastAsia="黑体"/>
        </w:rPr>
        <w:sectPr>
          <w:headerReference r:id="rId3" w:type="default"/>
          <w:pgSz w:w="11906" w:h="16838"/>
          <w:pgMar w:top="1417" w:right="1417" w:bottom="1417" w:left="1417" w:header="851" w:footer="992" w:gutter="0"/>
          <w:cols w:space="720" w:num="1"/>
          <w:docGrid w:type="lines" w:linePitch="312" w:charSpace="0"/>
        </w:sectPr>
      </w:pPr>
    </w:p>
    <w:tbl>
      <w:tblPr>
        <w:tblStyle w:val="7"/>
        <w:tblW w:w="880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234"/>
        <w:gridCol w:w="7574"/>
      </w:tblGrid>
      <w:tr w14:paraId="58E45E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25" w:hRule="atLeast"/>
          <w:jc w:val="center"/>
        </w:trPr>
        <w:tc>
          <w:tcPr>
            <w:tcW w:w="1234" w:type="dxa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noWrap/>
            <w:vAlign w:val="center"/>
          </w:tcPr>
          <w:p w14:paraId="46FA0F3C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题 目</w:t>
            </w:r>
          </w:p>
        </w:tc>
        <w:tc>
          <w:tcPr>
            <w:tcW w:w="7574" w:type="dxa"/>
            <w:tcBorders>
              <w:top w:val="single" w:color="000000" w:sz="12" w:space="0"/>
              <w:left w:val="single" w:color="auto" w:sz="4" w:space="0"/>
              <w:right w:val="single" w:color="000000" w:sz="12" w:space="0"/>
            </w:tcBorders>
            <w:noWrap/>
            <w:vAlign w:val="center"/>
          </w:tcPr>
          <w:p w14:paraId="7C5B5C28">
            <w:pPr>
              <w:spacing w:line="440" w:lineRule="exact"/>
              <w:ind w:firstLine="240" w:firstLineChars="100"/>
              <w:rPr>
                <w:szCs w:val="24"/>
              </w:rPr>
            </w:pPr>
            <w:r>
              <w:rPr>
                <w:rFonts w:hint="eastAsia" w:ascii="Times New Roman"/>
              </w:rPr>
              <w:t>年产1</w:t>
            </w:r>
            <w:r>
              <w:rPr>
                <w:rFonts w:ascii="Times New Roman"/>
              </w:rPr>
              <w:t>000</w:t>
            </w:r>
            <w:r>
              <w:rPr>
                <w:rFonts w:hint="eastAsia" w:ascii="Times New Roman"/>
              </w:rPr>
              <w:t>吨蓝莓酸奶车间设计</w:t>
            </w:r>
          </w:p>
        </w:tc>
      </w:tr>
      <w:tr w14:paraId="7B2131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527" w:hRule="atLeast"/>
          <w:jc w:val="center"/>
        </w:trPr>
        <w:tc>
          <w:tcPr>
            <w:tcW w:w="1234" w:type="dxa"/>
            <w:tcBorders>
              <w:left w:val="single" w:color="000000" w:sz="12" w:space="0"/>
            </w:tcBorders>
            <w:noWrap/>
            <w:vAlign w:val="center"/>
          </w:tcPr>
          <w:p w14:paraId="518EE69D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主</w:t>
            </w:r>
          </w:p>
          <w:p w14:paraId="2AB96E58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要</w:t>
            </w:r>
          </w:p>
          <w:p w14:paraId="05A31AC7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内</w:t>
            </w:r>
          </w:p>
          <w:p w14:paraId="6E1F7122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容</w:t>
            </w:r>
          </w:p>
        </w:tc>
        <w:tc>
          <w:tcPr>
            <w:tcW w:w="7574" w:type="dxa"/>
            <w:tcBorders>
              <w:right w:val="single" w:color="000000" w:sz="12" w:space="0"/>
            </w:tcBorders>
            <w:noWrap/>
          </w:tcPr>
          <w:p w14:paraId="4769BA78">
            <w:pPr>
              <w:spacing w:line="440" w:lineRule="exact"/>
              <w:ind w:firstLine="480" w:firstLineChars="20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本课题是对年产1000吨蓝莓酸奶加工车间进行设计，设计内容主要为：</w:t>
            </w:r>
          </w:p>
          <w:p w14:paraId="1FFC7819">
            <w:pPr>
              <w:spacing w:line="440" w:lineRule="exact"/>
              <w:ind w:left="240" w:hanging="240" w:hangingChars="100"/>
              <w:rPr>
                <w:rFonts w:ascii="Times New Roman" w:cs="宋体"/>
                <w:szCs w:val="24"/>
              </w:rPr>
            </w:pPr>
            <w:r>
              <w:rPr>
                <w:rFonts w:ascii="Times New Roman" w:cs="宋体"/>
                <w:szCs w:val="24"/>
              </w:rPr>
              <w:t>1、调查国内外蓝莓酸奶的市场供需现状及产业发展趋势，针对车间设计方案的具体需求，确定合理的产品方案及生产规模；</w:t>
            </w:r>
          </w:p>
          <w:p w14:paraId="53C9BE78">
            <w:pPr>
              <w:spacing w:line="440" w:lineRule="exact"/>
              <w:ind w:left="240" w:hanging="240" w:hangingChars="100"/>
              <w:rPr>
                <w:rFonts w:ascii="Times New Roman" w:cs="宋体"/>
                <w:szCs w:val="24"/>
              </w:rPr>
            </w:pPr>
            <w:r>
              <w:rPr>
                <w:rFonts w:ascii="Times New Roman" w:cs="宋体"/>
                <w:szCs w:val="24"/>
              </w:rPr>
              <w:t>2、查阅乳制品加工及果味酸奶相关文献，设计出科学合理的生产工艺流程，并制定相应的成品质量标准；</w:t>
            </w:r>
          </w:p>
          <w:p w14:paraId="1799FCC6">
            <w:pPr>
              <w:spacing w:line="440" w:lineRule="exact"/>
              <w:ind w:left="240" w:hanging="240" w:hangingChars="100"/>
              <w:rPr>
                <w:rFonts w:ascii="Times New Roman" w:cs="宋体"/>
                <w:szCs w:val="24"/>
              </w:rPr>
            </w:pPr>
            <w:r>
              <w:rPr>
                <w:rFonts w:ascii="Times New Roman" w:cs="宋体"/>
                <w:szCs w:val="24"/>
              </w:rPr>
              <w:t>3、进行全过程物料衡算，根据产品规格及产量要求进行核心设备选型，并估算生产过程中的水、电、汽用量；</w:t>
            </w:r>
          </w:p>
          <w:p w14:paraId="0102EF7E">
            <w:pPr>
              <w:spacing w:line="440" w:lineRule="exact"/>
              <w:ind w:left="240" w:hanging="240" w:hangingChars="100"/>
              <w:rPr>
                <w:rFonts w:ascii="Times New Roman" w:cs="宋体"/>
                <w:szCs w:val="24"/>
              </w:rPr>
            </w:pPr>
            <w:r>
              <w:rPr>
                <w:rFonts w:ascii="Times New Roman" w:cs="宋体"/>
                <w:szCs w:val="24"/>
              </w:rPr>
              <w:t>4、对生产车间进行合理布局，明确洁净区、准洁净区与一般作业区的划分，并完成给排水、供气、通风等辅助性非工艺设计；</w:t>
            </w:r>
          </w:p>
          <w:p w14:paraId="1617DA49">
            <w:pPr>
              <w:spacing w:line="440" w:lineRule="exact"/>
              <w:ind w:left="240" w:hanging="240" w:hangingChars="100"/>
              <w:rPr>
                <w:rFonts w:ascii="Times New Roman" w:cs="宋体"/>
                <w:szCs w:val="24"/>
              </w:rPr>
            </w:pPr>
            <w:r>
              <w:rPr>
                <w:rFonts w:ascii="Times New Roman" w:cs="宋体"/>
                <w:szCs w:val="24"/>
              </w:rPr>
              <w:t>5、综合考量生产工艺的合理性、资源循环利用效率以及环境保护要求，设计出符合 GMP（良好生产规范）要求的规范化设备生产线；</w:t>
            </w:r>
          </w:p>
          <w:p w14:paraId="58265023">
            <w:pPr>
              <w:spacing w:line="440" w:lineRule="exact"/>
              <w:ind w:left="240" w:hanging="240" w:hangingChars="100"/>
              <w:rPr>
                <w:rFonts w:ascii="Times New Roman" w:cs="宋体"/>
                <w:szCs w:val="24"/>
              </w:rPr>
            </w:pPr>
            <w:r>
              <w:rPr>
                <w:rFonts w:ascii="Times New Roman" w:cs="宋体"/>
                <w:szCs w:val="24"/>
              </w:rPr>
              <w:t>6、对车间的建设投资成本、日常运行成本及预期盈利能力进行经济分析，评估项目的社会效益与经济可行性；</w:t>
            </w:r>
          </w:p>
          <w:p w14:paraId="75F11080">
            <w:pPr>
              <w:spacing w:line="440" w:lineRule="exact"/>
              <w:ind w:left="240" w:hanging="240" w:hangingChars="100"/>
              <w:rPr>
                <w:rFonts w:ascii="Times New Roman"/>
                <w:szCs w:val="24"/>
              </w:rPr>
            </w:pPr>
            <w:r>
              <w:rPr>
                <w:rFonts w:ascii="Times New Roman" w:cs="宋体"/>
                <w:szCs w:val="24"/>
              </w:rPr>
              <w:t>7、绘制生产工艺流程图、车间设备平面布置图以及关键非标设备示意图。</w:t>
            </w:r>
          </w:p>
        </w:tc>
      </w:tr>
      <w:tr w14:paraId="59CB35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32" w:hRule="atLeast"/>
          <w:jc w:val="center"/>
        </w:trPr>
        <w:tc>
          <w:tcPr>
            <w:tcW w:w="1234" w:type="dxa"/>
            <w:tcBorders>
              <w:left w:val="single" w:color="000000" w:sz="12" w:space="0"/>
            </w:tcBorders>
            <w:noWrap/>
            <w:vAlign w:val="center"/>
          </w:tcPr>
          <w:p w14:paraId="442DD22D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基</w:t>
            </w:r>
          </w:p>
          <w:p w14:paraId="2B003AB9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本</w:t>
            </w:r>
          </w:p>
          <w:p w14:paraId="41FBF75F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要</w:t>
            </w:r>
          </w:p>
          <w:p w14:paraId="2D6527DF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求</w:t>
            </w:r>
          </w:p>
        </w:tc>
        <w:tc>
          <w:tcPr>
            <w:tcW w:w="7574" w:type="dxa"/>
            <w:tcBorders>
              <w:right w:val="single" w:color="000000" w:sz="12" w:space="0"/>
            </w:tcBorders>
            <w:noWrap/>
            <w:vAlign w:val="center"/>
          </w:tcPr>
          <w:p w14:paraId="443040CF">
            <w:pPr>
              <w:widowControl/>
              <w:spacing w:line="440" w:lineRule="exact"/>
              <w:ind w:firstLine="480" w:firstLineChars="200"/>
              <w:rPr>
                <w:rFonts w:hAnsi="宋体"/>
              </w:rPr>
            </w:pPr>
            <w:r>
              <w:rPr>
                <w:rFonts w:hint="eastAsia" w:hAnsi="宋体"/>
              </w:rPr>
              <w:t>本设计严格遵循国家及地方食品生产法规与标准，确保生产过程合规、科学且高效。</w:t>
            </w:r>
          </w:p>
          <w:p w14:paraId="24125C00">
            <w:pPr>
              <w:widowControl/>
              <w:spacing w:line="440" w:lineRule="exact"/>
              <w:ind w:left="240" w:hanging="240" w:hangingChars="100"/>
              <w:rPr>
                <w:rFonts w:hAnsi="宋体"/>
              </w:rPr>
            </w:pPr>
            <w:r>
              <w:rPr>
                <w:rFonts w:hint="eastAsia" w:hAnsi="宋体"/>
              </w:rPr>
              <w:t>1、场地选择：优先交通便利且靠近奶源或蓝莓主产区，降低运输成本；厂址需避开居民区与生态保护区，利用产业园区政策降低成本。</w:t>
            </w:r>
          </w:p>
          <w:p w14:paraId="786E7CB9">
            <w:pPr>
              <w:widowControl/>
              <w:spacing w:line="440" w:lineRule="exact"/>
              <w:ind w:left="240" w:hanging="240" w:hangingChars="100"/>
              <w:rPr>
                <w:rFonts w:hAnsi="宋体"/>
              </w:rPr>
            </w:pPr>
            <w:r>
              <w:rPr>
                <w:rFonts w:hint="eastAsia" w:hAnsi="宋体"/>
              </w:rPr>
              <w:t>2、车间工艺布置：遵循“单一流向”原则，严格划分清洁区、准清洁区与一般区，严防交叉污染；设备布局科学有序，预留充足维护空间与安全防护设施。</w:t>
            </w:r>
          </w:p>
          <w:p w14:paraId="6EDA15F7">
            <w:pPr>
              <w:widowControl/>
              <w:spacing w:line="440" w:lineRule="exact"/>
              <w:ind w:left="240" w:hanging="240" w:hangingChars="100"/>
              <w:rPr>
                <w:rFonts w:hAnsi="宋体"/>
              </w:rPr>
            </w:pPr>
            <w:r>
              <w:rPr>
                <w:rFonts w:hint="eastAsia" w:hAnsi="宋体"/>
              </w:rPr>
              <w:t>3、经济指标：选用国产成熟、高效设备，单位产品能耗低于行业均值；精细核算各项建设投资，合理控制运营成本。</w:t>
            </w:r>
          </w:p>
          <w:p w14:paraId="28708195">
            <w:pPr>
              <w:widowControl/>
              <w:spacing w:line="440" w:lineRule="exact"/>
              <w:ind w:left="240" w:hanging="240" w:hangingChars="100"/>
              <w:rPr>
                <w:rFonts w:hAnsi="宋体"/>
              </w:rPr>
            </w:pPr>
            <w:r>
              <w:rPr>
                <w:rFonts w:hint="eastAsia" w:hAnsi="宋体"/>
              </w:rPr>
              <w:t>4、工艺技术：通过工艺优化最大程度保留蓝莓花青素与酸奶营养；采用自动化控制及无菌灌装技术，确保产品达到商业无菌标准。</w:t>
            </w:r>
          </w:p>
          <w:p w14:paraId="03A89398">
            <w:pPr>
              <w:widowControl/>
              <w:spacing w:line="440" w:lineRule="exact"/>
              <w:ind w:left="240" w:hanging="240" w:hangingChars="100"/>
              <w:rPr>
                <w:rFonts w:hAnsi="宋体"/>
              </w:rPr>
            </w:pPr>
            <w:r>
              <w:rPr>
                <w:rFonts w:hint="eastAsia" w:hAnsi="宋体"/>
                <w:lang w:val="en-US" w:eastAsia="zh-CN"/>
              </w:rPr>
              <w:t>5</w:t>
            </w:r>
            <w:r>
              <w:rPr>
                <w:rFonts w:hint="eastAsia" w:hAnsi="宋体"/>
              </w:rPr>
              <w:t>、环保节能：选用低耗能、低噪音设备，配套高效污水处理系统处理CIP废液等，确保“三废”及噪声排放均符合国家与地方标准，实现绿色可持续生产。</w:t>
            </w:r>
          </w:p>
        </w:tc>
      </w:tr>
      <w:tr w14:paraId="787094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67" w:hRule="atLeast"/>
          <w:jc w:val="center"/>
        </w:trPr>
        <w:tc>
          <w:tcPr>
            <w:tcW w:w="1234" w:type="dxa"/>
            <w:tcBorders>
              <w:left w:val="single" w:color="000000" w:sz="12" w:space="0"/>
            </w:tcBorders>
            <w:noWrap/>
            <w:vAlign w:val="center"/>
          </w:tcPr>
          <w:p w14:paraId="0D981CBC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进</w:t>
            </w:r>
          </w:p>
          <w:p w14:paraId="5F375A82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度</w:t>
            </w:r>
          </w:p>
          <w:p w14:paraId="3B821564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安</w:t>
            </w:r>
          </w:p>
          <w:p w14:paraId="0EEF10A1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排</w:t>
            </w:r>
          </w:p>
        </w:tc>
        <w:tc>
          <w:tcPr>
            <w:tcW w:w="7574" w:type="dxa"/>
            <w:tcBorders>
              <w:right w:val="single" w:color="000000" w:sz="12" w:space="0"/>
            </w:tcBorders>
            <w:noWrap/>
          </w:tcPr>
          <w:p w14:paraId="493C0BD4">
            <w:pPr>
              <w:widowControl/>
              <w:spacing w:line="440" w:lineRule="exact"/>
              <w:jc w:val="left"/>
              <w:rPr>
                <w:rFonts w:hAnsi="宋体" w:cs="宋体"/>
                <w:color w:val="000000"/>
                <w:szCs w:val="18"/>
              </w:rPr>
            </w:pPr>
            <w:r>
              <w:rPr>
                <w:rFonts w:hint="eastAsia" w:hAnsi="宋体" w:cs="宋体"/>
                <w:color w:val="000000"/>
                <w:szCs w:val="18"/>
              </w:rPr>
              <w:t xml:space="preserve">2026年1月—2月：确定研究题目与目标，调研蓝莓酸奶市场及文献资料，完成产品方案设计。 </w:t>
            </w:r>
          </w:p>
          <w:p w14:paraId="612958CF">
            <w:pPr>
              <w:widowControl/>
              <w:spacing w:line="440" w:lineRule="exact"/>
              <w:jc w:val="left"/>
              <w:rPr>
                <w:rFonts w:hAnsi="宋体" w:cs="宋体"/>
                <w:color w:val="000000"/>
                <w:szCs w:val="18"/>
              </w:rPr>
            </w:pPr>
            <w:r>
              <w:rPr>
                <w:rFonts w:hint="eastAsia" w:hAnsi="宋体" w:cs="宋体"/>
                <w:color w:val="000000"/>
                <w:szCs w:val="18"/>
              </w:rPr>
              <w:t xml:space="preserve">2026年2月—3月：确立生产工艺路线，完成系统物料衡算，并根据年产千吨规模进行核心设备选型。 </w:t>
            </w:r>
          </w:p>
          <w:p w14:paraId="13FA9422">
            <w:pPr>
              <w:widowControl/>
              <w:spacing w:line="440" w:lineRule="exact"/>
              <w:jc w:val="left"/>
              <w:rPr>
                <w:rFonts w:hAnsi="宋体" w:cs="宋体"/>
                <w:color w:val="000000"/>
                <w:szCs w:val="18"/>
              </w:rPr>
            </w:pPr>
            <w:r>
              <w:rPr>
                <w:rFonts w:hint="eastAsia" w:hAnsi="宋体" w:cs="宋体"/>
                <w:color w:val="000000"/>
                <w:szCs w:val="18"/>
              </w:rPr>
              <w:t xml:space="preserve">2026年3月—4月：完成水电汽能耗衡算，初步规划车间平面布局，明确洁净区与非洁净区划分。 </w:t>
            </w:r>
          </w:p>
          <w:p w14:paraId="60457949">
            <w:pPr>
              <w:widowControl/>
              <w:spacing w:line="440" w:lineRule="exact"/>
              <w:jc w:val="left"/>
              <w:rPr>
                <w:rFonts w:hAnsi="宋体" w:cs="宋体"/>
                <w:color w:val="000000"/>
                <w:szCs w:val="18"/>
              </w:rPr>
            </w:pPr>
            <w:r>
              <w:rPr>
                <w:rFonts w:hint="eastAsia" w:hAnsi="宋体" w:cs="宋体"/>
                <w:color w:val="000000"/>
                <w:szCs w:val="18"/>
              </w:rPr>
              <w:t xml:space="preserve">2026年4月—5月：开展经济效益分析，利用专业软件绘制生产工艺流程图、设备布置图及非标设备图。 </w:t>
            </w:r>
          </w:p>
          <w:p w14:paraId="7305FAD0">
            <w:pPr>
              <w:widowControl/>
              <w:spacing w:line="440" w:lineRule="exact"/>
              <w:jc w:val="left"/>
              <w:rPr>
                <w:rFonts w:hAnsi="宋体" w:cs="宋体"/>
                <w:color w:val="000000"/>
                <w:szCs w:val="18"/>
              </w:rPr>
            </w:pPr>
            <w:r>
              <w:rPr>
                <w:rFonts w:hint="eastAsia" w:hAnsi="宋体" w:cs="宋体"/>
                <w:color w:val="000000"/>
                <w:szCs w:val="18"/>
              </w:rPr>
              <w:t xml:space="preserve">2026年5月—6月：针对指导意见对图纸与报告进行深度优化与润色，完成设计说明书定稿并提交。 </w:t>
            </w:r>
          </w:p>
          <w:p w14:paraId="29861661">
            <w:pPr>
              <w:widowControl/>
              <w:spacing w:line="440" w:lineRule="exact"/>
              <w:jc w:val="left"/>
              <w:rPr>
                <w:rFonts w:hAnsi="宋体" w:cs="宋体"/>
                <w:color w:val="000000"/>
                <w:szCs w:val="18"/>
              </w:rPr>
            </w:pPr>
            <w:r>
              <w:rPr>
                <w:rFonts w:hint="eastAsia" w:hAnsi="宋体" w:cs="宋体"/>
                <w:color w:val="000000"/>
                <w:szCs w:val="18"/>
              </w:rPr>
              <w:t>2026年6月初：整理答辩汇报材料，参加并完成毕业设计答辩工作。</w:t>
            </w:r>
          </w:p>
        </w:tc>
      </w:tr>
      <w:tr w14:paraId="0E298B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46" w:hRule="atLeast"/>
          <w:jc w:val="center"/>
        </w:trPr>
        <w:tc>
          <w:tcPr>
            <w:tcW w:w="1234" w:type="dxa"/>
            <w:tcBorders>
              <w:left w:val="single" w:color="000000" w:sz="12" w:space="0"/>
            </w:tcBorders>
            <w:noWrap/>
            <w:vAlign w:val="center"/>
          </w:tcPr>
          <w:p w14:paraId="43302A0A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主</w:t>
            </w:r>
          </w:p>
          <w:p w14:paraId="19334D3D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要</w:t>
            </w:r>
          </w:p>
          <w:p w14:paraId="612B4BAC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参</w:t>
            </w:r>
          </w:p>
          <w:p w14:paraId="60080F9B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考</w:t>
            </w:r>
          </w:p>
          <w:p w14:paraId="75196E4F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文</w:t>
            </w:r>
          </w:p>
          <w:p w14:paraId="60DF8164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献</w:t>
            </w:r>
          </w:p>
        </w:tc>
        <w:tc>
          <w:tcPr>
            <w:tcW w:w="7574" w:type="dxa"/>
            <w:tcBorders>
              <w:right w:val="single" w:color="000000" w:sz="12" w:space="0"/>
            </w:tcBorders>
            <w:noWrap/>
          </w:tcPr>
          <w:p w14:paraId="051060CC">
            <w:pPr>
              <w:pStyle w:val="13"/>
              <w:wordWrap w:val="0"/>
              <w:spacing w:line="440" w:lineRule="exact"/>
              <w:ind w:left="0"/>
              <w:rPr>
                <w:rFonts w:ascii="Times New Roman" w:hAnsi="Times New Roman"/>
                <w:lang w:val="en-US"/>
              </w:rPr>
            </w:pPr>
            <w:bookmarkStart w:id="0" w:name="_Ref12305"/>
            <w:r>
              <w:rPr>
                <w:rFonts w:hint="eastAsia" w:ascii="Times New Roman" w:hAnsi="Times New Roman"/>
                <w:lang w:val="en-US"/>
              </w:rPr>
              <w:t>需阅读的主要参考文献有：</w:t>
            </w:r>
          </w:p>
          <w:bookmarkEnd w:id="0"/>
          <w:p w14:paraId="7A2E0935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rFonts w:ascii="Times New Roman" w:hAnsi="Times New Roman"/>
              </w:rPr>
            </w:pPr>
            <w:bookmarkStart w:id="1" w:name="_Ref18592"/>
            <w:r>
              <w:rPr>
                <w:rFonts w:hint="eastAsia" w:ascii="Times New Roman" w:hAnsi="Times New Roman"/>
              </w:rPr>
              <w:t>GB 19302-20</w:t>
            </w:r>
            <w:r>
              <w:rPr>
                <w:rFonts w:hint="eastAsia" w:ascii="Times New Roman" w:hAnsi="Times New Roman"/>
                <w:lang w:val="en-US"/>
              </w:rPr>
              <w:t>25,</w:t>
            </w:r>
            <w:r>
              <w:rPr>
                <w:rFonts w:hint="eastAsia" w:ascii="Times New Roman" w:hAnsi="Times New Roman"/>
              </w:rPr>
              <w:t>食品安全国家标准 发酵乳</w:t>
            </w:r>
            <w:r>
              <w:rPr>
                <w:rFonts w:hint="eastAsia" w:ascii="Times New Roman" w:hAnsi="Times New Roman"/>
                <w:lang w:val="en-US"/>
              </w:rPr>
              <w:t>[S]</w:t>
            </w:r>
            <w:r>
              <w:rPr>
                <w:rFonts w:hint="eastAsia" w:ascii="Times New Roman" w:hAnsi="Times New Roman"/>
              </w:rPr>
              <w:t>.</w:t>
            </w:r>
          </w:p>
          <w:bookmarkEnd w:id="1"/>
          <w:p w14:paraId="56BEC2FA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rFonts w:ascii="Times New Roman" w:hAnsi="Times New Roman"/>
              </w:rPr>
            </w:pPr>
            <w:bookmarkStart w:id="2" w:name="_Ref27814"/>
            <w:r>
              <w:rPr>
                <w:rFonts w:hint="eastAsia" w:ascii="Times New Roman" w:hAnsi="Times New Roman"/>
              </w:rPr>
              <w:t>GB 2760-20</w:t>
            </w:r>
            <w:r>
              <w:rPr>
                <w:rFonts w:hint="eastAsia" w:ascii="Times New Roman" w:hAnsi="Times New Roman"/>
                <w:lang w:val="en-US"/>
              </w:rPr>
              <w:t>24,</w:t>
            </w:r>
            <w:r>
              <w:rPr>
                <w:rFonts w:hint="eastAsia" w:ascii="Times New Roman" w:hAnsi="Times New Roman"/>
              </w:rPr>
              <w:t>食品安全国家标准 食品添加剂使用标准[S].</w:t>
            </w:r>
          </w:p>
          <w:bookmarkEnd w:id="2"/>
          <w:p w14:paraId="20279350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rFonts w:ascii="Times New Roman" w:hAnsi="Times New Roman"/>
              </w:rPr>
            </w:pPr>
            <w:bookmarkStart w:id="3" w:name="_Ref28091"/>
            <w:r>
              <w:rPr>
                <w:rFonts w:hint="eastAsia" w:ascii="Times New Roman" w:hAnsi="Times New Roman"/>
              </w:rPr>
              <w:t>GB 50073-2013,洁净厂房设计规范[S].</w:t>
            </w:r>
          </w:p>
          <w:p w14:paraId="5852EEF4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GB 29921-2021</w:t>
            </w:r>
            <w:r>
              <w:rPr>
                <w:rFonts w:hint="eastAsia" w:ascii="Times New Roman" w:hAnsi="Times New Roman"/>
                <w:lang w:val="en-US"/>
              </w:rPr>
              <w:t>,</w:t>
            </w:r>
            <w:r>
              <w:rPr>
                <w:rFonts w:ascii="Times New Roman" w:hAnsi="Times New Roman"/>
              </w:rPr>
              <w:t>食品安全国家标准 预包装食品中致病菌限量[S].</w:t>
            </w:r>
          </w:p>
          <w:bookmarkEnd w:id="3"/>
          <w:p w14:paraId="4D8EFF1F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rFonts w:ascii="Times New Roman" w:hAnsi="Times New Roman"/>
              </w:rPr>
            </w:pPr>
            <w:bookmarkStart w:id="4" w:name="_Ref591"/>
            <w:r>
              <w:rPr>
                <w:rFonts w:hint="eastAsia" w:ascii="Times New Roman" w:hAnsi="Times New Roman"/>
              </w:rPr>
              <w:t>张旭伟,陈佳慧,刘玉凤,等.超声辅助酶法改性蓝莓果渣纤维及其提升低脂酸奶贮存品质的研究[J/OL].食品工业科技,1-21.</w:t>
            </w:r>
          </w:p>
          <w:p w14:paraId="7CC6E8B6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/>
                <w:szCs w:val="24"/>
              </w:rPr>
              <w:t>宫元彤,杜相宇,王玲玲.我国蓝莓产业绿色发展路径探索[J].中国果树,2026,(02):139-145.</w:t>
            </w:r>
          </w:p>
          <w:bookmarkEnd w:id="4"/>
          <w:p w14:paraId="739DA73B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rFonts w:ascii="Times New Roman" w:hAnsi="Times New Roman" w:cs="Times New Roman"/>
                <w:szCs w:val="24"/>
              </w:rPr>
            </w:pPr>
            <w:bookmarkStart w:id="5" w:name="_Ref12754"/>
            <w:r>
              <w:rPr>
                <w:rFonts w:ascii="Times New Roman" w:hAnsi="Times New Roman" w:cs="Times New Roman"/>
                <w:szCs w:val="24"/>
              </w:rPr>
              <w:t>吴林,胡晶,唐雪东,等.我国蓝莓产业的现状与思考[J].中国果树,2025,(02):1-5.</w:t>
            </w:r>
          </w:p>
          <w:bookmarkEnd w:id="5"/>
          <w:p w14:paraId="4FFAC39D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rFonts w:ascii="Times New Roman" w:hAnsi="Times New Roman" w:cs="Times New Roman"/>
                <w:szCs w:val="24"/>
              </w:rPr>
            </w:pPr>
            <w:bookmarkStart w:id="6" w:name="_Ref15875"/>
            <w:r>
              <w:rPr>
                <w:rFonts w:ascii="Times New Roman" w:hAnsi="Times New Roman" w:cs="Times New Roman"/>
                <w:szCs w:val="24"/>
              </w:rPr>
              <w:t>孙双玉,张嘉齐,王秀丽.乳品质量的影响因素及应对措施[J].中国食品工业,2025,(02):86-88.</w:t>
            </w:r>
          </w:p>
          <w:bookmarkEnd w:id="6"/>
          <w:p w14:paraId="11358FBF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rFonts w:ascii="Times New Roman" w:hAnsi="Times New Roman" w:cs="Times New Roman"/>
                <w:szCs w:val="24"/>
              </w:rPr>
            </w:pPr>
            <w:bookmarkStart w:id="7" w:name="_Ref7176"/>
            <w:r>
              <w:rPr>
                <w:rFonts w:ascii="Times New Roman" w:hAnsi="Times New Roman" w:cs="Times New Roman"/>
                <w:szCs w:val="24"/>
              </w:rPr>
              <w:t>王建萍.聚力构建蓝莓全产业链发展体系[J].云南农业,2025,39(12):24-27.</w:t>
            </w:r>
          </w:p>
          <w:bookmarkEnd w:id="7"/>
          <w:p w14:paraId="67188C5E">
            <w:pPr>
              <w:pStyle w:val="13"/>
              <w:numPr>
                <w:ilvl w:val="0"/>
                <w:numId w:val="1"/>
              </w:numPr>
              <w:wordWrap w:val="0"/>
              <w:spacing w:line="440" w:lineRule="exact"/>
              <w:rPr>
                <w:szCs w:val="24"/>
              </w:rPr>
            </w:pPr>
            <w:bookmarkStart w:id="8" w:name="_Ref24261"/>
            <w:r>
              <w:rPr>
                <w:rFonts w:ascii="Times New Roman" w:hAnsi="Times New Roman" w:cs="Times New Roman"/>
                <w:szCs w:val="24"/>
              </w:rPr>
              <w:t>李晓璐,尚彦文,常秀莲.蓝莓皮花青素的产业化生产工艺优化和设计[J].食品研究与开发,2025,46(16):169-174+224.</w:t>
            </w:r>
            <w:bookmarkEnd w:id="8"/>
          </w:p>
          <w:p w14:paraId="18CB7339">
            <w:pPr>
              <w:pStyle w:val="13"/>
              <w:widowControl w:val="0"/>
              <w:numPr>
                <w:numId w:val="0"/>
              </w:numPr>
              <w:wordWrap w:val="0"/>
              <w:autoSpaceDE w:val="0"/>
              <w:autoSpaceDN w:val="0"/>
              <w:spacing w:line="440" w:lineRule="exact"/>
              <w:jc w:val="left"/>
              <w:rPr>
                <w:rFonts w:ascii="Times New Roman" w:hAnsi="Times New Roman" w:cs="Times New Roman"/>
                <w:szCs w:val="24"/>
              </w:rPr>
            </w:pPr>
          </w:p>
          <w:p w14:paraId="01F5A792">
            <w:pPr>
              <w:pStyle w:val="13"/>
              <w:widowControl w:val="0"/>
              <w:numPr>
                <w:numId w:val="0"/>
              </w:numPr>
              <w:wordWrap w:val="0"/>
              <w:autoSpaceDE w:val="0"/>
              <w:autoSpaceDN w:val="0"/>
              <w:spacing w:line="440" w:lineRule="exact"/>
              <w:jc w:val="left"/>
              <w:rPr>
                <w:rFonts w:ascii="Times New Roman" w:hAnsi="Times New Roman" w:cs="Times New Roman"/>
                <w:szCs w:val="24"/>
              </w:rPr>
            </w:pPr>
          </w:p>
          <w:p w14:paraId="26F74C31">
            <w:pPr>
              <w:pStyle w:val="13"/>
              <w:widowControl w:val="0"/>
              <w:numPr>
                <w:numId w:val="0"/>
              </w:numPr>
              <w:wordWrap w:val="0"/>
              <w:autoSpaceDE w:val="0"/>
              <w:autoSpaceDN w:val="0"/>
              <w:spacing w:line="440" w:lineRule="exact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529295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10" w:hRule="atLeast"/>
          <w:jc w:val="center"/>
        </w:trPr>
        <w:tc>
          <w:tcPr>
            <w:tcW w:w="8808" w:type="dxa"/>
            <w:gridSpan w:val="2"/>
            <w:tcBorders>
              <w:left w:val="single" w:color="000000" w:sz="12" w:space="0"/>
              <w:right w:val="single" w:color="000000" w:sz="12" w:space="0"/>
            </w:tcBorders>
            <w:noWrap/>
            <w:vAlign w:val="center"/>
          </w:tcPr>
          <w:p w14:paraId="3BEC8F75">
            <w:pPr>
              <w:spacing w:line="500" w:lineRule="exact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学生开始执行任务书的日期：20</w:t>
            </w:r>
            <w:r>
              <w:rPr>
                <w:rFonts w:ascii="黑体" w:eastAsia="黑体"/>
              </w:rPr>
              <w:t>2</w:t>
            </w:r>
            <w:r>
              <w:rPr>
                <w:rFonts w:hint="eastAsia" w:ascii="黑体" w:eastAsia="黑体"/>
              </w:rPr>
              <w:t xml:space="preserve">6年  </w:t>
            </w:r>
            <w:r>
              <w:rPr>
                <w:rFonts w:hint="eastAsia" w:ascii="黑体" w:eastAsia="黑体"/>
                <w:lang w:val="en-US" w:eastAsia="zh-CN"/>
              </w:rPr>
              <w:t xml:space="preserve">  </w:t>
            </w:r>
            <w:r>
              <w:rPr>
                <w:rFonts w:hint="eastAsia" w:ascii="黑体" w:eastAsia="黑体"/>
              </w:rPr>
              <w:t xml:space="preserve">月 </w:t>
            </w:r>
            <w:r>
              <w:rPr>
                <w:rFonts w:hint="eastAsia" w:ascii="黑体" w:eastAsia="黑体"/>
                <w:lang w:val="en-US" w:eastAsia="zh-CN"/>
              </w:rPr>
              <w:t xml:space="preserve">  </w:t>
            </w:r>
            <w:r>
              <w:rPr>
                <w:rFonts w:hint="eastAsia" w:ascii="黑体" w:eastAsia="黑体"/>
              </w:rPr>
              <w:t xml:space="preserve"> 日</w:t>
            </w:r>
          </w:p>
          <w:p w14:paraId="71D26EDD">
            <w:pPr>
              <w:spacing w:line="500" w:lineRule="exact"/>
              <w:ind w:right="480" w:firstLine="4920" w:firstLineChars="205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指导教师签名：</w:t>
            </w:r>
          </w:p>
          <w:p w14:paraId="35F919E5">
            <w:pPr>
              <w:spacing w:line="500" w:lineRule="exact"/>
              <w:ind w:right="240"/>
              <w:jc w:val="right"/>
              <w:rPr>
                <w:rFonts w:cs="宋体"/>
                <w:color w:val="000000"/>
                <w:lang w:val="zh-CN"/>
              </w:rPr>
            </w:pPr>
            <w:r>
              <w:rPr>
                <w:rFonts w:hint="eastAsia" w:ascii="黑体" w:eastAsia="黑体"/>
              </w:rPr>
              <w:t>年</w:t>
            </w:r>
            <w:r>
              <w:rPr>
                <w:rFonts w:hint="eastAsia" w:ascii="黑体" w:eastAsia="黑体"/>
                <w:lang w:val="en-US" w:eastAsia="zh-CN"/>
              </w:rPr>
              <w:t xml:space="preserve">     </w:t>
            </w:r>
            <w:r>
              <w:rPr>
                <w:rFonts w:hint="eastAsia" w:ascii="黑体" w:eastAsia="黑体"/>
              </w:rPr>
              <w:t>月</w:t>
            </w:r>
            <w:r>
              <w:rPr>
                <w:rFonts w:hint="eastAsia" w:ascii="黑体" w:eastAsia="黑体"/>
                <w:lang w:val="en-US" w:eastAsia="zh-CN"/>
              </w:rPr>
              <w:t xml:space="preserve">     </w:t>
            </w:r>
            <w:r>
              <w:rPr>
                <w:rFonts w:hint="eastAsia" w:ascii="黑体" w:eastAsia="黑体"/>
              </w:rPr>
              <w:t>日</w:t>
            </w:r>
          </w:p>
        </w:tc>
      </w:tr>
      <w:tr w14:paraId="61CE83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82" w:hRule="atLeast"/>
          <w:jc w:val="center"/>
        </w:trPr>
        <w:tc>
          <w:tcPr>
            <w:tcW w:w="1234" w:type="dxa"/>
            <w:tcBorders>
              <w:left w:val="single" w:color="000000" w:sz="12" w:space="0"/>
              <w:right w:val="single" w:color="000000" w:sz="8" w:space="0"/>
            </w:tcBorders>
            <w:noWrap/>
            <w:vAlign w:val="center"/>
          </w:tcPr>
          <w:p w14:paraId="0F9BEC27">
            <w:pPr>
              <w:spacing w:line="300" w:lineRule="exact"/>
              <w:ind w:firstLine="360" w:firstLineChars="15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系</w:t>
            </w:r>
          </w:p>
          <w:p w14:paraId="7C85DE6D">
            <w:pPr>
              <w:spacing w:line="300" w:lineRule="exact"/>
              <w:ind w:firstLine="360" w:firstLineChars="15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意</w:t>
            </w:r>
          </w:p>
          <w:p w14:paraId="7EB0649E">
            <w:pPr>
              <w:spacing w:line="300" w:lineRule="exact"/>
              <w:ind w:firstLine="360" w:firstLineChars="15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见</w:t>
            </w:r>
          </w:p>
        </w:tc>
        <w:tc>
          <w:tcPr>
            <w:tcW w:w="7574" w:type="dxa"/>
            <w:tcBorders>
              <w:left w:val="single" w:color="000000" w:sz="8" w:space="0"/>
              <w:right w:val="single" w:color="000000" w:sz="12" w:space="0"/>
            </w:tcBorders>
            <w:noWrap/>
            <w:vAlign w:val="center"/>
          </w:tcPr>
          <w:p w14:paraId="11A5F1FD">
            <w:pPr>
              <w:ind w:firstLine="960" w:firstLineChars="400"/>
              <w:rPr>
                <w:rFonts w:ascii="黑体" w:eastAsia="黑体"/>
              </w:rPr>
            </w:pPr>
          </w:p>
          <w:p w14:paraId="3EBF7EA4">
            <w:pPr>
              <w:ind w:firstLine="960" w:firstLineChars="400"/>
              <w:rPr>
                <w:rFonts w:ascii="黑体" w:eastAsia="黑体"/>
              </w:rPr>
            </w:pPr>
          </w:p>
          <w:p w14:paraId="30AA2EDB">
            <w:pPr>
              <w:ind w:firstLine="960" w:firstLineChars="400"/>
              <w:rPr>
                <w:rFonts w:ascii="黑体" w:eastAsia="黑体"/>
              </w:rPr>
            </w:pPr>
          </w:p>
          <w:p w14:paraId="28B00732">
            <w:pPr>
              <w:ind w:firstLine="960" w:firstLineChars="400"/>
              <w:rPr>
                <w:rFonts w:ascii="黑体" w:eastAsia="黑体"/>
              </w:rPr>
            </w:pPr>
          </w:p>
          <w:p w14:paraId="4A125275">
            <w:pPr>
              <w:ind w:firstLine="960" w:firstLineChars="400"/>
              <w:rPr>
                <w:rFonts w:ascii="黑体" w:eastAsia="黑体"/>
              </w:rPr>
            </w:pPr>
          </w:p>
          <w:p w14:paraId="348BC9B1">
            <w:pPr>
              <w:ind w:firstLine="960" w:firstLineChars="400"/>
              <w:rPr>
                <w:rFonts w:ascii="黑体" w:eastAsia="黑体"/>
              </w:rPr>
            </w:pPr>
          </w:p>
          <w:p w14:paraId="0C2E13BA">
            <w:pPr>
              <w:ind w:firstLine="960" w:firstLineChars="400"/>
              <w:rPr>
                <w:rFonts w:ascii="黑体" w:eastAsia="黑体"/>
              </w:rPr>
            </w:pPr>
          </w:p>
          <w:p w14:paraId="5D331DD5">
            <w:pPr>
              <w:ind w:right="480" w:firstLine="3840" w:firstLineChars="160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 xml:space="preserve">系主任签名：               </w:t>
            </w:r>
          </w:p>
          <w:p w14:paraId="0786C8F7">
            <w:pPr>
              <w:spacing w:line="540" w:lineRule="exact"/>
              <w:ind w:firstLine="5520" w:firstLineChars="230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年</w:t>
            </w:r>
            <w:r>
              <w:rPr>
                <w:rFonts w:hint="eastAsia" w:ascii="黑体" w:eastAsia="黑体"/>
                <w:lang w:val="en-US" w:eastAsia="zh-CN"/>
              </w:rPr>
              <w:t xml:space="preserve">     </w:t>
            </w:r>
            <w:r>
              <w:rPr>
                <w:rFonts w:hint="eastAsia" w:ascii="黑体" w:eastAsia="黑体"/>
              </w:rPr>
              <w:t>月</w:t>
            </w:r>
            <w:r>
              <w:rPr>
                <w:rFonts w:hint="eastAsia" w:ascii="黑体" w:eastAsia="黑体"/>
                <w:lang w:val="en-US" w:eastAsia="zh-CN"/>
              </w:rPr>
              <w:t xml:space="preserve">    </w:t>
            </w:r>
            <w:r>
              <w:rPr>
                <w:rFonts w:hint="eastAsia" w:ascii="黑体" w:eastAsia="黑体"/>
              </w:rPr>
              <w:t>日</w:t>
            </w:r>
          </w:p>
        </w:tc>
      </w:tr>
      <w:tr w14:paraId="6E2187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82" w:hRule="atLeast"/>
          <w:jc w:val="center"/>
        </w:trPr>
        <w:tc>
          <w:tcPr>
            <w:tcW w:w="1234" w:type="dxa"/>
            <w:tcBorders>
              <w:left w:val="single" w:color="000000" w:sz="12" w:space="0"/>
              <w:bottom w:val="single" w:color="000000" w:sz="12" w:space="0"/>
              <w:right w:val="single" w:color="000000" w:sz="8" w:space="0"/>
            </w:tcBorders>
            <w:noWrap/>
            <w:vAlign w:val="center"/>
          </w:tcPr>
          <w:p w14:paraId="1A0A3055">
            <w:pPr>
              <w:spacing w:line="3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>二级学院领导小组意见</w:t>
            </w:r>
          </w:p>
        </w:tc>
        <w:tc>
          <w:tcPr>
            <w:tcW w:w="7574" w:type="dxa"/>
            <w:tcBorders>
              <w:left w:val="single" w:color="000000" w:sz="8" w:space="0"/>
              <w:bottom w:val="single" w:color="000000" w:sz="12" w:space="0"/>
              <w:right w:val="single" w:color="000000" w:sz="12" w:space="0"/>
            </w:tcBorders>
            <w:noWrap/>
            <w:vAlign w:val="center"/>
          </w:tcPr>
          <w:p w14:paraId="625832A0">
            <w:pPr>
              <w:ind w:firstLine="960" w:firstLineChars="400"/>
              <w:rPr>
                <w:rFonts w:ascii="黑体" w:eastAsia="黑体"/>
              </w:rPr>
            </w:pPr>
          </w:p>
          <w:p w14:paraId="13D715C4">
            <w:pPr>
              <w:ind w:firstLine="960" w:firstLineChars="400"/>
              <w:rPr>
                <w:rFonts w:ascii="黑体" w:eastAsia="黑体"/>
              </w:rPr>
            </w:pPr>
          </w:p>
          <w:p w14:paraId="24A5E584">
            <w:pPr>
              <w:ind w:firstLine="960" w:firstLineChars="400"/>
              <w:rPr>
                <w:rFonts w:ascii="黑体" w:eastAsia="黑体"/>
              </w:rPr>
            </w:pPr>
          </w:p>
          <w:p w14:paraId="01F119C0">
            <w:pPr>
              <w:ind w:firstLine="960" w:firstLineChars="400"/>
              <w:rPr>
                <w:rFonts w:ascii="黑体" w:eastAsia="黑体"/>
              </w:rPr>
            </w:pPr>
          </w:p>
          <w:p w14:paraId="14B6CF9C">
            <w:pPr>
              <w:ind w:firstLine="960" w:firstLineChars="400"/>
              <w:rPr>
                <w:rFonts w:ascii="黑体" w:eastAsia="黑体"/>
              </w:rPr>
            </w:pPr>
          </w:p>
          <w:p w14:paraId="2DBCDC0C">
            <w:pPr>
              <w:ind w:firstLine="960" w:firstLineChars="400"/>
              <w:rPr>
                <w:rFonts w:ascii="黑体" w:eastAsia="黑体"/>
              </w:rPr>
            </w:pPr>
          </w:p>
          <w:p w14:paraId="753D650F">
            <w:pPr>
              <w:ind w:firstLine="960" w:firstLineChars="400"/>
              <w:rPr>
                <w:rFonts w:ascii="黑体" w:eastAsia="黑体"/>
              </w:rPr>
            </w:pPr>
          </w:p>
          <w:p w14:paraId="546BEA28">
            <w:pPr>
              <w:ind w:right="480" w:firstLine="2040" w:firstLineChars="850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>领导小组组长签名（加盖公章）：</w:t>
            </w:r>
          </w:p>
          <w:p w14:paraId="3C0F2729">
            <w:pPr>
              <w:ind w:firstLine="960" w:firstLineChars="400"/>
              <w:jc w:val="center"/>
              <w:rPr>
                <w:rFonts w:ascii="黑体" w:eastAsia="黑体"/>
              </w:rPr>
            </w:pPr>
          </w:p>
          <w:p w14:paraId="0D7B7DDB">
            <w:pPr>
              <w:ind w:firstLine="960" w:firstLineChars="400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lang w:val="en-US" w:eastAsia="zh-CN"/>
              </w:rPr>
              <w:t xml:space="preserve">                                    </w:t>
            </w:r>
            <w:bookmarkStart w:id="9" w:name="_GoBack"/>
            <w:bookmarkEnd w:id="9"/>
            <w:r>
              <w:rPr>
                <w:rFonts w:hint="eastAsia" w:ascii="黑体" w:eastAsia="黑体"/>
                <w:lang w:val="en-US" w:eastAsia="zh-CN"/>
              </w:rPr>
              <w:t xml:space="preserve"> </w:t>
            </w:r>
            <w:r>
              <w:rPr>
                <w:rFonts w:hint="eastAsia" w:ascii="黑体" w:eastAsia="黑体"/>
              </w:rPr>
              <w:t>年</w:t>
            </w:r>
            <w:r>
              <w:rPr>
                <w:rFonts w:hint="eastAsia" w:ascii="黑体" w:eastAsia="黑体"/>
                <w:lang w:val="en-US" w:eastAsia="zh-CN"/>
              </w:rPr>
              <w:t xml:space="preserve">     </w:t>
            </w:r>
            <w:r>
              <w:rPr>
                <w:rFonts w:hint="eastAsia" w:ascii="黑体" w:eastAsia="黑体"/>
              </w:rPr>
              <w:t>月</w:t>
            </w:r>
            <w:r>
              <w:rPr>
                <w:rFonts w:hint="eastAsia" w:ascii="黑体" w:eastAsia="黑体"/>
                <w:lang w:val="en-US" w:eastAsia="zh-CN"/>
              </w:rPr>
              <w:t xml:space="preserve">     </w:t>
            </w:r>
            <w:r>
              <w:rPr>
                <w:rFonts w:hint="eastAsia" w:ascii="黑体" w:eastAsia="黑体"/>
              </w:rPr>
              <w:t>日</w:t>
            </w:r>
          </w:p>
        </w:tc>
      </w:tr>
    </w:tbl>
    <w:p w14:paraId="32E21955">
      <w:pPr>
        <w:spacing w:line="340" w:lineRule="exact"/>
        <w:ind w:left="735" w:hanging="735" w:hangingChars="350"/>
        <w:rPr>
          <w:rFonts w:hAnsi="宋体"/>
          <w:sz w:val="21"/>
          <w:szCs w:val="21"/>
        </w:rPr>
      </w:pPr>
      <w:r>
        <w:rPr>
          <w:rFonts w:hint="eastAsia" w:hAnsi="宋体"/>
          <w:sz w:val="21"/>
          <w:szCs w:val="21"/>
        </w:rPr>
        <w:t>注：</w:t>
      </w:r>
      <w:r>
        <w:rPr>
          <w:rFonts w:hAnsi="宋体"/>
          <w:sz w:val="21"/>
          <w:szCs w:val="21"/>
        </w:rPr>
        <w:t>1.</w:t>
      </w:r>
      <w:r>
        <w:rPr>
          <w:rFonts w:hint="eastAsia" w:hAnsi="宋体"/>
          <w:sz w:val="21"/>
          <w:szCs w:val="21"/>
        </w:rPr>
        <w:t>如果学生做的是毕业论文，封皮上就是“毕业论文任务书”，如果学生做的是毕业设计，封皮上就是“毕业设计任务书”这几个字；</w:t>
      </w:r>
    </w:p>
    <w:p w14:paraId="36A1F111">
      <w:pPr>
        <w:spacing w:line="340" w:lineRule="exact"/>
        <w:ind w:firstLine="420" w:firstLineChars="200"/>
        <w:rPr>
          <w:rFonts w:hAnsi="宋体"/>
          <w:sz w:val="21"/>
          <w:szCs w:val="21"/>
        </w:rPr>
      </w:pPr>
      <w:r>
        <w:rPr>
          <w:rFonts w:hAnsi="宋体"/>
          <w:sz w:val="21"/>
          <w:szCs w:val="21"/>
        </w:rPr>
        <w:t>2.</w:t>
      </w:r>
      <w:r>
        <w:rPr>
          <w:rFonts w:hint="eastAsia" w:hAnsi="宋体"/>
          <w:sz w:val="21"/>
          <w:szCs w:val="21"/>
        </w:rPr>
        <w:t>本表由指导教师填写，签名处要用钢笔或签字笔手写；</w:t>
      </w:r>
    </w:p>
    <w:p w14:paraId="690C4491">
      <w:pPr>
        <w:spacing w:line="340" w:lineRule="exact"/>
        <w:ind w:left="334" w:leftChars="139" w:firstLine="105" w:firstLineChars="50"/>
        <w:rPr>
          <w:rFonts w:hAnsi="宋体"/>
          <w:sz w:val="21"/>
          <w:szCs w:val="21"/>
        </w:rPr>
      </w:pPr>
      <w:r>
        <w:rPr>
          <w:rFonts w:hAnsi="宋体"/>
          <w:sz w:val="21"/>
          <w:szCs w:val="21"/>
        </w:rPr>
        <w:t>3</w:t>
      </w:r>
      <w:r>
        <w:rPr>
          <w:rFonts w:hint="eastAsia" w:hAnsi="宋体"/>
          <w:sz w:val="21"/>
          <w:szCs w:val="21"/>
        </w:rPr>
        <w:t>.表格中的“题目”“主要内容”“基本要求”“进度安排”和“需阅读的主要参考文献”均用宋体小四填写，行距为22磅。</w:t>
      </w:r>
    </w:p>
    <w:sectPr>
      <w:footerReference r:id="rId4" w:type="default"/>
      <w:pgSz w:w="11906" w:h="16838"/>
      <w:pgMar w:top="1417" w:right="1417" w:bottom="1417" w:left="1417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55684">
    <w:pPr>
      <w:pStyle w:val="4"/>
    </w:pPr>
    <w:r>
      <w:rPr>
        <w:sz w:val="18"/>
      </w:rP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90879C9">
                <w:pPr>
                  <w:pStyle w:val="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98E2C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8E7262"/>
    <w:multiLevelType w:val="multilevel"/>
    <w:tmpl w:val="518E7262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51D6"/>
    <w:rsid w:val="00007D75"/>
    <w:rsid w:val="000824D1"/>
    <w:rsid w:val="00101D2D"/>
    <w:rsid w:val="00126997"/>
    <w:rsid w:val="00126CC5"/>
    <w:rsid w:val="00165938"/>
    <w:rsid w:val="00166749"/>
    <w:rsid w:val="00174D18"/>
    <w:rsid w:val="001D4DC7"/>
    <w:rsid w:val="001D6546"/>
    <w:rsid w:val="0020776F"/>
    <w:rsid w:val="0020780A"/>
    <w:rsid w:val="00226598"/>
    <w:rsid w:val="002266E5"/>
    <w:rsid w:val="00245718"/>
    <w:rsid w:val="00272732"/>
    <w:rsid w:val="0027341F"/>
    <w:rsid w:val="00273F1C"/>
    <w:rsid w:val="00291BD2"/>
    <w:rsid w:val="002A476B"/>
    <w:rsid w:val="002C0292"/>
    <w:rsid w:val="002C5149"/>
    <w:rsid w:val="002E19E5"/>
    <w:rsid w:val="00326CB9"/>
    <w:rsid w:val="003673B5"/>
    <w:rsid w:val="003731F2"/>
    <w:rsid w:val="003931DF"/>
    <w:rsid w:val="00395B11"/>
    <w:rsid w:val="00405999"/>
    <w:rsid w:val="0040623B"/>
    <w:rsid w:val="00441107"/>
    <w:rsid w:val="00454D03"/>
    <w:rsid w:val="004555E8"/>
    <w:rsid w:val="00470CB2"/>
    <w:rsid w:val="0047171D"/>
    <w:rsid w:val="00491E81"/>
    <w:rsid w:val="004C04D2"/>
    <w:rsid w:val="004D53AB"/>
    <w:rsid w:val="00572270"/>
    <w:rsid w:val="00577269"/>
    <w:rsid w:val="00594BF6"/>
    <w:rsid w:val="00631074"/>
    <w:rsid w:val="00645892"/>
    <w:rsid w:val="0069050F"/>
    <w:rsid w:val="00693170"/>
    <w:rsid w:val="006F7190"/>
    <w:rsid w:val="00707CA7"/>
    <w:rsid w:val="00726622"/>
    <w:rsid w:val="007347AC"/>
    <w:rsid w:val="00760ACA"/>
    <w:rsid w:val="0078207E"/>
    <w:rsid w:val="007B5897"/>
    <w:rsid w:val="007B6FD5"/>
    <w:rsid w:val="007C1BAF"/>
    <w:rsid w:val="00805825"/>
    <w:rsid w:val="008961BC"/>
    <w:rsid w:val="008A6E80"/>
    <w:rsid w:val="008B44AA"/>
    <w:rsid w:val="008B4E00"/>
    <w:rsid w:val="008D7615"/>
    <w:rsid w:val="008E547E"/>
    <w:rsid w:val="00964995"/>
    <w:rsid w:val="0097755A"/>
    <w:rsid w:val="009A719C"/>
    <w:rsid w:val="009A7DF6"/>
    <w:rsid w:val="00A156CB"/>
    <w:rsid w:val="00A24EA5"/>
    <w:rsid w:val="00A52A4E"/>
    <w:rsid w:val="00A651D6"/>
    <w:rsid w:val="00A72865"/>
    <w:rsid w:val="00AA330E"/>
    <w:rsid w:val="00AE7571"/>
    <w:rsid w:val="00B256CF"/>
    <w:rsid w:val="00BE4AA1"/>
    <w:rsid w:val="00C04B76"/>
    <w:rsid w:val="00C30F2F"/>
    <w:rsid w:val="00C621B9"/>
    <w:rsid w:val="00C62278"/>
    <w:rsid w:val="00C77882"/>
    <w:rsid w:val="00CA5397"/>
    <w:rsid w:val="00CD2462"/>
    <w:rsid w:val="00D0197A"/>
    <w:rsid w:val="00D33835"/>
    <w:rsid w:val="00D810C6"/>
    <w:rsid w:val="00D84A19"/>
    <w:rsid w:val="00DC1646"/>
    <w:rsid w:val="00E42CC1"/>
    <w:rsid w:val="00E47ACA"/>
    <w:rsid w:val="00E924AC"/>
    <w:rsid w:val="00EB02BC"/>
    <w:rsid w:val="00F07FB3"/>
    <w:rsid w:val="00F14BC2"/>
    <w:rsid w:val="00F17B4B"/>
    <w:rsid w:val="00F22968"/>
    <w:rsid w:val="00F57533"/>
    <w:rsid w:val="00F90759"/>
    <w:rsid w:val="00FB2C9E"/>
    <w:rsid w:val="00FE0F1A"/>
    <w:rsid w:val="09534F5C"/>
    <w:rsid w:val="100C34D2"/>
    <w:rsid w:val="11905653"/>
    <w:rsid w:val="13902A47"/>
    <w:rsid w:val="2419690F"/>
    <w:rsid w:val="254B6F95"/>
    <w:rsid w:val="29A547A1"/>
    <w:rsid w:val="2EA861AB"/>
    <w:rsid w:val="30291A13"/>
    <w:rsid w:val="312D7FBC"/>
    <w:rsid w:val="322701D4"/>
    <w:rsid w:val="33734B98"/>
    <w:rsid w:val="39E6508D"/>
    <w:rsid w:val="3B8E367D"/>
    <w:rsid w:val="413611D9"/>
    <w:rsid w:val="41623925"/>
    <w:rsid w:val="43201D5A"/>
    <w:rsid w:val="43A003D0"/>
    <w:rsid w:val="46C37ED6"/>
    <w:rsid w:val="4B552AA6"/>
    <w:rsid w:val="57B62C43"/>
    <w:rsid w:val="5A882213"/>
    <w:rsid w:val="5B4631BC"/>
    <w:rsid w:val="5C011107"/>
    <w:rsid w:val="5C577D04"/>
    <w:rsid w:val="5F0061EF"/>
    <w:rsid w:val="61304C00"/>
    <w:rsid w:val="6149797A"/>
    <w:rsid w:val="66F97F7F"/>
    <w:rsid w:val="6D806684"/>
    <w:rsid w:val="6F8B0A25"/>
    <w:rsid w:val="71BC2A21"/>
    <w:rsid w:val="7EBB5F83"/>
    <w:rsid w:val="7FE142D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qFormat/>
    <w:uiPriority w:val="0"/>
    <w:rPr>
      <w:rFonts w:hAnsi="Courier New"/>
      <w:kern w:val="2"/>
      <w:szCs w:val="21"/>
    </w:r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纯文本 Char"/>
    <w:link w:val="2"/>
    <w:qFormat/>
    <w:uiPriority w:val="0"/>
    <w:rPr>
      <w:rFonts w:ascii="宋体" w:hAnsi="Courier New" w:cs="Courier New"/>
      <w:kern w:val="2"/>
      <w:sz w:val="24"/>
      <w:szCs w:val="21"/>
    </w:rPr>
  </w:style>
  <w:style w:type="character" w:customStyle="1" w:styleId="12">
    <w:name w:val="批注框文本 Char"/>
    <w:link w:val="3"/>
    <w:qFormat/>
    <w:uiPriority w:val="0"/>
    <w:rPr>
      <w:rFonts w:ascii="宋体"/>
      <w:sz w:val="18"/>
      <w:szCs w:val="18"/>
    </w:rPr>
  </w:style>
  <w:style w:type="paragraph" w:styleId="13">
    <w:name w:val="List Paragraph"/>
    <w:basedOn w:val="1"/>
    <w:qFormat/>
    <w:uiPriority w:val="1"/>
    <w:pPr>
      <w:autoSpaceDE w:val="0"/>
      <w:autoSpaceDN w:val="0"/>
      <w:ind w:left="539"/>
      <w:jc w:val="left"/>
    </w:pPr>
    <w:rPr>
      <w:rFonts w:hAnsi="宋体" w:cs="宋体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1628</Words>
  <Characters>1844</Characters>
  <Lines>14</Lines>
  <Paragraphs>3</Paragraphs>
  <TotalTime>0</TotalTime>
  <ScaleCrop>false</ScaleCrop>
  <LinksUpToDate>false</LinksUpToDate>
  <CharactersWithSpaces>1946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2008-02-26T13:29:00Z</dcterms:created>
  <dc:creator>User</dc:creator>
  <cp:lastModifiedBy>…………</cp:lastModifiedBy>
  <dcterms:modified xsi:type="dcterms:W3CDTF">2026-06-15T02:26:39Z</dcterms:modified>
  <dc:title>表5（学生教师合用）（把该行删除后空五号字大的一行）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1DB6EDDB40874C7E885EA84781C27510_13</vt:lpwstr>
  </property>
  <property fmtid="{D5CDD505-2E9C-101B-9397-08002B2CF9AE}" pid="4" name="KSOTemplateDocerSaveRecord">
    <vt:lpwstr>eyJoZGlkIjoiZjFmZWIzNDg2MmIzZjExOTIzMmViNTBmYTMwYTk0ZWYiLCJ1c2VySWQiOiI3NjE2NDQ3NzMifQ==</vt:lpwstr>
  </property>
</Properties>
</file>