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59264"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7BCFEBC3">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TOC \o "1-2" \h \u </w:instrText>
          </w:r>
          <w:r>
            <w:rPr>
              <w:rFonts w:hint="default" w:ascii="Times New Roman" w:hAnsi="Times New Roman" w:eastAsia="仿宋" w:cs="Times New Roman"/>
            </w:rPr>
            <w:fldChar w:fldCharType="separate"/>
          </w: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_Toc28591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_Toc28591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BE969BE">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_Toc9772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_Toc9772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B761D7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_Toc13403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_Toc13403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0208B97">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_Toc16653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 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_Toc16653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21E87A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_Toc20646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2.1 产品方案</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_Toc20646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43DA74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_Toc11902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2.2 产品质量要求</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_Toc11902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4053BF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_Toc9731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2.3 工艺流程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_Toc9731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3CA6A7D">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_Toc10108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2.4 物料衡算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_Toc10108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1E08F4C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_Toc22887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2.5 设备计算与选型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_Toc22887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FF2DE2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_Toc5462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2.6 水、电、汽计算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_Toc5462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14B7A6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_Toc20073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2.7 车间工艺布置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_Toc20073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1A18AA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_Toc30398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2.8 车间劳动定员</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_Toc30398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DE0F230">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_Toc29830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 非工艺设计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_Toc29830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DC1975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_Toc647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3.1 门窗、地面、墙面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_Toc647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AF74CE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_Toc16230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3.3 原料仓库及产品仓库</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_Toc16230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F41AEAE">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_Toc7510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 环境保护</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_Toc7510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BAF4BB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_Toc10829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4.1 三废的处理</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_Toc10829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A85A9BC">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_Toc8648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4.2 噪声的控制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_Toc8648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1A62EA5">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_Toc26659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 车间成本核算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_Toc26659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1987E3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_Toc14047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5.1 生产成本</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_Toc14047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A3953C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_Toc11449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5.2 总成本核算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_Toc11449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420F624">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_Toc3757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6 结论</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_Toc3757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CE1680B">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_Toc8502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kern w:val="2"/>
              <w:sz w:val="24"/>
              <w:szCs w:val="24"/>
              <w:lang w:val="en-US" w:eastAsia="zh-CN" w:bidi="ar-SA"/>
            </w:rPr>
            <w:t>【参 考 文 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_Toc8502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ED74996">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_Toc30624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致 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_Toc30624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5F35B1B">
          <w:pPr>
            <w:pStyle w:val="9"/>
            <w:tabs>
              <w:tab w:val="right" w:leader="dot" w:pos="8788"/>
            </w:tabs>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_Toc25798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附录 工程图纸</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_Toc25798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2220AE88">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蓝莓酸奶融合蓝莓花青素的抗氧化功能与酸奶的益生菌特性，具有广阔的市场前景。本设计针对年产1000吨蓝莓酸奶生产车间，制定了完整的工艺方案并完成成本核算，确保生产高效稳定。</w:t>
      </w:r>
    </w:p>
    <w:p w14:paraId="631A1794">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本设计计划采用搅拌型酸奶工艺，主要原料为生鲜牛乳和冷冻蓝莓果浆，经标准化、均质、巴氏杀菌、接种、恒温发酵、破乳冷却、添加蓝莓汁混合、灌装及冷藏后熟而成。车间全年计划生产300天，每天1班，每班8小时，班产3.5吨。生产设备总投资131.65万元，每班消耗鲜牛乳2800kg、蓝莓果浆700kg、蔗糖245kg等。年耗水5865t、电125250kW</w:t>
      </w:r>
      <w:r>
        <w:rPr>
          <w:rFonts w:hint="default" w:ascii="Times New Roman" w:hAnsi="Times New Roman" w:cs="Times New Roman"/>
          <w:sz w:val="24"/>
          <w:szCs w:val="24"/>
          <w:lang w:val="en-US" w:eastAsia="zh-CN"/>
        </w:rPr>
        <w:t>·</w:t>
      </w:r>
      <w:r>
        <w:rPr>
          <w:rFonts w:hint="eastAsia"/>
          <w:sz w:val="24"/>
          <w:szCs w:val="24"/>
          <w:lang w:val="en-US" w:eastAsia="zh-CN"/>
        </w:rPr>
        <w:t>h、蒸汽163.2t。车间建筑面积864</w:t>
      </w:r>
      <w:r>
        <w:rPr>
          <w:rFonts w:hint="default" w:ascii="Times New Roman" w:hAnsi="Times New Roman" w:cs="Times New Roman"/>
          <w:sz w:val="24"/>
          <w:szCs w:val="24"/>
          <w:lang w:val="en-US" w:eastAsia="zh-CN"/>
        </w:rPr>
        <w:t>m²</w:t>
      </w:r>
      <w:r>
        <w:rPr>
          <w:rFonts w:hint="eastAsia"/>
          <w:sz w:val="24"/>
          <w:szCs w:val="24"/>
          <w:lang w:val="en-US" w:eastAsia="zh-CN"/>
        </w:rPr>
        <w:t>，劳动定员26人，年产1000吨蓝莓酸奶的总成本为1483.57万元，折合每瓶（250g）成本3.71元。同时制定了三废及噪声的处理方案，确保绿色生产。本设计借用AutoCAD软件绘制工艺流程图和车间设备布置图，直观展示车间布局与设备配置。</w:t>
      </w:r>
    </w:p>
    <w:p w14:paraId="4E7BA84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06F8CA0E">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eastAsia="黑体"/>
          <w:sz w:val="32"/>
          <w:szCs w:val="32"/>
        </w:rPr>
      </w:pPr>
      <w:r>
        <w:rPr>
          <w:rFonts w:eastAsia="黑体"/>
          <w:sz w:val="32"/>
          <w:szCs w:val="32"/>
        </w:rPr>
        <w:t>ABSTRACT</w:t>
      </w: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both"/>
        <w:textAlignment w:val="auto"/>
        <w:rPr>
          <w:rFonts w:hint="eastAsia" w:eastAsia="黑体"/>
          <w:sz w:val="24"/>
          <w:szCs w:val="24"/>
          <w:lang w:val="en-US" w:eastAsia="zh-CN"/>
        </w:rPr>
      </w:pPr>
    </w:p>
    <w:p w14:paraId="128700A3">
      <w:pPr>
        <w:keepNext w:val="0"/>
        <w:keepLines w:val="0"/>
        <w:pageBreakBefore w:val="0"/>
        <w:widowControl w:val="0"/>
        <w:kinsoku/>
        <w:wordWrap/>
        <w:overflowPunct/>
        <w:topLinePunct w:val="0"/>
        <w:autoSpaceDE/>
        <w:autoSpaceDN/>
        <w:bidi w:val="0"/>
        <w:adjustRightInd/>
        <w:snapToGrid/>
        <w:spacing w:after="235" w:afterLines="75"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 yogurt combines the antioxidant function of blueberry anthocyanins with the probiotic properties of yogurt, which has broad market prospects. This design is aimed at a blueberry yogurt production workshop with an annual output of 1000 tons. A complete process plan has been developed and cost accounting has been completed to ensure efficient and stable production.</w:t>
      </w:r>
    </w:p>
    <w:p w14:paraId="6B54489F">
      <w:pPr>
        <w:keepNext w:val="0"/>
        <w:keepLines w:val="0"/>
        <w:pageBreakBefore w:val="0"/>
        <w:widowControl w:val="0"/>
        <w:kinsoku/>
        <w:wordWrap/>
        <w:overflowPunct/>
        <w:topLinePunct w:val="0"/>
        <w:autoSpaceDE/>
        <w:autoSpaceDN/>
        <w:bidi w:val="0"/>
        <w:adjustRightInd/>
        <w:snapToGrid/>
        <w:spacing w:after="235" w:afterLines="75" w:line="360" w:lineRule="auto"/>
        <w:ind w:firstLine="480" w:firstLineChars="200"/>
        <w:jc w:val="both"/>
        <w:textAlignment w:val="auto"/>
        <w:rPr>
          <w:rFonts w:hint="eastAsia" w:eastAsia="黑体"/>
          <w:sz w:val="32"/>
          <w:szCs w:val="32"/>
          <w:lang w:val="en-US" w:eastAsia="zh-CN"/>
        </w:rPr>
      </w:pPr>
      <w:r>
        <w:rPr>
          <w:rFonts w:hint="eastAsia" w:eastAsia="黑体"/>
          <w:sz w:val="24"/>
          <w:szCs w:val="24"/>
          <w:lang w:val="en-US" w:eastAsia="zh-CN"/>
        </w:rPr>
        <w:t>This design plan adopts a stirred yogurt process, with fresh milk and frozen blueberry puree as the main raw materials. After standardization, homogenization, pasteurization, inoculation, constant temperature fermentation, emulsion breaking and cooling, blueberry juice mixing, filling, and refrigeration, it is cooked. The workshop plans to produce 300 days a year, with 1 shift per day and 8 hours per shift, producing 3.5 tons per shift. The total investment in production equipment is 1.3165 million yuan, and each shift consumes 2800kg of fresh milk, 700kg of blueberry pulp, 245kg of sucrose, etc. The annual water consumption is 5865t, electricity is 125250kW</w:t>
      </w:r>
      <w:r>
        <w:rPr>
          <w:rFonts w:hint="default" w:ascii="Times New Roman" w:hAnsi="Times New Roman" w:eastAsia="黑体" w:cs="Times New Roman"/>
          <w:sz w:val="24"/>
          <w:szCs w:val="24"/>
          <w:lang w:val="en-US" w:eastAsia="zh-CN"/>
        </w:rPr>
        <w:t>·</w:t>
      </w:r>
      <w:r>
        <w:rPr>
          <w:rFonts w:hint="eastAsia" w:eastAsia="黑体"/>
          <w:sz w:val="24"/>
          <w:szCs w:val="24"/>
          <w:lang w:val="en-US" w:eastAsia="zh-CN"/>
        </w:rPr>
        <w:t>h, and steam is 163.2t. The workshop has a building area of 864</w:t>
      </w:r>
      <w:r>
        <w:rPr>
          <w:rFonts w:hint="default" w:ascii="Times New Roman" w:hAnsi="Times New Roman" w:eastAsia="黑体" w:cs="Times New Roman"/>
          <w:sz w:val="24"/>
          <w:szCs w:val="24"/>
          <w:lang w:val="en-US" w:eastAsia="zh-CN"/>
        </w:rPr>
        <w:t>m²</w:t>
      </w:r>
      <w:r>
        <w:rPr>
          <w:rFonts w:hint="eastAsia" w:eastAsia="黑体"/>
          <w:sz w:val="24"/>
          <w:szCs w:val="24"/>
          <w:lang w:val="en-US" w:eastAsia="zh-CN"/>
        </w:rPr>
        <w:t xml:space="preserve"> and a labor quota of 26 people. The total cost of producing 1000 tons of blueberry yogurt per year is 14.8357 million yuan, equivalent to a cost of 3.71 yuan per bottle (250g). At the same time, a treatment plan for three wastes and noise has been formulated to ensure green production. This design uses AutoCAD software to draw process flow diagrams and workshop equipment layout diagrams, visually displaying workshop layout and equipment configuration.</w:t>
      </w:r>
    </w:p>
    <w:p w14:paraId="27E89D6E">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eastAsia="黑体"/>
          <w:sz w:val="32"/>
          <w:szCs w:val="32"/>
          <w:lang w:val="en-US" w:eastAsia="zh-CN"/>
        </w:rPr>
      </w:pPr>
      <w:r>
        <w:rPr>
          <w:rFonts w:hint="eastAsia" w:eastAsia="黑体"/>
          <w:sz w:val="28"/>
          <w:szCs w:val="28"/>
          <w:lang w:val="en-US" w:eastAsia="zh-CN"/>
        </w:rPr>
        <w:t xml:space="preserve">Keywords: </w:t>
      </w:r>
      <w:r>
        <w:rPr>
          <w:rFonts w:hint="eastAsia" w:eastAsia="黑体"/>
          <w:sz w:val="24"/>
          <w:szCs w:val="24"/>
          <w:lang w:val="en-US" w:eastAsia="zh-CN"/>
        </w:rPr>
        <w:t>blueberry yogurt; Stirred yogurt; Plant design; Material balance; Cost accounting;</w:t>
      </w:r>
    </w:p>
    <w:p w14:paraId="565E8E52">
      <w:pPr>
        <w:jc w:val="center"/>
        <w:rPr>
          <w:rFonts w:hint="eastAsia" w:ascii="黑体" w:hAnsi="黑体" w:eastAsia="黑体" w:cs="黑体"/>
          <w:sz w:val="32"/>
          <w:szCs w:val="32"/>
          <w:lang w:val="en-US" w:eastAsia="zh-CN"/>
        </w:rPr>
      </w:pPr>
    </w:p>
    <w:p w14:paraId="58911443">
      <w:pPr>
        <w:jc w:val="center"/>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黑体" w:hAnsi="黑体" w:eastAsia="黑体" w:cs="黑体"/>
          <w:b w:val="0"/>
          <w:bCs w:val="0"/>
          <w:sz w:val="24"/>
          <w:szCs w:val="11"/>
          <w:lang w:val="en-US" w:eastAsia="zh-CN"/>
        </w:rPr>
      </w:pPr>
      <w:bookmarkStart w:id="0" w:name="_Toc17326"/>
      <w:bookmarkStart w:id="1" w:name="_Toc28591"/>
      <w:r>
        <w:rPr>
          <w:rFonts w:hint="eastAsia" w:ascii="黑体" w:hAnsi="黑体" w:eastAsia="黑体" w:cs="黑体"/>
          <w:b w:val="0"/>
          <w:bCs w:val="0"/>
          <w:sz w:val="24"/>
          <w:szCs w:val="11"/>
          <w:lang w:val="en-US" w:eastAsia="zh-CN"/>
        </w:rPr>
        <w:t>1 设计背景</w:t>
      </w:r>
      <w:bookmarkEnd w:id="0"/>
      <w:bookmarkEnd w:id="1"/>
    </w:p>
    <w:p w14:paraId="1559B62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我国作为蓝莓生产大国，近年来种植面积和产量均跃居世界首位，已成为助推农业现代化和产业精深加工的优势特色产业之一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lang w:val="en-US" w:eastAsia="zh-CN"/>
        </w:rPr>
        <w:t>。目前全球蓝莓市场需求持续增长，产业规模不断扩大，加工环节已成为连接种植与消费、提升产品附加值的核心枢纽。从产业格局来看，中国、美国、秘鲁等主产国的供应能力占据全球主导地位，中国凭借庞大的栽培规模为全球蓝莓产业链提供了充足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lang w:val="en-US" w:eastAsia="zh-CN"/>
        </w:rPr>
        <w:t>。其中，我国优势产区分布广泛，通过走精细化加工之路，正逐步实现从初级农产品向高附加值深加工制品的转型升级。</w:t>
      </w:r>
      <w:bookmarkStart w:id="2" w:name="_Toc29221"/>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r>
        <w:rPr>
          <w:rFonts w:hint="eastAsia" w:ascii="黑体" w:hAnsi="黑体" w:eastAsia="黑体" w:cs="Times New Roman"/>
          <w:b w:val="0"/>
          <w:bCs w:val="0"/>
          <w:sz w:val="24"/>
          <w:szCs w:val="24"/>
          <w:lang w:val="en-US" w:eastAsia="zh-CN" w:bidi="ar-SA"/>
        </w:rPr>
        <w:t xml:space="preserve"> </w:t>
      </w:r>
      <w:bookmarkStart w:id="3" w:name="_Toc9772"/>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09232F8B">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在全球蓝莓产量规模化增长与功能性乳制品消费升级的双重驱动下，开发兼具浆果营养与发酵乳生理活性的蓝莓酸奶已成为乳品加工创新的重要方向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在原料供应链维度，我国已跨入全球最大蓝莓生产国行列，以贵州、云南、四川为代表的主产区产能持续释放，有效保障了本土大宗深加工的原料丰度与成本优势；同时，协同秘鲁、智利等南半球国家的反季节鲜冻果贸易，形成了跨区域、跨季节的原料互补网络，为车间执行周年化连续生产调度提供了物理可行性</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从风味重构与基质互补角度分析，传统单一风味发酵乳的感官辨识度已现饱和，而蓝莓特有的有机酸及挥发性风味物质能与牛乳基质形成良好的风味协同。更具技术价值的是，蓝莓果实内高丰度的花青素等多酚类次生代谢产物，赋予了产品明确的抗氧化靶向功能，使“功能性功能因子+益生菌发酵”的复配体系契合了现代健康食品的设计核心</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w:t>
      </w:r>
    </w:p>
    <w:p w14:paraId="396FA8C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在现阶段的技术研发格局中，国际研究重心多聚焦于发酵与热加工体系下花色苷的热降解动力学机制、风味物质的代谢路径演变，并尝试通过特定菌株筛选和色泽保护技术来延缓产品货架期内的品质退化</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；相比之下，国内研究主要集中在引进品种的加工适性评价以及本土化基础发酵工艺的改良上，深层次的精深加工调控手段和配套装备仍显单薄</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不可否认，当前蓝莓酸奶产业的产业化落地仍受限于多项技术与行业短板：我国现有的蓝莓栽培体系中加工专用品种结构失衡，自主选育的加工型专用品种极度匮乏；同时，中西部主产区冷链物流网络的覆盖率和温控精度不足，加之上游品牌集中度偏低，均在一定程度上抑制了高端搅拌型风味酸奶的规模化推广</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因此，全球蓝莓酸奶产业正经历由“初级原辅料简单复配”向“精准工艺过程控制与功能品质协同优化”的工程转型。未来该领域的技术突破点应聚焦于加工专用品种的定向选育、加工全内多酚类物质的高保真保持技术、清洁标签配方设计以及全产业链的数字化可追溯控制，以此引导蓝莓酸奶加工向高技术附加值、高品质刚性的工程方向演进。</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r>
        <w:rPr>
          <w:rFonts w:hint="eastAsia" w:ascii="黑体" w:hAnsi="黑体" w:eastAsia="黑体" w:cs="Times New Roman"/>
          <w:b w:val="0"/>
          <w:bCs w:val="0"/>
          <w:sz w:val="24"/>
          <w:szCs w:val="24"/>
          <w:lang w:val="en-US" w:eastAsia="zh-CN" w:bidi="ar-SA"/>
        </w:rPr>
        <w:t xml:space="preserve"> </w:t>
      </w:r>
      <w:bookmarkStart w:id="5" w:name="_Toc13403"/>
      <w:r>
        <w:rPr>
          <w:rFonts w:hint="eastAsia" w:ascii="黑体" w:hAnsi="黑体" w:eastAsia="黑体" w:cs="Times New Roman"/>
          <w:b w:val="0"/>
          <w:bCs w:val="0"/>
          <w:sz w:val="24"/>
          <w:szCs w:val="24"/>
          <w:lang w:val="en-US" w:eastAsia="zh-CN" w:bidi="ar-SA"/>
        </w:rPr>
        <w:t>蓝莓营养价值概述</w:t>
      </w:r>
      <w:bookmarkEnd w:id="4"/>
      <w:bookmarkEnd w:id="5"/>
    </w:p>
    <w:p w14:paraId="533E688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bookmarkStart w:id="6" w:name="_Toc25408"/>
      <w:bookmarkStart w:id="7" w:name="_Toc168404166"/>
      <w:r>
        <w:rPr>
          <w:rFonts w:hint="eastAsia"/>
          <w:b w:val="0"/>
          <w:sz w:val="24"/>
          <w:szCs w:val="24"/>
          <w:lang w:val="en-US" w:eastAsia="zh-CN"/>
        </w:rPr>
        <w:t>在营养素组成方面，蓝莓果实兼具基础营养价值与高膳食纤维特性。其内部富含蛋白质、多种维生素（含VC、VE）以及钾、铁、锌等微量元素，其中成熟鲜果的膳食纤维质量分数可达4.5%，在同类浆果中表现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lang w:val="en-US" w:eastAsia="zh-CN"/>
        </w:rPr>
        <w:t>。这些组分主要以飞燕草素、矢车菊素、矮牵牛素等与葡萄糖或半乳糖偶联形成的花色苷形式稳定存在，是蓝莓强自由基清除能力的主要来源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lang w:val="en-US" w:eastAsia="zh-CN"/>
        </w:rPr>
        <w:t>。除花色苷外，果实内还富含黄酮类、酚酸类、超氧化物歧化酶以及功能性多糖等成分，共同构建了多成分交织的天然抗氧化基质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lang w:val="en-US" w:eastAsia="zh-CN"/>
        </w:rPr>
        <w:t>。</w:t>
      </w:r>
    </w:p>
    <w:p w14:paraId="0D9F76EF">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相关的药理学与临床研究证实了蓝莓活性因子的生理调控机制。具体而言，花青素组分能够通过激活视网膜相关酶类活性、下调基质金属蛋白酶-2（MMP-2）的表达，起到改善视觉传导、减缓近视病程的作用；多糖类高分子则参与了机体运动耐力的调节，通过加速血乳酸代谢发挥抗疲劳功效；在肿瘤生物学研究中，蓝莓花青素已被证实对肝癌、结肠癌及乳腺癌等恶性肿瘤细胞的增殖具有抑制作用，可介导细胞凋亡程序，并能通过调控组蛋白乙酰化修饰水平来干预肿瘤演进</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lang w:val="en-US" w:eastAsia="zh-CN"/>
        </w:rPr>
        <w:t>。上述独特的生物活性与综合营养表征，奠定了蓝莓作为发酵乳等功能性食品核心辅料的技术价值。</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2"/>
          <w:szCs w:val="10"/>
          <w:lang w:val="en-US" w:eastAsia="zh-CN"/>
        </w:rPr>
      </w:pPr>
      <w:bookmarkStart w:id="8" w:name="_Toc16653"/>
      <w:r>
        <w:rPr>
          <w:rFonts w:hint="eastAsia" w:ascii="黑体" w:hAnsi="黑体"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黑体" w:hAnsi="黑体"/>
          <w:lang w:val="en-US" w:eastAsia="zh-CN"/>
        </w:rPr>
      </w:pPr>
      <w:bookmarkStart w:id="9" w:name="_Toc7582"/>
      <w:bookmarkStart w:id="10" w:name="_Toc20646"/>
      <w:r>
        <w:rPr>
          <w:rFonts w:hint="eastAsia" w:ascii="黑体" w:hAnsi="黑体" w:eastAsia="黑体" w:cs="黑体"/>
          <w:b w:val="0"/>
          <w:bCs/>
          <w:sz w:val="24"/>
          <w:szCs w:val="16"/>
          <w:lang w:val="en-US" w:eastAsia="zh-CN"/>
        </w:rPr>
        <w:t>2.1</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产品方案</w:t>
      </w:r>
      <w:bookmarkEnd w:id="9"/>
      <w:bookmarkEnd w:id="10"/>
    </w:p>
    <w:p w14:paraId="3A21ACC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的目标产品定位于搅拌型蓝莓酸奶，主要以优质生鲜乳与特色蓝莓果料为原辅料复合而成。在市场终端与消费场景的考量下，产品最终采用250g/瓶的瓶装规格，并以12瓶/箱的标准件进行集成，旨在切入即饮零售与家庭日常消费市场。</w:t>
      </w:r>
    </w:p>
    <w:p w14:paraId="61F6564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生产能力的规划上，项目确立了年产1000吨的建设规模。结合中小型乳品加工车间的运营特征，设计将全年生产周期定为300天，实行单班制生产管理（8小时/班），经核算其实际班产量约为3.5吨。这一产能规模的设定，能够在有效控制前期设备投资与厂房建设成本的前提下，确保后期车间拥有较高的产能利用率与抗风险能力。</w:t>
      </w:r>
    </w:p>
    <w:p w14:paraId="1C60DFC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实现蓝莓酸奶周年化连续生产的技术难点，在于克服蓝莓果实固有的熟期集中与生物学特性所导致的季节性断档。蓝莓鲜果的自然成熟期集中于4至8月，且组织柔嫩、不耐储运，无法直接作为全年连续生产的即时原料。</w:t>
      </w:r>
    </w:p>
    <w:p w14:paraId="029614A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为此，本设计方案建立了以冷冻蓝莓果料为主体、跨产区及进出口渠道互补的原料平准供应体系。在鲜果产季集中完成集采，并经标准化清洗、光电分选与个体速冻（IQF）技术处理，置于-18℃冷库中深冻贮藏。此方法能将原料货架期延长至6个月以上，锁固风味的同时满足非产季的基料消耗。</w:t>
      </w:r>
    </w:p>
    <w:p w14:paraId="546324B4">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产季调度方面，设计利用我国贵州、云南、四川及辽宁等主产区的地理纬度与生态类型差异，错峰衔接各产区蓝莓的上市档期。此外，针对中高端产品线的配方需求，本方案在生产调度中引入智利、秘鲁等南半球国家的进口冻果作为反季节补充。这种多源异地的原料配置模式，有效消解了单一产地减产或价格剧变给工厂带来的运营风险，从工程实务层面保障了车间年运行300天生产线的连续性。</w:t>
      </w:r>
    </w:p>
    <w:p w14:paraId="61A35ED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w:t>
      </w:r>
      <w:r>
        <w:rPr>
          <w:rFonts w:hint="eastAsia" w:cs="Times New Roman"/>
          <w:b w:val="0"/>
          <w:bCs w:val="0"/>
          <w:color w:val="000000" w:themeColor="text1"/>
          <w:sz w:val="24"/>
          <w:szCs w:val="24"/>
          <w:lang w:val="en-US" w:eastAsia="zh-CN"/>
          <w14:textFill>
            <w14:solidFill>
              <w14:schemeClr w14:val="tx1"/>
            </w14:solidFill>
          </w14:textFill>
        </w:rPr>
        <w:t>车</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间在进厂址选择时，核心考量在于收缩原辅料的供应半径并契合冷链配送网络。设计最终将厂址锁定在贵州省（黔东南或安顺地区）的省级食品工业园区内。这一决策的首要优势在于能够直接依托当地作为国内最大蓝莓种植核心区的产业规模。利用贵州蓝莓栽培面积与产量的集聚效应，原料乳及新鲜蓝莓可在采摘后迅速就近进行速冻或冷藏储存，从而将田间加工车间的运输周期控制在最低限度。</w:t>
      </w:r>
    </w:p>
    <w:p w14:paraId="61A3D3C0">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此外，该类省级食品园区在硬件配套上具备明显的规模经济性。车间可直接接入园区现成的污水处理系统、集中供热管网以及区域冷链物流中，避免了中小型加工项目在公用工程上的重复建设，利于压低前期的固定资产投入与后期运行能耗。在市场辐射方面，借助贵阳等西部大通道的交通枢纽地位，成品的冷链物流可沿干线网络快速输送至西南、华南及华中等目标消费市场。</w:t>
      </w:r>
    </w:p>
    <w:p w14:paraId="60CD3001">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本间设计在进行平面布局时，首要任务是严格执行《食品安全国家标准 食品生产通用卫生规范》(GB14881）等行业硬性指标。各产环节的设备摆放必须紧密衔接，确保蓝莓酸奶从原料乳验收、物料调配、杀菌、发酵到最终灌装的整个流程，呈单向直线流转或顺时针推进，绝不允许出现物料倒流或管线交叉污染。</w:t>
      </w:r>
    </w:p>
    <w:p w14:paraId="7BE4A5F7">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在此基础上，设计将清洁区（如灌装间)、准清洁区（如发酵和前处理间）与一般作业区进了绝对的物理隔离。人流与物流也各其道，从源头上杜绝了生熟交叉与环境污染。</w:t>
      </w:r>
    </w:p>
    <w:p w14:paraId="7FF3D88F">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最后，本着经济的原则，布局最大程度地压缩了非生产性的辅助面积，提高了厂房空间利率，不仅能有效降低前期的建设投资，也为后期的管路维护和日常卫生清理预留了足够的腾挪空间。</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cs="Times New Roman"/>
          <w:b w:val="0"/>
          <w:bCs/>
          <w:sz w:val="24"/>
          <w:szCs w:val="16"/>
          <w:lang w:val="en-US" w:eastAsia="zh-CN"/>
        </w:rPr>
      </w:pPr>
      <w:bookmarkStart w:id="13" w:name="_Toc11902"/>
      <w:r>
        <w:rPr>
          <w:rFonts w:hint="eastAsia" w:ascii="黑体" w:hAnsi="黑体" w:eastAsia="黑体" w:cs="黑体"/>
          <w:b w:val="0"/>
          <w:bCs/>
          <w:color w:val="auto"/>
          <w:sz w:val="24"/>
          <w:szCs w:val="16"/>
          <w:lang w:val="en-US" w:eastAsia="zh-CN"/>
        </w:rPr>
        <w:t>2.2</w:t>
      </w:r>
      <w:r>
        <w:rPr>
          <w:rFonts w:hint="eastAsia" w:ascii="Times New Roman" w:hAnsi="Times New Roman" w:cs="黑体"/>
          <w:b w:val="0"/>
          <w:bCs/>
          <w:color w:val="auto"/>
          <w:sz w:val="24"/>
          <w:szCs w:val="16"/>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1</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224490F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p>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543E5830">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p>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586B3C21">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rPr>
          <w:rFonts w:hint="eastAsia" w:ascii="黑体" w:hAnsi="黑体" w:eastAsia="黑体" w:cs="黑体"/>
          <w:kern w:val="2"/>
          <w:sz w:val="21"/>
          <w:szCs w:val="22"/>
          <w:lang w:val="en-US" w:eastAsia="zh-CN"/>
        </w:rPr>
      </w:pPr>
    </w:p>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表4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15" w:name="_Toc9731"/>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3 </w:t>
      </w:r>
      <w:r>
        <w:rPr>
          <w:rFonts w:hint="eastAsia" w:ascii="黑体" w:hAnsi="黑体"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2.3.1 蓝莓酸奶生产工艺流程图</w:t>
      </w:r>
    </w:p>
    <w:p w14:paraId="7B106672">
      <w:pPr>
        <w:rPr>
          <w:rFonts w:hint="eastAsia"/>
          <w:strike w:val="0"/>
          <w:dstrike w:val="0"/>
          <w:lang w:val="en-US" w:eastAsia="zh-CN"/>
        </w:rPr>
      </w:pPr>
      <w:r>
        <w:rPr>
          <w:rFonts w:hint="eastAsia"/>
          <w:strike w:val="0"/>
          <w:dstrike w:val="0"/>
          <w:lang w:val="en-US" w:eastAsia="zh-CN"/>
        </w:rPr>
        <w:drawing>
          <wp:inline distT="0" distB="0" distL="114300" distR="114300">
            <wp:extent cx="5573395" cy="837565"/>
            <wp:effectExtent l="0" t="0" r="4445" b="635"/>
            <wp:docPr id="2" name="图片 2" descr="PixPin_2026-05-08_16-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ixPin_2026-05-08_16-12-07"/>
                    <pic:cNvPicPr>
                      <a:picLocks noChangeAspect="1"/>
                    </pic:cNvPicPr>
                  </pic:nvPicPr>
                  <pic:blipFill>
                    <a:blip r:embed="rId10"/>
                    <a:stretch>
                      <a:fillRect/>
                    </a:stretch>
                  </pic:blipFill>
                  <pic:spPr>
                    <a:xfrm>
                      <a:off x="0" y="0"/>
                      <a:ext cx="5573395" cy="83756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sz w:val="21"/>
          <w:szCs w:val="21"/>
        </w:rPr>
      </w:pPr>
      <w:r>
        <w:rPr>
          <w:rFonts w:hint="eastAsia" w:ascii="黑体" w:hAnsi="黑体" w:eastAsia="黑体"/>
          <w:sz w:val="21"/>
          <w:szCs w:val="21"/>
        </w:rPr>
        <w:t>图1</w:t>
      </w:r>
      <w:r>
        <w:rPr>
          <w:rFonts w:ascii="黑体" w:hAnsi="黑体" w:eastAsia="黑体"/>
          <w:sz w:val="21"/>
          <w:szCs w:val="21"/>
        </w:rPr>
        <w:t xml:space="preserve"> </w:t>
      </w:r>
      <w:r>
        <w:rPr>
          <w:rFonts w:hint="eastAsia" w:ascii="黑体" w:hAnsi="黑体" w:eastAsia="黑体"/>
          <w:sz w:val="21"/>
          <w:szCs w:val="21"/>
          <w:lang w:val="en-US" w:eastAsia="zh-CN"/>
        </w:rPr>
        <w:t>蓝莓酸奶</w:t>
      </w:r>
      <w:r>
        <w:rPr>
          <w:rFonts w:hint="eastAsia" w:ascii="黑体" w:hAnsi="黑体"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2.3.2 蓝莓酸奶生产操作要点</w:t>
      </w:r>
      <w:bookmarkStart w:id="16" w:name="_Toc168404169"/>
      <w:bookmarkStart w:id="17" w:name="_Toc1307"/>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蓝莓汁制备：将去梗、清洗</w:t>
      </w:r>
      <w:r>
        <w:rPr>
          <w:rFonts w:hint="eastAsia" w:cs="宋体"/>
          <w:b w:val="0"/>
          <w:color w:val="000000" w:themeColor="text1"/>
          <w:sz w:val="24"/>
          <w:szCs w:val="24"/>
          <w:lang w:val="en-US" w:eastAsia="zh-CN"/>
          <w14:textFill>
            <w14:solidFill>
              <w14:schemeClr w14:val="tx1"/>
            </w14:solidFill>
          </w14:textFill>
        </w:rPr>
        <w:t>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榨汁并添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原料乳验收：选用符合GB19302要求的生鲜牛乳，经感官、理化及微生物检验合格后备用。生产前将鲜乳标准化至脂肪含量≥2.5%、蛋白质含量≥2.3%</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_Ref13426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[17]</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 xml:space="preserve">   </w:t>
      </w:r>
    </w:p>
    <w:p w14:paraId="42E4001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杀菌与冷却：将标准化后的鲜乳于90~95℃杀菌5~10分钟，充分杀灭致病菌和杂菌，同时促进乳清蛋白适度变性以改善酸奶质构。杀菌后迅速冷却至42~43℃</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cs="宋体"/>
          <w:b w:val="0"/>
          <w:color w:val="000000" w:themeColor="text1"/>
          <w:sz w:val="24"/>
          <w:szCs w:val="24"/>
          <w:vertAlign w:val="superscript"/>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冷却后的鲜乳中，搅拌均匀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74E5992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发酵：将接种后的料液置于42~43℃恒温条件下发酵约6小时，终点酸度控制在70~75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或pH值4.5~4.6，发酵至凝乳均匀、无乳清析出为止</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冷却：发酵结束后立即破乳搅拌，</w:t>
      </w:r>
      <w:r>
        <w:rPr>
          <w:rFonts w:hint="eastAsia" w:cs="宋体"/>
          <w:b w:val="0"/>
          <w:color w:val="000000" w:themeColor="text1"/>
          <w:sz w:val="24"/>
          <w:szCs w:val="24"/>
          <w:lang w:val="en-US" w:eastAsia="zh-CN"/>
          <w14:textFill>
            <w14:solidFill>
              <w14:schemeClr w14:val="tx1"/>
            </w14:solidFill>
          </w14:textFill>
        </w:rPr>
        <w:t>在</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，终止发酵进程。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搅拌均匀：将预先制备好并已冷却的蓝莓汁按配方比例加入冷却后的酸奶基料中，搅拌均匀，使蓝莓汁与酸奶充分混合，产品呈均匀一致的蓝紫色。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冷库后熟12~24小时，促进风味物质形成和凝胶结构稳定。</w:t>
      </w:r>
    </w:p>
    <w:p w14:paraId="74DB6BA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1E0D274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15BDB67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18" w:name="_Toc10108"/>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4 </w:t>
      </w:r>
      <w:r>
        <w:rPr>
          <w:rFonts w:hint="eastAsia" w:ascii="黑体" w:hAnsi="黑体" w:eastAsia="黑体" w:cs="黑体"/>
          <w:b w:val="0"/>
          <w:bCs/>
          <w:sz w:val="24"/>
          <w:szCs w:val="16"/>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cs="宋体"/>
          <w:lang w:val="en-US" w:eastAsia="zh-CN"/>
        </w:rPr>
      </w:pPr>
      <w:r>
        <w:rPr>
          <w:rFonts w:hint="eastAsia" w:ascii="黑体" w:hAnsi="黑体" w:eastAsia="黑体"/>
          <w:sz w:val="21"/>
          <w:szCs w:val="21"/>
        </w:rPr>
        <w:t>表</w:t>
      </w:r>
      <w:r>
        <w:rPr>
          <w:rFonts w:hint="eastAsia" w:ascii="黑体" w:hAnsi="黑体" w:eastAsia="黑体"/>
          <w:sz w:val="21"/>
          <w:szCs w:val="21"/>
          <w:lang w:val="en-US" w:eastAsia="zh-CN"/>
        </w:rPr>
        <w:t>5</w:t>
      </w:r>
      <w:r>
        <w:rPr>
          <w:rFonts w:ascii="黑体" w:hAnsi="黑体" w:eastAsia="黑体"/>
          <w:sz w:val="21"/>
          <w:szCs w:val="21"/>
        </w:rPr>
        <w:t xml:space="preserve"> </w:t>
      </w:r>
      <w:r>
        <w:rPr>
          <w:rFonts w:hint="eastAsia" w:ascii="黑体" w:hAnsi="黑体" w:eastAsia="黑体"/>
          <w:sz w:val="21"/>
          <w:szCs w:val="21"/>
        </w:rPr>
        <w:t>工艺损耗</w:t>
      </w:r>
      <w:r>
        <w:rPr>
          <w:rFonts w:hint="eastAsia" w:ascii="黑体" w:hAnsi="黑体" w:eastAsia="黑体"/>
          <w:sz w:val="21"/>
          <w:szCs w:val="21"/>
          <w:lang w:val="en-US" w:eastAsia="zh-CN"/>
        </w:rPr>
        <w:t>率</w:t>
      </w:r>
      <w:r>
        <w:rPr>
          <w:rFonts w:hint="eastAsia" w:ascii="黑体" w:hAnsi="黑体" w:eastAsia="黑体"/>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2862.3</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2848.0</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2833.7</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2819.5</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2793.9</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2765.0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蓝莓汁制备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25.0</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471.4</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黑体" w:hAnsi="黑体" w:eastAsia="黑体"/>
          <w:sz w:val="21"/>
          <w:szCs w:val="21"/>
        </w:rPr>
        <w:t>表</w:t>
      </w:r>
      <w:r>
        <w:rPr>
          <w:rFonts w:hint="eastAsia" w:ascii="黑体" w:hAnsi="黑体" w:eastAsia="黑体"/>
          <w:sz w:val="21"/>
          <w:szCs w:val="21"/>
          <w:lang w:val="en-US" w:eastAsia="zh-CN"/>
        </w:rPr>
        <w:t>6</w:t>
      </w:r>
      <w:r>
        <w:rPr>
          <w:rFonts w:ascii="黑体" w:hAnsi="黑体" w:eastAsia="黑体"/>
          <w:sz w:val="21"/>
          <w:szCs w:val="21"/>
        </w:rPr>
        <w:t xml:space="preserve"> </w:t>
      </w:r>
      <w:r>
        <w:rPr>
          <w:rFonts w:hint="eastAsia" w:ascii="黑体" w:hAnsi="黑体"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2862.3</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858.7</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471.4</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141.4</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lang w:val="en-US" w:eastAsia="zh-CN"/>
        </w:rPr>
      </w:pPr>
      <w:r>
        <w:rPr>
          <w:rFonts w:hint="eastAsia" w:ascii="黑体" w:hAnsi="黑体" w:eastAsia="黑体" w:cs="黑体"/>
          <w:b w:val="0"/>
          <w:bCs/>
          <w:sz w:val="24"/>
          <w:szCs w:val="16"/>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 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 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黑体" w:hAnsi="黑体" w:eastAsia="黑体"/>
          <w:sz w:val="21"/>
          <w:szCs w:val="21"/>
        </w:rPr>
        <w:t>表</w:t>
      </w:r>
      <w:r>
        <w:rPr>
          <w:rFonts w:hint="eastAsia" w:ascii="黑体" w:hAnsi="黑体" w:eastAsia="黑体"/>
          <w:sz w:val="21"/>
          <w:szCs w:val="21"/>
          <w:lang w:val="en-US" w:eastAsia="zh-CN"/>
        </w:rPr>
        <w:t>7</w:t>
      </w:r>
      <w:r>
        <w:rPr>
          <w:rFonts w:ascii="黑体" w:hAnsi="黑体" w:eastAsia="黑体"/>
          <w:sz w:val="21"/>
          <w:szCs w:val="21"/>
        </w:rPr>
        <w:t xml:space="preserve"> </w:t>
      </w:r>
      <w:r>
        <w:rPr>
          <w:rFonts w:hint="eastAsia" w:ascii="黑体" w:hAnsi="黑体"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sz w:val="21"/>
                <w:szCs w:val="21"/>
              </w:rPr>
            </w:pPr>
            <w:r>
              <w:rPr>
                <w:rFonts w:hint="eastAsia"/>
                <w:sz w:val="21"/>
                <w:szCs w:val="21"/>
              </w:rPr>
              <w:t>每班需要量</w:t>
            </w:r>
          </w:p>
        </w:tc>
        <w:tc>
          <w:tcPr>
            <w:tcW w:w="1955" w:type="pct"/>
            <w:tcBorders>
              <w:top w:val="single" w:color="auto" w:sz="12" w:space="0"/>
              <w:bottom w:val="single" w:color="auto" w:sz="4" w:space="0"/>
            </w:tcBorders>
            <w:vAlign w:val="center"/>
          </w:tcPr>
          <w:p w14:paraId="235CCA2E">
            <w:pPr>
              <w:spacing w:line="400" w:lineRule="exact"/>
              <w:jc w:val="center"/>
              <w:rPr>
                <w:sz w:val="21"/>
                <w:szCs w:val="21"/>
              </w:rPr>
            </w:pPr>
            <w:r>
              <w:rPr>
                <w:rFonts w:hint="eastAsia"/>
                <w:sz w:val="21"/>
                <w:szCs w:val="21"/>
              </w:rPr>
              <w:t>全年需要量</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21" w:name="_Toc22887"/>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5 </w:t>
      </w:r>
      <w:r>
        <w:rPr>
          <w:rFonts w:hint="eastAsia" w:ascii="黑体" w:hAnsi="黑体" w:eastAsia="黑体" w:cs="黑体"/>
          <w:b w:val="0"/>
          <w:bCs/>
          <w:sz w:val="24"/>
          <w:szCs w:val="16"/>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2.5.1 选型原则</w:t>
      </w:r>
    </w:p>
    <w:p w14:paraId="17560C97">
      <w:pPr>
        <w:keepNext w:val="0"/>
        <w:keepLines w:val="0"/>
        <w:pageBreakBefore w:val="0"/>
        <w:widowControl w:val="0"/>
        <w:kinsoku/>
        <w:wordWrap/>
        <w:overflowPunct w:val="0"/>
        <w:topLinePunct/>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本车间的设备选型围绕生产工艺的适配度、系统能耗调控以及加工安全可靠性三条核心主线展开。首先，设备选型必须严格对标日班产3.5吨的中小规模乳品生产特征。均质机、巴氏杀菌机等前处理单元的额定小时流量（t/h），必须与发酵罐组的周转频次及后续自动灌装线的产能步调保持严密咬合，防止出现局部工段产能断档或滞料。鉴于乳品车间频繁进行CIP（原位清洗）的强酸碱腐蚀环境，凡与牛乳或发酵料液直接接触的管阀与设备表面，材质一律强制锁死为食品级不锈钢（304或316L）。</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2.5.2 设备概述</w:t>
      </w:r>
    </w:p>
    <w:p w14:paraId="7EF7C6A3">
      <w:pPr>
        <w:numPr>
          <w:ilvl w:val="0"/>
          <w:numId w:val="0"/>
        </w:numPr>
        <w:spacing w:line="440" w:lineRule="exact"/>
        <w:ind w:firstLine="480" w:firstLineChars="200"/>
        <w:rPr>
          <w:rFonts w:hint="eastAsia"/>
          <w:lang w:val="en-US" w:eastAsia="zh-CN"/>
        </w:rPr>
      </w:pPr>
      <w:r>
        <w:rPr>
          <w:rFonts w:hint="eastAsia"/>
          <w:lang w:val="en-US" w:eastAsia="zh-CN"/>
        </w:rPr>
        <w:t>依照本车间搅拌型蓝莓酸奶的加工工艺特性，对各核心工段的设备选型方案进行细化论证：</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在收奶与基料前处理阶段，进厂的合格生鲜乳由卫生级离心乳泵送入双网过滤器脱除杂质，经转子流量计计量后，打入配置有单独制冷夹套的室外不锈钢储奶罐内，维持4</w:t>
      </w:r>
      <w:r>
        <w:rPr>
          <w:rFonts w:hint="default" w:ascii="Times New Roman" w:hAnsi="Times New Roman" w:cs="Times New Roman"/>
          <w:lang w:val="en-US" w:eastAsia="zh-CN"/>
        </w:rPr>
        <w:t>℃</w:t>
      </w:r>
      <w:r>
        <w:rPr>
          <w:rFonts w:hint="eastAsia"/>
          <w:lang w:val="en-US" w:eastAsia="zh-CN"/>
        </w:rPr>
        <w:t>以下暂存。基料的均质与杀菌选用高压均质机与多段组合式板式杀菌机组。料液在18~20 MPa压力下进行双级均质，以打碎脂肪球并防止后期乳清析出。随后，料液进入板式换热器，在90~95</w:t>
      </w:r>
      <w:r>
        <w:rPr>
          <w:rFonts w:hint="default" w:ascii="Times New Roman" w:hAnsi="Times New Roman" w:cs="Times New Roman"/>
          <w:lang w:val="en-US" w:eastAsia="zh-CN"/>
        </w:rPr>
        <w:t>℃</w:t>
      </w:r>
      <w:r>
        <w:rPr>
          <w:rFonts w:hint="eastAsia"/>
          <w:lang w:val="en-US" w:eastAsia="zh-CN"/>
        </w:rPr>
        <w:t>下维持5~10 min的热处理以杀灭杂菌并使乳清蛋白变性，之后逆流冷却至42~43</w:t>
      </w:r>
      <w:r>
        <w:rPr>
          <w:rFonts w:hint="default" w:ascii="Times New Roman" w:hAnsi="Times New Roman" w:cs="Times New Roman"/>
          <w:lang w:val="en-US" w:eastAsia="zh-CN"/>
        </w:rPr>
        <w:t>℃</w:t>
      </w:r>
      <w:r>
        <w:rPr>
          <w:rFonts w:hint="eastAsia"/>
          <w:lang w:val="en-US" w:eastAsia="zh-CN"/>
        </w:rPr>
        <w:t>的接种温度。</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带夹套和可调速搅拌系统的立式不锈钢发酵罐。该设备需通过温控联动阀门稳定发酵温度，并在达到终点时切换为慢速破乳搅拌。对于特色辅料，设计方案放弃了易稀释基质的直接榨汁工艺，明确采用蓝莓果料处理线。蓝莓鲜果经清洗、机械分选后进行温和破碎与加糖调配，随后通过管式连续杀菌机（90~95</w:t>
      </w:r>
      <w:r>
        <w:rPr>
          <w:rFonts w:hint="default" w:ascii="Times New Roman" w:hAnsi="Times New Roman" w:cs="Times New Roman"/>
          <w:lang w:val="en-US" w:eastAsia="zh-CN"/>
        </w:rPr>
        <w:t>℃</w:t>
      </w:r>
      <w:r>
        <w:rPr>
          <w:rFonts w:hint="eastAsia"/>
          <w:lang w:val="en-US" w:eastAsia="zh-CN"/>
        </w:rPr>
        <w:t>，5~10 min）实施无菌化处理，降温后送至专用的混合搅拌罐。在该罐内，发酵破乳后的酸奶基料与无菌果料进行定量在线剪切复合，确保成品色泽与果粒分布均匀。</w:t>
      </w:r>
    </w:p>
    <w:p w14:paraId="20D6492C">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混合均匀的成品料液由螺杆泵送至全自动瓶装灌装封口一体机。灌装头处于配备高效空气过滤器（HEPA）的洁净罩内，实施定量无菌灌装并由旋盖机自动成型。全厂的卫生屏障依托一套多回路的CIP原位清洗站，可对储罐、发酵设备及输送管线执行“酸洗-碱洗-热水冲洗”的自动化循环清洗。此外，供热锅炉（蒸汽源）、螺杆式空压机（气动阀动力源）、反渗透水处理设备以及提供全过程冷链屏障的冰水制冷机组，共同构成了车间的动力与公用工程支撑体系。</w:t>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8</w:t>
      </w:r>
      <w:r>
        <w:rPr>
          <w:rFonts w:hint="eastAsia" w:ascii="黑体" w:hAnsi="黑体"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tcBorders>
              <w:top w:val="single" w:color="auto" w:sz="12" w:space="0"/>
              <w:bottom w:val="single" w:color="auto" w:sz="4" w:space="0"/>
            </w:tcBorders>
            <w:vAlign w:val="center"/>
          </w:tcPr>
          <w:p w14:paraId="7CC2122E">
            <w:pPr>
              <w:spacing w:line="400" w:lineRule="exact"/>
              <w:jc w:val="center"/>
            </w:pPr>
            <w:r>
              <w:rPr>
                <w:rFonts w:hint="eastAsia"/>
                <w:sz w:val="21"/>
              </w:rPr>
              <w:t>设备名称</w:t>
            </w:r>
          </w:p>
        </w:tc>
        <w:tc>
          <w:tcPr>
            <w:tcW w:w="1605" w:type="dxa"/>
            <w:tcBorders>
              <w:top w:val="single" w:color="auto" w:sz="12" w:space="0"/>
              <w:bottom w:val="single" w:color="auto" w:sz="4" w:space="0"/>
            </w:tcBorders>
            <w:vAlign w:val="center"/>
          </w:tcPr>
          <w:p w14:paraId="3C40706A">
            <w:pPr>
              <w:spacing w:line="400" w:lineRule="exact"/>
              <w:jc w:val="center"/>
            </w:pPr>
            <w:r>
              <w:rPr>
                <w:rFonts w:hint="eastAsia"/>
                <w:sz w:val="21"/>
              </w:rPr>
              <w:t>仪器型号</w:t>
            </w:r>
          </w:p>
        </w:tc>
        <w:tc>
          <w:tcPr>
            <w:tcW w:w="1147" w:type="dxa"/>
            <w:tcBorders>
              <w:top w:val="single" w:color="auto" w:sz="12" w:space="0"/>
              <w:bottom w:val="single" w:color="auto" w:sz="4" w:space="0"/>
            </w:tcBorders>
            <w:vAlign w:val="center"/>
          </w:tcPr>
          <w:p w14:paraId="0F25562C">
            <w:pPr>
              <w:spacing w:line="400" w:lineRule="exact"/>
              <w:jc w:val="center"/>
              <w:rPr>
                <w:sz w:val="21"/>
              </w:rPr>
            </w:pPr>
            <w:r>
              <w:rPr>
                <w:rFonts w:hint="eastAsia"/>
                <w:sz w:val="21"/>
              </w:rPr>
              <w:t>功率</w:t>
            </w:r>
            <w:r>
              <w:rPr>
                <w:sz w:val="21"/>
              </w:rPr>
              <w:t xml:space="preserve"> (</w:t>
            </w:r>
            <w:r>
              <w:rPr>
                <w:rFonts w:hint="eastAsia"/>
                <w:sz w:val="21"/>
              </w:rPr>
              <w:t>k</w:t>
            </w:r>
            <w:r>
              <w:rPr>
                <w:sz w:val="21"/>
              </w:rPr>
              <w:t>W</w:t>
            </w:r>
            <w:r>
              <w:rPr>
                <w:rFonts w:hint="eastAsia"/>
                <w:sz w:val="21"/>
              </w:rPr>
              <w:t>/h</w:t>
            </w:r>
            <w:r>
              <w:rPr>
                <w:sz w:val="21"/>
              </w:rPr>
              <w:t>)</w:t>
            </w:r>
          </w:p>
        </w:tc>
        <w:tc>
          <w:tcPr>
            <w:tcW w:w="1247"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7" w:type="dxa"/>
            <w:tcBorders>
              <w:top w:val="single" w:color="auto" w:sz="12" w:space="0"/>
              <w:bottom w:val="single" w:color="auto" w:sz="4" w:space="0"/>
            </w:tcBorders>
            <w:vAlign w:val="center"/>
          </w:tcPr>
          <w:p w14:paraId="07AC2553">
            <w:pPr>
              <w:spacing w:line="400" w:lineRule="exact"/>
              <w:jc w:val="center"/>
            </w:pPr>
            <w:r>
              <w:rPr>
                <w:rFonts w:hint="eastAsia"/>
                <w:sz w:val="21"/>
              </w:rPr>
              <w:t>数量(台)</w:t>
            </w:r>
          </w:p>
        </w:tc>
        <w:tc>
          <w:tcPr>
            <w:tcW w:w="1147" w:type="dxa"/>
            <w:tcBorders>
              <w:top w:val="single" w:color="auto" w:sz="12" w:space="0"/>
              <w:bottom w:val="single" w:color="auto" w:sz="4" w:space="0"/>
            </w:tcBorders>
            <w:vAlign w:val="center"/>
          </w:tcPr>
          <w:p w14:paraId="72208D22">
            <w:pPr>
              <w:spacing w:line="400" w:lineRule="exact"/>
              <w:jc w:val="center"/>
              <w:rPr>
                <w:sz w:val="21"/>
              </w:rPr>
            </w:pPr>
            <w:r>
              <w:rPr>
                <w:rFonts w:hint="eastAsia"/>
                <w:sz w:val="21"/>
              </w:rPr>
              <w:t>单价</w:t>
            </w:r>
          </w:p>
          <w:p w14:paraId="65D34317">
            <w:pPr>
              <w:spacing w:line="400" w:lineRule="exact"/>
              <w:jc w:val="center"/>
              <w:rPr>
                <w:color w:val="C00000"/>
              </w:rPr>
            </w:pPr>
            <w:r>
              <w:rPr>
                <w:rFonts w:hint="eastAsia"/>
                <w:sz w:val="21"/>
              </w:rPr>
              <w:t>(万)</w:t>
            </w:r>
          </w:p>
        </w:tc>
        <w:tc>
          <w:tcPr>
            <w:tcW w:w="1148" w:type="dxa"/>
            <w:tcBorders>
              <w:top w:val="single" w:color="auto" w:sz="12" w:space="0"/>
              <w:bottom w:val="single" w:color="auto" w:sz="4" w:space="0"/>
            </w:tcBorders>
            <w:vAlign w:val="center"/>
          </w:tcPr>
          <w:p w14:paraId="74C1BF5D">
            <w:pPr>
              <w:spacing w:line="400" w:lineRule="exact"/>
              <w:jc w:val="center"/>
              <w:rPr>
                <w:sz w:val="21"/>
              </w:rPr>
            </w:pPr>
            <w:r>
              <w:rPr>
                <w:rFonts w:hint="eastAsia"/>
                <w:sz w:val="21"/>
              </w:rPr>
              <w:t>总价</w:t>
            </w:r>
          </w:p>
          <w:p w14:paraId="47D75636">
            <w:pPr>
              <w:spacing w:line="400" w:lineRule="exact"/>
              <w:jc w:val="center"/>
              <w:rPr>
                <w:color w:val="C00000"/>
              </w:rPr>
            </w:pPr>
            <w:r>
              <w:rPr>
                <w:rFonts w:hint="eastAsia"/>
                <w:sz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605"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7"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7"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7"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7"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8"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605"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7"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7"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7" w:type="dxa"/>
            <w:vAlign w:val="center"/>
          </w:tcPr>
          <w:p w14:paraId="5C386E54">
            <w:pPr>
              <w:spacing w:line="400" w:lineRule="exact"/>
              <w:jc w:val="center"/>
              <w:rPr>
                <w:color w:val="000000"/>
                <w:sz w:val="21"/>
                <w:szCs w:val="21"/>
              </w:rPr>
            </w:pPr>
            <w:r>
              <w:rPr>
                <w:color w:val="000000"/>
                <w:sz w:val="21"/>
                <w:szCs w:val="21"/>
              </w:rPr>
              <w:t>1</w:t>
            </w:r>
          </w:p>
        </w:tc>
        <w:tc>
          <w:tcPr>
            <w:tcW w:w="1147"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8"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605"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7"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7"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7" w:type="dxa"/>
            <w:vAlign w:val="center"/>
          </w:tcPr>
          <w:p w14:paraId="02AEFA57">
            <w:pPr>
              <w:spacing w:line="400" w:lineRule="exact"/>
              <w:jc w:val="center"/>
              <w:rPr>
                <w:color w:val="000000"/>
                <w:sz w:val="21"/>
                <w:szCs w:val="21"/>
              </w:rPr>
            </w:pPr>
            <w:r>
              <w:rPr>
                <w:color w:val="000000"/>
                <w:sz w:val="21"/>
                <w:szCs w:val="21"/>
              </w:rPr>
              <w:t>1</w:t>
            </w:r>
          </w:p>
        </w:tc>
        <w:tc>
          <w:tcPr>
            <w:tcW w:w="1147"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8"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605"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7"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7"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7"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7"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8"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47BD207D">
            <w:pPr>
              <w:spacing w:line="400" w:lineRule="exact"/>
              <w:jc w:val="center"/>
              <w:rPr>
                <w:rFonts w:hint="eastAsia" w:eastAsia="宋体"/>
                <w:lang w:eastAsia="zh-CN"/>
              </w:rPr>
            </w:pPr>
            <w:r>
              <w:rPr>
                <w:rFonts w:hint="eastAsia"/>
                <w:color w:val="000000"/>
                <w:sz w:val="21"/>
                <w:szCs w:val="21"/>
                <w:lang w:val="en-US" w:eastAsia="zh-CN"/>
              </w:rPr>
              <w:t>蓝莓清洗机</w:t>
            </w:r>
          </w:p>
        </w:tc>
        <w:tc>
          <w:tcPr>
            <w:tcW w:w="1605"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7"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7"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7"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8"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shd w:val="clear" w:color="auto" w:fill="auto"/>
            <w:vAlign w:val="center"/>
          </w:tcPr>
          <w:p w14:paraId="1FE2EA58">
            <w:pPr>
              <w:spacing w:line="400" w:lineRule="exact"/>
              <w:jc w:val="center"/>
              <w:rPr>
                <w:rFonts w:hint="default" w:ascii="Times New Roman" w:hAnsi="Times New Roman" w:eastAsia="宋体" w:cs="Times New Roman"/>
                <w:sz w:val="24"/>
                <w:lang w:val="en-US" w:eastAsia="zh-CN" w:bidi="ar-SA"/>
              </w:rPr>
            </w:pPr>
            <w:r>
              <w:rPr>
                <w:rFonts w:hint="eastAsia" w:cs="Times New Roman"/>
                <w:sz w:val="24"/>
                <w:lang w:val="en-US" w:eastAsia="zh-CN" w:bidi="ar-SA"/>
              </w:rPr>
              <w:t>榨汁机</w:t>
            </w:r>
          </w:p>
        </w:tc>
        <w:tc>
          <w:tcPr>
            <w:tcW w:w="1605"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7"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7"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7"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7"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8"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605"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7"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7"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7"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8"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506CDFCC">
            <w:pPr>
              <w:spacing w:line="400" w:lineRule="exact"/>
              <w:jc w:val="center"/>
              <w:rPr>
                <w:rFonts w:hint="default" w:eastAsia="宋体"/>
                <w:lang w:val="en-US" w:eastAsia="zh-CN"/>
              </w:rPr>
            </w:pPr>
            <w:r>
              <w:rPr>
                <w:rFonts w:hint="eastAsia"/>
                <w:sz w:val="21"/>
                <w:szCs w:val="16"/>
                <w:lang w:val="en-US" w:eastAsia="zh-CN"/>
              </w:rPr>
              <w:t>混合搅拌罐</w:t>
            </w:r>
          </w:p>
        </w:tc>
        <w:tc>
          <w:tcPr>
            <w:tcW w:w="1605"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7"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7"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7" w:type="dxa"/>
            <w:vAlign w:val="center"/>
          </w:tcPr>
          <w:p w14:paraId="0A0B966C">
            <w:pPr>
              <w:spacing w:line="400" w:lineRule="exact"/>
              <w:jc w:val="center"/>
              <w:rPr>
                <w:color w:val="000000"/>
                <w:sz w:val="21"/>
                <w:szCs w:val="21"/>
              </w:rPr>
            </w:pPr>
            <w:r>
              <w:rPr>
                <w:color w:val="000000"/>
                <w:sz w:val="21"/>
                <w:szCs w:val="21"/>
              </w:rPr>
              <w:t>1</w:t>
            </w:r>
          </w:p>
        </w:tc>
        <w:tc>
          <w:tcPr>
            <w:tcW w:w="1147"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8"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63" w:type="dxa"/>
            <w:vAlign w:val="center"/>
          </w:tcPr>
          <w:p w14:paraId="1715D8ED">
            <w:pPr>
              <w:spacing w:line="400" w:lineRule="exact"/>
              <w:jc w:val="center"/>
            </w:pPr>
            <w:r>
              <w:rPr>
                <w:rFonts w:hint="eastAsia"/>
                <w:color w:val="000000"/>
                <w:sz w:val="21"/>
                <w:szCs w:val="21"/>
                <w:lang w:val="en-US" w:eastAsia="zh-CN"/>
              </w:rPr>
              <w:t>瓶装</w:t>
            </w:r>
            <w:r>
              <w:rPr>
                <w:rFonts w:hint="eastAsia"/>
                <w:color w:val="000000"/>
                <w:sz w:val="21"/>
                <w:szCs w:val="21"/>
              </w:rPr>
              <w:t>灌装机</w:t>
            </w:r>
          </w:p>
        </w:tc>
        <w:tc>
          <w:tcPr>
            <w:tcW w:w="1605"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7"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7"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7"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8"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522FDF03">
            <w:pPr>
              <w:spacing w:line="400" w:lineRule="exact"/>
              <w:jc w:val="center"/>
              <w:rPr>
                <w:rFonts w:hint="default"/>
                <w:lang w:val="en-US"/>
              </w:rPr>
            </w:pPr>
            <w:r>
              <w:rPr>
                <w:rFonts w:hint="eastAsia"/>
                <w:color w:val="000000"/>
                <w:sz w:val="21"/>
                <w:szCs w:val="21"/>
                <w:lang w:val="en-US" w:eastAsia="zh-CN"/>
              </w:rPr>
              <w:t>CIP清洗系统</w:t>
            </w:r>
          </w:p>
        </w:tc>
        <w:tc>
          <w:tcPr>
            <w:tcW w:w="1605"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7"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7"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7"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8"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605"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7"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7"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7" w:type="dxa"/>
            <w:vAlign w:val="center"/>
          </w:tcPr>
          <w:p w14:paraId="53A06B88">
            <w:pPr>
              <w:spacing w:line="400" w:lineRule="exact"/>
              <w:jc w:val="center"/>
              <w:rPr>
                <w:color w:val="000000"/>
                <w:sz w:val="21"/>
                <w:szCs w:val="21"/>
              </w:rPr>
            </w:pPr>
            <w:r>
              <w:rPr>
                <w:color w:val="000000"/>
                <w:sz w:val="21"/>
                <w:szCs w:val="21"/>
              </w:rPr>
              <w:t>1</w:t>
            </w:r>
          </w:p>
        </w:tc>
        <w:tc>
          <w:tcPr>
            <w:tcW w:w="1147"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8"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2349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0C7FA809">
            <w:pPr>
              <w:spacing w:line="400" w:lineRule="exact"/>
              <w:jc w:val="center"/>
              <w:rPr>
                <w:rFonts w:hint="default"/>
                <w:color w:val="000000"/>
                <w:sz w:val="21"/>
                <w:szCs w:val="21"/>
                <w:lang w:val="en-US" w:eastAsia="zh-CN"/>
              </w:rPr>
            </w:pPr>
            <w:r>
              <w:rPr>
                <w:rFonts w:hint="eastAsia"/>
                <w:color w:val="000000"/>
                <w:sz w:val="21"/>
                <w:szCs w:val="21"/>
                <w:lang w:val="en-US" w:eastAsia="zh-CN"/>
              </w:rPr>
              <w:t>锅炉</w:t>
            </w:r>
          </w:p>
        </w:tc>
        <w:tc>
          <w:tcPr>
            <w:tcW w:w="1605" w:type="dxa"/>
            <w:vAlign w:val="center"/>
          </w:tcPr>
          <w:p w14:paraId="5DCF7A0D">
            <w:pPr>
              <w:spacing w:line="400" w:lineRule="exact"/>
              <w:jc w:val="center"/>
              <w:rPr>
                <w:rFonts w:hint="default"/>
                <w:color w:val="000000"/>
                <w:sz w:val="21"/>
                <w:szCs w:val="21"/>
                <w:lang w:val="en-US" w:eastAsia="zh-CN"/>
              </w:rPr>
            </w:pPr>
            <w:r>
              <w:rPr>
                <w:rFonts w:hint="eastAsia"/>
                <w:color w:val="000000"/>
                <w:sz w:val="21"/>
                <w:szCs w:val="21"/>
                <w:lang w:val="en-US" w:eastAsia="zh-CN"/>
              </w:rPr>
              <w:t>WNS1-1.0</w:t>
            </w:r>
          </w:p>
        </w:tc>
        <w:tc>
          <w:tcPr>
            <w:tcW w:w="1147" w:type="dxa"/>
            <w:vAlign w:val="center"/>
          </w:tcPr>
          <w:p w14:paraId="4CC4BEE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7" w:type="dxa"/>
            <w:vAlign w:val="center"/>
          </w:tcPr>
          <w:p w14:paraId="1C2473B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1t/h</w:t>
            </w:r>
          </w:p>
        </w:tc>
        <w:tc>
          <w:tcPr>
            <w:tcW w:w="1077" w:type="dxa"/>
            <w:vAlign w:val="center"/>
          </w:tcPr>
          <w:p w14:paraId="7CA49D09">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4B427204">
            <w:pPr>
              <w:spacing w:line="400" w:lineRule="exact"/>
              <w:jc w:val="center"/>
              <w:rPr>
                <w:rFonts w:hint="default"/>
                <w:color w:val="000000"/>
                <w:sz w:val="21"/>
                <w:szCs w:val="21"/>
                <w:lang w:val="en-US" w:eastAsia="zh-CN"/>
              </w:rPr>
            </w:pPr>
            <w:r>
              <w:rPr>
                <w:rFonts w:hint="eastAsia"/>
                <w:color w:val="000000"/>
                <w:sz w:val="21"/>
                <w:szCs w:val="21"/>
                <w:lang w:val="en-US" w:eastAsia="zh-CN"/>
              </w:rPr>
              <w:t>6.0</w:t>
            </w:r>
          </w:p>
        </w:tc>
        <w:tc>
          <w:tcPr>
            <w:tcW w:w="1148" w:type="dxa"/>
            <w:vAlign w:val="center"/>
          </w:tcPr>
          <w:p w14:paraId="7CA306C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r>
      <w:tr w14:paraId="50C06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vAlign w:val="center"/>
          </w:tcPr>
          <w:p w14:paraId="04DEDA7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空气压缩机</w:t>
            </w:r>
          </w:p>
        </w:tc>
        <w:tc>
          <w:tcPr>
            <w:tcW w:w="1605" w:type="dxa"/>
            <w:vAlign w:val="center"/>
          </w:tcPr>
          <w:p w14:paraId="746FC3B2">
            <w:pPr>
              <w:spacing w:line="400" w:lineRule="exact"/>
              <w:jc w:val="center"/>
              <w:rPr>
                <w:rFonts w:hint="default" w:eastAsia="宋体"/>
                <w:lang w:val="en-US" w:eastAsia="zh-CN"/>
              </w:rPr>
            </w:pPr>
            <w:r>
              <w:rPr>
                <w:rFonts w:hint="eastAsia"/>
                <w:lang w:val="en-US" w:eastAsia="zh-CN"/>
              </w:rPr>
              <w:t>KY-3.0</w:t>
            </w:r>
          </w:p>
        </w:tc>
        <w:tc>
          <w:tcPr>
            <w:tcW w:w="1147" w:type="dxa"/>
            <w:vAlign w:val="center"/>
          </w:tcPr>
          <w:p w14:paraId="7EB373E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1247" w:type="dxa"/>
            <w:vAlign w:val="center"/>
          </w:tcPr>
          <w:p w14:paraId="457269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r>
              <w:rPr>
                <w:rFonts w:hint="eastAsia"/>
                <w:color w:val="000000"/>
                <w:sz w:val="21"/>
                <w:szCs w:val="21"/>
                <w:vertAlign w:val="baseline"/>
                <w:lang w:val="en-US" w:eastAsia="zh-CN"/>
              </w:rPr>
              <w:t>/min</w:t>
            </w:r>
          </w:p>
        </w:tc>
        <w:tc>
          <w:tcPr>
            <w:tcW w:w="1077" w:type="dxa"/>
            <w:vAlign w:val="center"/>
          </w:tcPr>
          <w:p w14:paraId="5133A14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7" w:type="dxa"/>
            <w:vAlign w:val="center"/>
          </w:tcPr>
          <w:p w14:paraId="44BF376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8" w:type="dxa"/>
            <w:vAlign w:val="center"/>
          </w:tcPr>
          <w:p w14:paraId="76BD21A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63"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168404171"/>
            <w:bookmarkStart w:id="23" w:name="_Toc855"/>
            <w:r>
              <w:rPr>
                <w:rFonts w:hint="eastAsia"/>
                <w:color w:val="000000"/>
                <w:sz w:val="21"/>
                <w:szCs w:val="21"/>
                <w:lang w:val="en-US" w:eastAsia="zh-CN"/>
              </w:rPr>
              <w:t>合计</w:t>
            </w:r>
          </w:p>
        </w:tc>
        <w:tc>
          <w:tcPr>
            <w:tcW w:w="1605" w:type="dxa"/>
            <w:tcBorders>
              <w:bottom w:val="single" w:color="auto" w:sz="12" w:space="0"/>
            </w:tcBorders>
            <w:vAlign w:val="center"/>
          </w:tcPr>
          <w:p w14:paraId="30C8C3BD">
            <w:pPr>
              <w:spacing w:line="400" w:lineRule="exact"/>
              <w:jc w:val="center"/>
              <w:rPr>
                <w:rFonts w:hint="default" w:eastAsia="宋体"/>
                <w:lang w:val="en-US" w:eastAsia="zh-CN"/>
              </w:rPr>
            </w:pPr>
            <w:r>
              <w:rPr>
                <w:rFonts w:hint="eastAsia"/>
                <w:lang w:val="en-US" w:eastAsia="zh-CN"/>
              </w:rPr>
              <w:t>/</w:t>
            </w:r>
          </w:p>
        </w:tc>
        <w:tc>
          <w:tcPr>
            <w:tcW w:w="1147"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7"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7"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7"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8"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239947E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296A84A">
      <w:pPr>
        <w:keepNext/>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25976793">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967B115">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162413DF">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5352F711">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49DB8B10">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3509C963">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738E1B0">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6C19CD78">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outlineLvl w:val="9"/>
        <w:rPr>
          <w:rFonts w:hint="eastAsia" w:ascii="黑体" w:hAnsi="黑体" w:eastAsia="黑体" w:cs="黑体"/>
          <w:b w:val="0"/>
          <w:bCs/>
          <w:sz w:val="24"/>
          <w:szCs w:val="16"/>
          <w:lang w:val="en-US" w:eastAsia="zh-CN"/>
        </w:rPr>
      </w:pPr>
    </w:p>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黑体" w:hAnsi="黑体" w:eastAsia="黑体" w:cs="黑体"/>
          <w:b w:val="0"/>
          <w:bCs/>
          <w:sz w:val="24"/>
          <w:szCs w:val="16"/>
          <w:lang w:val="en-US" w:eastAsia="zh-CN"/>
        </w:rPr>
      </w:pPr>
      <w:bookmarkStart w:id="24" w:name="_Toc5462"/>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6 </w:t>
      </w:r>
      <w:r>
        <w:rPr>
          <w:rFonts w:hint="eastAsia" w:ascii="黑体" w:hAnsi="黑体" w:eastAsia="黑体" w:cs="黑体"/>
          <w:b w:val="0"/>
          <w:bCs/>
          <w:sz w:val="24"/>
          <w:szCs w:val="16"/>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9</w:t>
      </w:r>
      <w:r>
        <w:rPr>
          <w:rFonts w:ascii="黑体" w:hAnsi="黑体" w:eastAsia="黑体"/>
          <w:sz w:val="21"/>
          <w:szCs w:val="21"/>
        </w:rPr>
        <w:t xml:space="preserve"> </w:t>
      </w:r>
      <w:r>
        <w:rPr>
          <w:rFonts w:hint="eastAsia" w:ascii="黑体" w:hAnsi="黑体" w:eastAsia="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10</w:t>
      </w:r>
      <w:r>
        <w:rPr>
          <w:rFonts w:ascii="黑体" w:hAnsi="黑体" w:eastAsia="黑体"/>
          <w:sz w:val="21"/>
          <w:szCs w:val="21"/>
        </w:rPr>
        <w:t xml:space="preserve"> </w:t>
      </w:r>
      <w:r>
        <w:rPr>
          <w:rFonts w:hint="eastAsia" w:ascii="黑体" w:hAnsi="黑体"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榨汁机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DE77FD7">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6ABA8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EF04CCA">
            <w:pPr>
              <w:spacing w:line="400" w:lineRule="exact"/>
              <w:ind w:firstLine="420"/>
              <w:jc w:val="center"/>
              <w:rPr>
                <w:sz w:val="21"/>
                <w:szCs w:val="21"/>
              </w:rPr>
            </w:pPr>
          </w:p>
        </w:tc>
        <w:tc>
          <w:tcPr>
            <w:tcW w:w="1232" w:type="pct"/>
            <w:vAlign w:val="center"/>
          </w:tcPr>
          <w:p w14:paraId="0639F84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锅炉</w:t>
            </w:r>
          </w:p>
        </w:tc>
        <w:tc>
          <w:tcPr>
            <w:tcW w:w="612" w:type="pct"/>
            <w:vAlign w:val="center"/>
          </w:tcPr>
          <w:p w14:paraId="5C2993C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531" w:type="pct"/>
            <w:vAlign w:val="center"/>
          </w:tcPr>
          <w:p w14:paraId="786F585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416EEF60">
            <w:pPr>
              <w:spacing w:line="400" w:lineRule="exact"/>
              <w:jc w:val="center"/>
              <w:rPr>
                <w:rFonts w:hint="default"/>
                <w:color w:val="000000"/>
                <w:sz w:val="21"/>
                <w:szCs w:val="21"/>
                <w:lang w:val="en-US" w:eastAsia="zh-CN"/>
              </w:rPr>
            </w:pPr>
            <w:r>
              <w:rPr>
                <w:rFonts w:hint="eastAsia"/>
                <w:color w:val="000000"/>
                <w:sz w:val="21"/>
                <w:szCs w:val="21"/>
                <w:lang w:val="en-US" w:eastAsia="zh-CN"/>
              </w:rPr>
              <w:t>4</w:t>
            </w:r>
          </w:p>
        </w:tc>
        <w:tc>
          <w:tcPr>
            <w:tcW w:w="991" w:type="pct"/>
          </w:tcPr>
          <w:p w14:paraId="443836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1800</w:t>
            </w:r>
          </w:p>
        </w:tc>
      </w:tr>
      <w:tr w14:paraId="389A8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806430B">
            <w:pPr>
              <w:spacing w:line="400" w:lineRule="exact"/>
              <w:ind w:firstLine="420"/>
              <w:jc w:val="center"/>
              <w:rPr>
                <w:sz w:val="21"/>
                <w:szCs w:val="21"/>
              </w:rPr>
            </w:pPr>
          </w:p>
        </w:tc>
        <w:tc>
          <w:tcPr>
            <w:tcW w:w="1232" w:type="pct"/>
            <w:vAlign w:val="center"/>
          </w:tcPr>
          <w:p w14:paraId="0C09FAC4">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空气压缩机</w:t>
            </w:r>
          </w:p>
        </w:tc>
        <w:tc>
          <w:tcPr>
            <w:tcW w:w="612" w:type="pct"/>
            <w:vAlign w:val="center"/>
          </w:tcPr>
          <w:p w14:paraId="01C7EA6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531" w:type="pct"/>
            <w:vAlign w:val="center"/>
          </w:tcPr>
          <w:p w14:paraId="4F45A7C9">
            <w:pPr>
              <w:spacing w:line="400" w:lineRule="exact"/>
              <w:jc w:val="center"/>
              <w:rPr>
                <w:color w:val="000000"/>
                <w:sz w:val="21"/>
                <w:szCs w:val="21"/>
              </w:rPr>
            </w:pPr>
            <w:r>
              <w:rPr>
                <w:rFonts w:eastAsia="等线"/>
                <w:color w:val="000000"/>
                <w:sz w:val="21"/>
                <w:szCs w:val="21"/>
              </w:rPr>
              <w:t>1</w:t>
            </w:r>
          </w:p>
        </w:tc>
        <w:tc>
          <w:tcPr>
            <w:tcW w:w="991" w:type="pct"/>
          </w:tcPr>
          <w:p w14:paraId="688EBC88">
            <w:pPr>
              <w:spacing w:line="400" w:lineRule="exact"/>
              <w:jc w:val="center"/>
              <w:rPr>
                <w:rFonts w:hint="default"/>
                <w:color w:val="000000"/>
                <w:sz w:val="21"/>
                <w:szCs w:val="21"/>
                <w:lang w:val="en-US" w:eastAsia="zh-CN"/>
              </w:rPr>
            </w:pPr>
            <w:r>
              <w:rPr>
                <w:rFonts w:hint="eastAsia"/>
                <w:color w:val="000000"/>
                <w:sz w:val="21"/>
                <w:szCs w:val="21"/>
                <w:lang w:val="en-US" w:eastAsia="zh-CN"/>
              </w:rPr>
              <w:t>6</w:t>
            </w:r>
          </w:p>
        </w:tc>
        <w:tc>
          <w:tcPr>
            <w:tcW w:w="991" w:type="pct"/>
          </w:tcPr>
          <w:p w14:paraId="07D76AB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13500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ind w:firstLine="420"/>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125250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2.6.3 用汽量计算</w:t>
      </w:r>
    </w:p>
    <w:p w14:paraId="7E7CCF67">
      <w:pPr>
        <w:spacing w:line="440" w:lineRule="exact"/>
        <w:ind w:firstLine="480" w:firstLineChars="200"/>
        <w:jc w:val="both"/>
        <w:rPr>
          <w:rFonts w:hint="eastAsia" w:eastAsia="宋体"/>
          <w:lang w:val="en-US" w:eastAsia="zh-CN"/>
        </w:rPr>
      </w:pPr>
      <w:r>
        <w:rPr>
          <w:rFonts w:hint="eastAsia"/>
          <w:lang w:val="en-US" w:eastAsia="zh-CN"/>
        </w:rPr>
        <w:t>根据蓝莓酸奶车间的生产工艺，需要消耗蒸汽的工序主要为巴氏杀菌（鲜乳杀菌）、调配以及CIP清洗系统的热水制备，则年用汽量计算如下表所示。</w:t>
      </w:r>
    </w:p>
    <w:p w14:paraId="128BE50B">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 xml:space="preserve">11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sz w:val="21"/>
              </w:rPr>
            </w:pPr>
            <w:r>
              <w:rPr>
                <w:rFonts w:hint="eastAsia"/>
                <w:sz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sz w:val="21"/>
              </w:rPr>
            </w:pPr>
            <w:r>
              <w:rPr>
                <w:rFonts w:hint="eastAsia"/>
                <w:sz w:val="21"/>
              </w:rPr>
              <w:t>设备</w:t>
            </w:r>
          </w:p>
        </w:tc>
        <w:tc>
          <w:tcPr>
            <w:tcW w:w="901" w:type="pct"/>
            <w:tcBorders>
              <w:top w:val="single" w:color="auto" w:sz="12" w:space="0"/>
              <w:bottom w:val="single" w:color="auto" w:sz="4" w:space="0"/>
            </w:tcBorders>
          </w:tcPr>
          <w:p w14:paraId="6A837637">
            <w:pPr>
              <w:spacing w:line="400" w:lineRule="exact"/>
              <w:jc w:val="center"/>
              <w:rPr>
                <w:sz w:val="21"/>
                <w:szCs w:val="21"/>
              </w:rPr>
            </w:pPr>
            <w:r>
              <w:rPr>
                <w:rFonts w:hint="eastAsia"/>
                <w:sz w:val="21"/>
                <w:szCs w:val="21"/>
              </w:rPr>
              <w:t>数量</w:t>
            </w:r>
          </w:p>
          <w:p w14:paraId="1F3A5EA5">
            <w:pPr>
              <w:spacing w:line="400" w:lineRule="exact"/>
              <w:jc w:val="center"/>
              <w:rPr>
                <w:sz w:val="21"/>
              </w:rPr>
            </w:pPr>
            <w:r>
              <w:rPr>
                <w:rFonts w:hint="eastAsia"/>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sz w:val="21"/>
              </w:rPr>
            </w:pPr>
            <w:r>
              <w:rPr>
                <w:rFonts w:hint="eastAsia"/>
                <w:sz w:val="21"/>
                <w:lang w:val="en-US" w:eastAsia="zh-CN"/>
              </w:rPr>
              <w:t>日</w:t>
            </w:r>
            <w:r>
              <w:rPr>
                <w:rFonts w:hint="eastAsia"/>
                <w:sz w:val="21"/>
              </w:rPr>
              <w:t>用汽量（</w:t>
            </w:r>
            <w:r>
              <w:rPr>
                <w:rFonts w:hint="eastAsia"/>
              </w:rPr>
              <w:t>kg</w:t>
            </w:r>
            <w:r>
              <w:rPr>
                <w:rFonts w:hint="eastAsia"/>
                <w:sz w:val="21"/>
              </w:rPr>
              <w:t>）</w:t>
            </w:r>
          </w:p>
        </w:tc>
        <w:tc>
          <w:tcPr>
            <w:tcW w:w="1117" w:type="pct"/>
            <w:tcBorders>
              <w:top w:val="single" w:color="auto" w:sz="12" w:space="0"/>
              <w:bottom w:val="single" w:color="auto" w:sz="4" w:space="0"/>
            </w:tcBorders>
            <w:vAlign w:val="center"/>
          </w:tcPr>
          <w:p w14:paraId="180CF51D">
            <w:pPr>
              <w:spacing w:line="400" w:lineRule="exact"/>
              <w:jc w:val="center"/>
              <w:rPr>
                <w:sz w:val="21"/>
              </w:rPr>
            </w:pPr>
            <w:r>
              <w:rPr>
                <w:rFonts w:hint="eastAsia"/>
                <w:sz w:val="21"/>
              </w:rPr>
              <w:t>年用汽量</w:t>
            </w:r>
          </w:p>
          <w:p w14:paraId="3A2A9507">
            <w:pPr>
              <w:spacing w:line="400" w:lineRule="exact"/>
              <w:jc w:val="center"/>
              <w:rPr>
                <w:sz w:val="21"/>
              </w:rPr>
            </w:pPr>
            <w:r>
              <w:rPr>
                <w:rFonts w:hint="eastAsia"/>
                <w:sz w:val="21"/>
              </w:rPr>
              <w:t>（</w:t>
            </w:r>
            <w:r>
              <w:rPr>
                <w:rFonts w:hint="eastAsia"/>
              </w:rPr>
              <w:t>kg</w:t>
            </w:r>
            <w:r>
              <w:rPr>
                <w:rFonts w:hint="eastAsia"/>
                <w:sz w:val="21"/>
              </w:rPr>
              <w:t>）</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lang w:val="en-US" w:eastAsia="zh-CN"/>
              </w:rPr>
            </w:pPr>
            <w:r>
              <w:rPr>
                <w:rFonts w:hint="eastAsia"/>
                <w:sz w:val="21"/>
                <w:lang w:val="en-US" w:eastAsia="zh-CN"/>
              </w:rPr>
              <w:t>调配加热</w:t>
            </w:r>
          </w:p>
        </w:tc>
        <w:tc>
          <w:tcPr>
            <w:tcW w:w="1332" w:type="pct"/>
            <w:vAlign w:val="center"/>
          </w:tcPr>
          <w:p w14:paraId="79A2F104">
            <w:pPr>
              <w:spacing w:line="400" w:lineRule="exact"/>
              <w:jc w:val="center"/>
              <w:rPr>
                <w:rFonts w:hint="eastAsia" w:eastAsia="宋体"/>
                <w:sz w:val="21"/>
                <w:lang w:eastAsia="zh-CN"/>
              </w:rPr>
            </w:pPr>
            <w:r>
              <w:rPr>
                <w:rFonts w:hint="eastAsia"/>
                <w:sz w:val="21"/>
                <w:lang w:val="en-US" w:eastAsia="zh-CN"/>
              </w:rPr>
              <w:t>调配罐</w:t>
            </w:r>
          </w:p>
        </w:tc>
        <w:tc>
          <w:tcPr>
            <w:tcW w:w="901" w:type="pct"/>
          </w:tcPr>
          <w:p w14:paraId="4F4E218D">
            <w:pPr>
              <w:spacing w:line="400" w:lineRule="exact"/>
              <w:jc w:val="center"/>
              <w:rPr>
                <w:rFonts w:hint="eastAsia" w:eastAsia="宋体"/>
                <w:sz w:val="21"/>
                <w:lang w:val="en-US" w:eastAsia="zh-CN"/>
              </w:rPr>
            </w:pPr>
            <w:r>
              <w:rPr>
                <w:rFonts w:hint="eastAsia"/>
                <w:sz w:val="21"/>
                <w:lang w:val="en-US" w:eastAsia="zh-CN"/>
              </w:rPr>
              <w:t>2</w:t>
            </w:r>
          </w:p>
        </w:tc>
        <w:tc>
          <w:tcPr>
            <w:tcW w:w="807" w:type="pct"/>
            <w:vAlign w:val="center"/>
          </w:tcPr>
          <w:p w14:paraId="07FC1E00">
            <w:pPr>
              <w:spacing w:line="400" w:lineRule="exact"/>
              <w:jc w:val="center"/>
              <w:rPr>
                <w:rFonts w:hint="default" w:eastAsia="宋体"/>
                <w:sz w:val="21"/>
                <w:lang w:val="en-US" w:eastAsia="zh-CN"/>
              </w:rPr>
            </w:pPr>
            <w:r>
              <w:rPr>
                <w:rFonts w:hint="eastAsia"/>
                <w:sz w:val="21"/>
                <w:lang w:val="en-US" w:eastAsia="zh-CN"/>
              </w:rPr>
              <w:t>86</w:t>
            </w:r>
          </w:p>
        </w:tc>
        <w:tc>
          <w:tcPr>
            <w:tcW w:w="1117" w:type="pct"/>
            <w:vAlign w:val="center"/>
          </w:tcPr>
          <w:p w14:paraId="24AE29C2">
            <w:pPr>
              <w:spacing w:line="400" w:lineRule="exact"/>
              <w:jc w:val="center"/>
              <w:rPr>
                <w:rFonts w:hint="default" w:eastAsia="宋体"/>
                <w:sz w:val="21"/>
                <w:lang w:val="en-US" w:eastAsia="zh-CN"/>
              </w:rPr>
            </w:pPr>
            <w:r>
              <w:rPr>
                <w:rFonts w:hint="eastAsia"/>
                <w:sz w:val="21"/>
                <w:lang w:val="en-US" w:eastAsia="zh-CN"/>
              </w:rPr>
              <w:t>25800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lang w:val="en-US" w:eastAsia="zh-CN"/>
              </w:rPr>
            </w:pPr>
            <w:r>
              <w:rPr>
                <w:rFonts w:hint="eastAsia"/>
                <w:sz w:val="21"/>
                <w:lang w:val="en-US" w:eastAsia="zh-CN"/>
              </w:rPr>
              <w:t>杀菌</w:t>
            </w:r>
          </w:p>
        </w:tc>
        <w:tc>
          <w:tcPr>
            <w:tcW w:w="1332" w:type="pct"/>
            <w:vAlign w:val="center"/>
          </w:tcPr>
          <w:p w14:paraId="1976C45E">
            <w:pPr>
              <w:spacing w:line="400" w:lineRule="exact"/>
              <w:jc w:val="center"/>
              <w:rPr>
                <w:rFonts w:hint="default"/>
                <w:sz w:val="21"/>
                <w:lang w:val="en-US"/>
              </w:rPr>
            </w:pPr>
            <w:r>
              <w:rPr>
                <w:rFonts w:hint="eastAsia"/>
                <w:sz w:val="21"/>
                <w:lang w:val="en-US" w:eastAsia="zh-CN"/>
              </w:rPr>
              <w:t>管式/板式杀菌机</w:t>
            </w:r>
          </w:p>
        </w:tc>
        <w:tc>
          <w:tcPr>
            <w:tcW w:w="901" w:type="pct"/>
          </w:tcPr>
          <w:p w14:paraId="399C77CC">
            <w:pPr>
              <w:spacing w:line="400" w:lineRule="exact"/>
              <w:jc w:val="center"/>
              <w:rPr>
                <w:sz w:val="21"/>
              </w:rPr>
            </w:pPr>
            <w:r>
              <w:rPr>
                <w:rFonts w:hint="eastAsia"/>
                <w:sz w:val="21"/>
              </w:rPr>
              <w:t>1</w:t>
            </w:r>
          </w:p>
        </w:tc>
        <w:tc>
          <w:tcPr>
            <w:tcW w:w="807" w:type="pct"/>
            <w:vAlign w:val="center"/>
          </w:tcPr>
          <w:p w14:paraId="7B36CF13">
            <w:pPr>
              <w:spacing w:line="400" w:lineRule="exact"/>
              <w:jc w:val="center"/>
              <w:rPr>
                <w:rFonts w:hint="default" w:eastAsia="宋体"/>
                <w:sz w:val="21"/>
                <w:lang w:val="en-US" w:eastAsia="zh-CN"/>
              </w:rPr>
            </w:pPr>
            <w:r>
              <w:rPr>
                <w:rFonts w:hint="eastAsia"/>
                <w:sz w:val="21"/>
                <w:lang w:val="en-US" w:eastAsia="zh-CN"/>
              </w:rPr>
              <w:t>208</w:t>
            </w:r>
          </w:p>
        </w:tc>
        <w:tc>
          <w:tcPr>
            <w:tcW w:w="1117" w:type="pct"/>
            <w:vAlign w:val="center"/>
          </w:tcPr>
          <w:p w14:paraId="03B23287">
            <w:pPr>
              <w:spacing w:line="400" w:lineRule="exact"/>
              <w:jc w:val="center"/>
              <w:rPr>
                <w:rFonts w:hint="default" w:eastAsia="宋体"/>
                <w:sz w:val="21"/>
                <w:lang w:val="en-US" w:eastAsia="zh-CN"/>
              </w:rPr>
            </w:pPr>
            <w:r>
              <w:rPr>
                <w:rFonts w:hint="eastAsia"/>
                <w:sz w:val="21"/>
                <w:lang w:val="en-US" w:eastAsia="zh-CN"/>
              </w:rPr>
              <w:t>62400</w:t>
            </w:r>
          </w:p>
        </w:tc>
      </w:tr>
      <w:tr w14:paraId="70DC6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54393C05">
            <w:pPr>
              <w:spacing w:line="400" w:lineRule="exact"/>
              <w:jc w:val="center"/>
              <w:rPr>
                <w:rFonts w:hint="eastAsia" w:eastAsia="宋体"/>
                <w:sz w:val="21"/>
                <w:lang w:eastAsia="zh-CN"/>
              </w:rPr>
            </w:pPr>
            <w:r>
              <w:rPr>
                <w:rFonts w:hint="eastAsia"/>
                <w:sz w:val="21"/>
                <w:lang w:val="en-US" w:eastAsia="zh-CN"/>
              </w:rPr>
              <w:t>发酵保温</w:t>
            </w:r>
          </w:p>
        </w:tc>
        <w:tc>
          <w:tcPr>
            <w:tcW w:w="1332" w:type="pct"/>
            <w:vAlign w:val="center"/>
          </w:tcPr>
          <w:p w14:paraId="3E1B6D9D">
            <w:pPr>
              <w:spacing w:line="400" w:lineRule="exact"/>
              <w:jc w:val="center"/>
              <w:rPr>
                <w:rFonts w:hint="eastAsia" w:eastAsia="宋体"/>
                <w:sz w:val="21"/>
                <w:lang w:val="en-US" w:eastAsia="zh-CN"/>
              </w:rPr>
            </w:pPr>
            <w:r>
              <w:rPr>
                <w:rFonts w:hint="eastAsia"/>
                <w:sz w:val="21"/>
                <w:lang w:val="en-US" w:eastAsia="zh-CN"/>
              </w:rPr>
              <w:t>发酵罐</w:t>
            </w:r>
          </w:p>
        </w:tc>
        <w:tc>
          <w:tcPr>
            <w:tcW w:w="901" w:type="pct"/>
          </w:tcPr>
          <w:p w14:paraId="458ACF22">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3</w:t>
            </w:r>
          </w:p>
        </w:tc>
        <w:tc>
          <w:tcPr>
            <w:tcW w:w="807" w:type="pct"/>
            <w:vAlign w:val="center"/>
          </w:tcPr>
          <w:p w14:paraId="3B619AD2">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100</w:t>
            </w:r>
          </w:p>
        </w:tc>
        <w:tc>
          <w:tcPr>
            <w:tcW w:w="1117" w:type="pct"/>
            <w:vAlign w:val="center"/>
          </w:tcPr>
          <w:p w14:paraId="1BC7ECC8">
            <w:pPr>
              <w:spacing w:line="400" w:lineRule="exact"/>
              <w:jc w:val="center"/>
              <w:rPr>
                <w:rFonts w:hint="default" w:eastAsia="宋体"/>
                <w:sz w:val="21"/>
                <w:lang w:val="en-US" w:eastAsia="zh-CN"/>
              </w:rPr>
            </w:pPr>
            <w:r>
              <w:rPr>
                <w:rFonts w:hint="eastAsia"/>
                <w:sz w:val="21"/>
                <w:lang w:val="en-US" w:eastAsia="zh-CN"/>
              </w:rPr>
              <w:t>3000</w:t>
            </w:r>
          </w:p>
        </w:tc>
      </w:tr>
      <w:tr w14:paraId="59015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7419E6F0">
            <w:pPr>
              <w:spacing w:line="400" w:lineRule="exact"/>
              <w:jc w:val="center"/>
              <w:rPr>
                <w:rFonts w:hint="eastAsia" w:eastAsia="宋体"/>
                <w:sz w:val="21"/>
                <w:lang w:val="en-US" w:eastAsia="zh-CN"/>
              </w:rPr>
            </w:pPr>
            <w:bookmarkStart w:id="25" w:name="_Toc3004"/>
            <w:bookmarkStart w:id="26" w:name="_Toc168404172"/>
            <w:r>
              <w:rPr>
                <w:rFonts w:hint="eastAsia"/>
                <w:sz w:val="21"/>
                <w:lang w:val="en-US" w:eastAsia="zh-CN"/>
              </w:rPr>
              <w:t>清洗</w:t>
            </w:r>
          </w:p>
        </w:tc>
        <w:tc>
          <w:tcPr>
            <w:tcW w:w="1332" w:type="pct"/>
            <w:vAlign w:val="center"/>
          </w:tcPr>
          <w:p w14:paraId="50A7976D">
            <w:pPr>
              <w:spacing w:line="400" w:lineRule="exact"/>
              <w:jc w:val="center"/>
              <w:rPr>
                <w:rFonts w:hint="default" w:eastAsia="宋体"/>
                <w:sz w:val="21"/>
                <w:lang w:val="en-US" w:eastAsia="zh-CN"/>
              </w:rPr>
            </w:pPr>
            <w:r>
              <w:rPr>
                <w:rFonts w:hint="eastAsia"/>
                <w:sz w:val="21"/>
                <w:lang w:val="en-US" w:eastAsia="zh-CN"/>
              </w:rPr>
              <w:t>CIP系统</w:t>
            </w:r>
          </w:p>
        </w:tc>
        <w:tc>
          <w:tcPr>
            <w:tcW w:w="901" w:type="pct"/>
          </w:tcPr>
          <w:p w14:paraId="3B396787">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w:t>
            </w:r>
          </w:p>
        </w:tc>
        <w:tc>
          <w:tcPr>
            <w:tcW w:w="807" w:type="pct"/>
            <w:vAlign w:val="center"/>
          </w:tcPr>
          <w:p w14:paraId="5385D684">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150</w:t>
            </w:r>
          </w:p>
        </w:tc>
        <w:tc>
          <w:tcPr>
            <w:tcW w:w="1117" w:type="pct"/>
            <w:vAlign w:val="center"/>
          </w:tcPr>
          <w:p w14:paraId="375CDF1F">
            <w:pPr>
              <w:spacing w:line="400" w:lineRule="exact"/>
              <w:jc w:val="center"/>
              <w:rPr>
                <w:rFonts w:hint="default"/>
                <w:sz w:val="21"/>
                <w:lang w:val="en-US" w:eastAsia="zh-CN"/>
              </w:rPr>
            </w:pPr>
            <w:r>
              <w:rPr>
                <w:rFonts w:hint="eastAsia"/>
                <w:sz w:val="21"/>
                <w:lang w:val="en-US" w:eastAsia="zh-CN"/>
              </w:rPr>
              <w:t>45000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sz w:val="21"/>
                <w:lang w:val="en-US" w:eastAsia="zh-CN"/>
              </w:rPr>
            </w:pPr>
            <w:r>
              <w:rPr>
                <w:rFonts w:hint="eastAsia"/>
                <w:sz w:val="21"/>
                <w:lang w:val="en-US" w:eastAsia="zh-CN"/>
              </w:rPr>
              <w:t>总计</w:t>
            </w:r>
          </w:p>
        </w:tc>
        <w:tc>
          <w:tcPr>
            <w:tcW w:w="1332" w:type="pct"/>
            <w:tcBorders>
              <w:bottom w:val="single" w:color="auto" w:sz="12" w:space="0"/>
            </w:tcBorders>
            <w:vAlign w:val="center"/>
          </w:tcPr>
          <w:p w14:paraId="498BF2E0">
            <w:pPr>
              <w:spacing w:line="400" w:lineRule="exact"/>
              <w:jc w:val="center"/>
              <w:rPr>
                <w:sz w:val="21"/>
              </w:rPr>
            </w:pPr>
          </w:p>
        </w:tc>
        <w:tc>
          <w:tcPr>
            <w:tcW w:w="901" w:type="pct"/>
            <w:tcBorders>
              <w:bottom w:val="single" w:color="auto" w:sz="12" w:space="0"/>
            </w:tcBorders>
          </w:tcPr>
          <w:p w14:paraId="1CC4027E">
            <w:pPr>
              <w:widowControl/>
              <w:jc w:val="center"/>
              <w:rPr>
                <w:rFonts w:hint="eastAsia" w:eastAsia="等线"/>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sz w:val="21"/>
                <w:lang w:val="en-US" w:eastAsia="zh-CN"/>
              </w:rPr>
            </w:pPr>
            <w:r>
              <w:rPr>
                <w:rFonts w:hint="eastAsia"/>
                <w:sz w:val="21"/>
                <w:lang w:val="en-US" w:eastAsia="zh-CN"/>
              </w:rPr>
              <w:t>163200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27" w:name="_Toc20073"/>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7 </w:t>
      </w:r>
      <w:r>
        <w:rPr>
          <w:rFonts w:hint="eastAsia" w:ascii="黑体" w:hAnsi="黑体" w:eastAsia="黑体" w:cs="黑体"/>
          <w:b w:val="0"/>
          <w:bCs/>
          <w:sz w:val="24"/>
          <w:szCs w:val="16"/>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2.7.1 车间工艺布置原则</w:t>
      </w:r>
    </w:p>
    <w:p w14:paraId="78FFC708">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平面设计将杜绝交叉污染的物理隔离机制视作首要任务，空间的工艺流线完全受控于物料“由生到熟”的单向流动轨迹。原料乳接收、蓝莓果料无菌调配、基料配料混匀等前处理单元，同中端的高压均质、板式杀菌、智能发酵罐组，以及末端的自动灌装线和2~6</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冷链熟化库实现了紧密串联。在动线规划中，厂房内的人流路径与工艺物料的管道输送网络被完全独立划分，且各设备的定位间距与检修专用通道均严格对标防爆安全规范。</w:t>
      </w:r>
    </w:p>
    <w:p w14:paraId="281931DC">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为了应对乳品加工对微环境的严苛要求，各工段全面实施差异化的温湿度与空气洁净度调控。发酵工序的微气候稳定主要依赖夹套水循环的温控联动；而作为微生物防御核心的灌装核心区，则通过加装百级空气层流净化罩、利用对外的正压梯度来屏蔽外界杂菌。全厂房立面与无缝地坪均能耐受高频次的CIP/SIP（原位清洗/灭菌）化学剥蚀。原辅料、包装材料、发酵半成品与成品冷库不仅在空间上实现了刚性的密闭隔离，更依托数字化监控网络与控冷设施，从底层硬件保障了搅拌型蓝莓酸奶在全生命周期内的品质合规。</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2.7.2 车间工艺布置设计</w:t>
      </w:r>
    </w:p>
    <w:p w14:paraId="15427E4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本车间单层建筑总面积核定为864</w:t>
      </w:r>
      <w:r>
        <w:rPr>
          <w:rFonts w:hint="default" w:ascii="Times New Roman" w:hAnsi="Times New Roman" w:cs="Times New Roman"/>
          <w:sz w:val="24"/>
          <w:szCs w:val="24"/>
        </w:rPr>
        <w:t>m²</w:t>
      </w:r>
      <w:r>
        <w:rPr>
          <w:rFonts w:hint="eastAsia"/>
          <w:sz w:val="24"/>
          <w:szCs w:val="24"/>
        </w:rPr>
        <w:t>。厂房工艺平面布置严格对标搅拌型蓝莓酸奶的连续化加工特性，将空间横向解构为相互独立又紧密衔接的七大功能区，具体排布参见附录工程图纸。为了在保障工序顺畅推进的同时构筑生物学屏障，各区界限采用实体隔断或气闸室进行硬性物理隔离。</w:t>
      </w:r>
    </w:p>
    <w:p w14:paraId="15380DA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在原辅料接收与前段处理板块，紧邻车间入口设立了原辅料接收与暂存库。生乳采用不锈钢夹套罐维持2~6</w:t>
      </w:r>
      <w:r>
        <w:rPr>
          <w:rFonts w:hint="default" w:ascii="Times New Roman" w:hAnsi="Times New Roman" w:cs="Times New Roman"/>
          <w:sz w:val="24"/>
          <w:szCs w:val="24"/>
        </w:rPr>
        <w:t>℃</w:t>
      </w:r>
      <w:r>
        <w:rPr>
          <w:rFonts w:hint="eastAsia"/>
          <w:sz w:val="24"/>
          <w:szCs w:val="24"/>
        </w:rPr>
        <w:t>冷藏，蓝莓鲜果则依托0~4</w:t>
      </w:r>
      <w:r>
        <w:rPr>
          <w:rFonts w:hint="default" w:ascii="Times New Roman" w:hAnsi="Times New Roman" w:cs="Times New Roman"/>
          <w:sz w:val="24"/>
          <w:szCs w:val="24"/>
        </w:rPr>
        <w:t>℃</w:t>
      </w:r>
      <w:r>
        <w:rPr>
          <w:rFonts w:hint="eastAsia"/>
          <w:sz w:val="24"/>
          <w:szCs w:val="24"/>
        </w:rPr>
        <w:t>的保鲜库锁鲜，包材由独立仓储分流管理。与之相邻的预处理区，主要负责蓝莓的机械分选、清洗、果料热变性调配，以及原料乳的离心净乳与预热。由于该区域日常清洗用水量大，地面坡度设计≥2%并配设明沟，面层统一铺设高耐腐蚀性的耐酸碱地砖。</w:t>
      </w:r>
    </w:p>
    <w:p w14:paraId="191EC78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在中段核心加工与无菌净化板块，加工区集成了配料、高压均质、板式杀菌和智能化发酵罐组。标准化基乳与无菌果料在密闭管道内泵送混合，经18~20MPa高压均质及95</w:t>
      </w:r>
      <w:r>
        <w:rPr>
          <w:rFonts w:hint="default" w:ascii="Times New Roman" w:hAnsi="Times New Roman" w:cs="Times New Roman"/>
          <w:sz w:val="24"/>
          <w:szCs w:val="24"/>
        </w:rPr>
        <w:t>℃</w:t>
      </w:r>
      <w:r>
        <w:rPr>
          <w:rFonts w:hint="eastAsia"/>
          <w:sz w:val="24"/>
          <w:szCs w:val="24"/>
        </w:rPr>
        <w:t>/300s板式热处理后，降温接入发酵剂；发酵罐依托恒温夹套维持4~6h的动态响应，终点破乳冷却至20</w:t>
      </w:r>
      <w:r>
        <w:rPr>
          <w:rFonts w:hint="default" w:ascii="Times New Roman" w:hAnsi="Times New Roman" w:cs="Times New Roman"/>
          <w:sz w:val="24"/>
          <w:szCs w:val="24"/>
        </w:rPr>
        <w:t>℃</w:t>
      </w:r>
      <w:r>
        <w:rPr>
          <w:rFonts w:hint="eastAsia"/>
          <w:sz w:val="24"/>
          <w:szCs w:val="24"/>
        </w:rPr>
        <w:t>以下。紧随其后的灌装工段则采取了更为严苛的微环境控制，包装容器经无菌杀菌后送入洁净区，灌装核心点直接罩设局部百级空气层流装置，整体空间维持10万级正压洁净度，强力阻断二次杂菌污染。</w:t>
      </w:r>
    </w:p>
    <w:p w14:paraId="203DAE8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末端质检、包装与物流出厂板块，灌装成品经流水线送往质检区，执行理化酸黏度、感官和微生物活菌数的批次抽检。合格品在相邻的包装区内快速通过自动套标和热收缩机进行集成装箱。为了最大程度缩短发酵乳在常温下的暴露周期，装箱成品经码垛后立即切入成品冷藏区。该区冷库锁死2~6</w:t>
      </w:r>
      <w:r>
        <w:rPr>
          <w:rFonts w:hint="default" w:ascii="Times New Roman" w:hAnsi="Times New Roman" w:cs="Times New Roman"/>
          <w:sz w:val="24"/>
          <w:szCs w:val="24"/>
        </w:rPr>
        <w:t>℃</w:t>
      </w:r>
      <w:r>
        <w:rPr>
          <w:rFonts w:hint="eastAsia"/>
          <w:sz w:val="24"/>
          <w:szCs w:val="24"/>
        </w:rPr>
        <w:t>运行环境并配置温湿度自动记录仪，出库口外接冷链物流装卸站台，无缝对接下游消费市场。</w:t>
      </w:r>
    </w:p>
    <w:p w14:paraId="12C10564">
      <w:pPr>
        <w:rPr>
          <w:rFonts w:hint="eastAsia" w:ascii="黑体" w:hAnsi="黑体" w:eastAsia="黑体" w:cs="黑体"/>
          <w:b w:val="0"/>
          <w:bCs/>
          <w:sz w:val="24"/>
          <w:szCs w:val="16"/>
          <w:lang w:val="en-US" w:eastAsia="zh-CN"/>
        </w:rPr>
      </w:pPr>
      <w:bookmarkStart w:id="28" w:name="_Toc168404173"/>
      <w:bookmarkStart w:id="29" w:name="_Toc12242"/>
      <w:bookmarkStart w:id="30" w:name="_Toc30398"/>
      <w:r>
        <w:rPr>
          <w:rFonts w:hint="eastAsia" w:ascii="黑体" w:hAnsi="黑体" w:eastAsia="黑体" w:cs="黑体"/>
          <w:b w:val="0"/>
          <w:bCs/>
          <w:sz w:val="24"/>
          <w:szCs w:val="16"/>
          <w:lang w:val="en-US" w:eastAsia="zh-CN"/>
        </w:rPr>
        <w:t>2.</w:t>
      </w:r>
      <w:r>
        <w:rPr>
          <w:rFonts w:hint="eastAsia" w:ascii="黑体" w:hAnsi="黑体" w:cs="黑体"/>
          <w:b w:val="0"/>
          <w:bCs/>
          <w:sz w:val="24"/>
          <w:szCs w:val="16"/>
          <w:lang w:val="en-US" w:eastAsia="zh-CN"/>
        </w:rPr>
        <w:t xml:space="preserve">8 </w:t>
      </w:r>
      <w:r>
        <w:rPr>
          <w:rFonts w:hint="eastAsia" w:ascii="黑体" w:hAnsi="黑体" w:eastAsia="黑体" w:cs="黑体"/>
          <w:b w:val="0"/>
          <w:bCs/>
          <w:sz w:val="24"/>
          <w:szCs w:val="16"/>
          <w:lang w:val="en-US" w:eastAsia="zh-CN"/>
        </w:rPr>
        <w:t>车间劳动定员</w:t>
      </w:r>
      <w:bookmarkEnd w:id="28"/>
      <w:bookmarkEnd w:id="29"/>
      <w:bookmarkEnd w:id="30"/>
    </w:p>
    <w:p w14:paraId="3AC6BF2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lang w:eastAsia="zh-CN"/>
        </w:rPr>
      </w:pPr>
      <w:r>
        <w:rPr>
          <w:rFonts w:hint="eastAsia"/>
          <w:lang w:val="en-US" w:eastAsia="zh-CN"/>
        </w:rPr>
        <w:t>车间操作工岗位及人员配置如下表所示。</w:t>
      </w:r>
    </w:p>
    <w:p w14:paraId="46A609BC">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12</w:t>
      </w:r>
      <w:r>
        <w:rPr>
          <w:rFonts w:ascii="黑体" w:hAnsi="黑体" w:eastAsia="黑体"/>
          <w:sz w:val="21"/>
          <w:szCs w:val="21"/>
        </w:rPr>
        <w:t xml:space="preserve"> </w:t>
      </w:r>
      <w:r>
        <w:rPr>
          <w:rFonts w:hint="eastAsia" w:ascii="黑体" w:hAnsi="黑体" w:eastAsia="黑体"/>
          <w:sz w:val="21"/>
          <w:szCs w:val="21"/>
        </w:rPr>
        <w:t>车间</w:t>
      </w:r>
      <w:r>
        <w:rPr>
          <w:rFonts w:hint="eastAsia" w:ascii="黑体" w:hAnsi="黑体" w:eastAsia="黑体"/>
          <w:sz w:val="21"/>
          <w:szCs w:val="21"/>
          <w:lang w:val="en-US" w:eastAsia="zh-CN"/>
        </w:rPr>
        <w:t>劳动定员</w:t>
      </w:r>
      <w:r>
        <w:rPr>
          <w:rFonts w:hint="eastAsia" w:ascii="黑体" w:hAnsi="黑体"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蓝莓解冻（或鲜果分选）、清洗、榨汁/打浆</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1" w:name="_Toc8437"/>
            <w:bookmarkStart w:id="32"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center"/>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33" w:name="_Toc29830"/>
      <w:r>
        <w:rPr>
          <w:rFonts w:hint="eastAsia" w:ascii="黑体" w:hAnsi="黑体" w:eastAsia="黑体" w:cs="黑体"/>
          <w:b w:val="0"/>
          <w:bCs/>
          <w:sz w:val="24"/>
          <w:szCs w:val="11"/>
          <w:lang w:val="en-US" w:eastAsia="zh-CN"/>
        </w:rPr>
        <w:t>3 非工艺设计</w:t>
      </w:r>
      <w:bookmarkEnd w:id="31"/>
      <w:bookmarkEnd w:id="32"/>
      <w:bookmarkEnd w:id="33"/>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34" w:name="_Toc168404175"/>
      <w:bookmarkStart w:id="35" w:name="_Toc647"/>
      <w:bookmarkStart w:id="36" w:name="_Toc13771"/>
      <w:r>
        <w:rPr>
          <w:rFonts w:hint="eastAsia" w:ascii="黑体" w:hAnsi="黑体" w:eastAsia="黑体" w:cs="黑体"/>
          <w:b w:val="0"/>
          <w:bCs/>
          <w:sz w:val="24"/>
          <w:szCs w:val="16"/>
          <w:lang w:val="en-US" w:eastAsia="zh-CN"/>
        </w:rPr>
        <w:t>3.1</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门窗、地面、墙面及顶棚</w:t>
      </w:r>
      <w:bookmarkEnd w:id="34"/>
      <w:bookmarkEnd w:id="35"/>
      <w:bookmarkEnd w:id="36"/>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lang w:val="en-US" w:eastAsia="zh-CN"/>
        </w:rPr>
      </w:pPr>
      <w:r>
        <w:rPr>
          <w:rFonts w:hint="eastAsia" w:ascii="黑体" w:hAnsi="黑体" w:eastAsia="黑体" w:cs="黑体"/>
          <w:b w:val="0"/>
          <w:bCs/>
          <w:sz w:val="24"/>
          <w:szCs w:val="16"/>
          <w:lang w:val="en-US" w:eastAsia="zh-CN"/>
        </w:rPr>
        <w:t>3.1.1 门窗</w:t>
      </w:r>
    </w:p>
    <w:p w14:paraId="253AB55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内部通道的门体选型侧重于高频次物流周转与气密性防护。主物流通道统一装配双开设计的不锈钢或铝合金门，其净宽与净高分别限定在1.5m和2.2m以上，以满足后期大型乳品加工设备的进出与日常维保空间。为锁固车间微气候并构筑防鼠防虫防线，各门体均需集成自动闭门机构与高弹性密封胶条，从硬件上杜绝冷热空气的无谓对流。此外，在涉及洁净度调控的发酵工段与无菌灌装核心区，设计强制增设具备逻辑互锁功能的气闸门系统，作为阻断空气交叉污染的物理屏障。</w:t>
      </w:r>
    </w:p>
    <w:p w14:paraId="429B7C67">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在采光与墙体外窗的构造设计上，本方案严格摒弃了易积尘且气密性差的传统推拉窗，全面选用双层中空铝合金固定密闭窗。厂房的整体采光面积比严格对标1:6的标准，在保障充足自然光线的前提下，将窗台统一设计为45</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下斜坡或与内墙面平齐的无缝结构，从根本上消除了死角积尘与霉菌滋生的隐患。针对有避光避辐射要求的发酵区域与低温冷库，外窗部分则匹配磨砂工艺玻璃或遮阳百叶，配合全窗线的高致密性密封胶条，全方位锁定车间内部温湿度与动态压差的稳定性。</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3.1.2 地面</w:t>
      </w:r>
    </w:p>
    <w:p w14:paraId="24D38573">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车间在进行地面设计时，将无缝整体性、耐酸碱侵蚀能力以及湿滑工况下的安全防滑性作为核心判据。鉴于调配与发酵工段在日常加工中高频次面临乳酸溢流和CIP强酸碱清洗剂的化学剥蚀，传统的普通混凝土地面极易发生表面酥松与起砂。因此，本方案在卫生等级最高的发酵和无菌灌装区域，刚性规定统一铺设具备优良抗化学降解性能的无缝聚氨酯砂浆地坪。而针对叉车周转频繁、重载堆载集中的原料与成品仓储区，则更倾向于采用高膜厚、抗冲击韧性更强的环氧树脂耐磨地坪。</w:t>
      </w:r>
    </w:p>
    <w:p w14:paraId="35FFAE28">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为了应对乳品加工中无法避免的地面返潮与液体溅洒，所有面层材料均需通过引入微颗粒压砂工艺进行纹理粗糙化处理，以提高湿态摩擦系数并阻断人员滑倒的工业安全风险。在地面构造与卫生防疫维度，设计将低孔隙率和不透湿性作为卡死杂菌滋生的硬件底线。全厂地面严格构筑≥2%的整体落水坡度，并合理定位密闭式带水封地漏的排布密度。此举能确保日常大水量冲洗及喷淋消毒后，积水能迅速顺流排净，从工程土建层面夯实搅拌型蓝莓酸奶加工环境的微生物安全屏障。</w:t>
      </w:r>
    </w:p>
    <w:p w14:paraId="225EB559">
      <w:pPr>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79446B0A">
      <w:pPr>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3.1.3 墙面</w:t>
      </w:r>
    </w:p>
    <w:p w14:paraId="634F6C4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车间在立面墙体设计上，将高致密性、防结露以及耐频繁酸碱喷淋清洗作为核心指标。为了在日常运行中阻断霉菌滋生，车间主要作业区统一规划不低于2.0m的不锈钢或卫生级耐酸碱瓷砖墙裙。对于发酵、灌装等高卫生级工段，上部墙体及顶棚则刚性采用表面喷涂聚氨酯或瓷釉防水涂料的净化夹芯彩钢板，在物理层面杜绝材料吸湿、起皮及污垢嵌存，确保壁面无缝且耐受高频次的次氯酸钠或过氧化氢空间喷淋消毒。整体色彩倾向于选用白色或高明度浅色系，用以改善车间内部的漫反射采光效能。</w:t>
      </w:r>
    </w:p>
    <w:p w14:paraId="106084E4">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黑体" w:hAnsi="黑体" w:eastAsia="黑体" w:cs="黑体"/>
          <w:b w:val="0"/>
          <w:bCs/>
          <w:sz w:val="24"/>
          <w:szCs w:val="24"/>
          <w:lang w:val="en-US" w:eastAsia="zh-CN"/>
        </w:rPr>
      </w:pPr>
      <w:r>
        <w:rPr>
          <w:rFonts w:hint="eastAsia" w:ascii="Times New Roman" w:hAnsi="Times New Roman" w:eastAsia="宋体" w:cs="Times New Roman"/>
          <w:b w:val="0"/>
          <w:sz w:val="24"/>
          <w:lang w:val="en-US" w:eastAsia="zh-CN" w:bidi="ar-SA"/>
        </w:rPr>
        <w:t>在冷热交替的生产环境下，墙体的热阻与构造设计直接关联到工艺温度的恒定。鉴于车间内部同时存在的高温发酵区与低温熟化冷库，墙体内部统一加设高密度聚氨酯发热保温夹层，以消除冷桥效应并抑制表面冷凝水的结露。这一构造方案在提供物理隔热屏障的同时，能显著降低各相邻温区间的热量传导干扰，对稳定发酵产酸动力学曲线及冷链贮藏环境的温度控制至关重要。</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黑体" w:hAnsi="黑体" w:eastAsia="黑体" w:cs="黑体"/>
          <w:b w:val="0"/>
          <w:bCs/>
          <w:sz w:val="24"/>
          <w:szCs w:val="16"/>
          <w:lang w:val="en-US" w:eastAsia="zh-CN"/>
        </w:rPr>
      </w:pPr>
      <w:bookmarkStart w:id="37" w:name="_Toc32057"/>
      <w:bookmarkStart w:id="38" w:name="_Toc168404176"/>
      <w:r>
        <w:rPr>
          <w:rFonts w:hint="eastAsia" w:ascii="黑体" w:hAnsi="黑体" w:eastAsia="黑体" w:cs="黑体"/>
          <w:b w:val="0"/>
          <w:bCs/>
          <w:sz w:val="24"/>
          <w:szCs w:val="16"/>
          <w:lang w:val="en-US" w:eastAsia="zh-CN"/>
        </w:rPr>
        <w:t>3.2</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车间卫生及安全设计</w:t>
      </w:r>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3.2.1 车间卫生设计</w:t>
      </w:r>
    </w:p>
    <w:p w14:paraId="54C37DF4">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执行清洁消毒制度，对设备、管道、工具及工作区域定期全面清洗（CIP/SIP），使用食品级消毒剂，确保无死角。入口设消毒区，人员经更衣、洗手、风淋后方可进入。定期检测空气微生物含量，安装空气净化装置并加强通风，保证灌装区、发酵区洁净度。车间设合理排水系统，地面坡向地漏，防止污水倒灌。各功能区域独立划分，配备专用废物收集容器，废弃物存放区远离生产区，定期无害化处理，防止交叉污染，确保蓝莓酸奶全程卫生可控。</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168404177"/>
      <w:bookmarkStart w:id="40" w:name="_Toc6413"/>
      <w:r>
        <w:rPr>
          <w:rFonts w:hint="eastAsia" w:ascii="Times New Roman" w:hAnsi="Times New Roman" w:eastAsia="宋体" w:cs="Times New Roman"/>
          <w:b w:val="0"/>
          <w:sz w:val="24"/>
          <w:lang w:val="en-US" w:eastAsia="zh-CN" w:bidi="ar-SA"/>
        </w:rPr>
        <w:t>车间安全设计以预防为主，布局合理，通道畅通，避免拥堵。</w:t>
      </w:r>
      <w:r>
        <w:rPr>
          <w:rFonts w:hint="eastAsia" w:cs="Times New Roman"/>
          <w:b w:val="0"/>
          <w:sz w:val="24"/>
          <w:lang w:val="en-US" w:eastAsia="zh-CN" w:bidi="ar-SA"/>
        </w:rPr>
        <w:t>定期对员工进行</w:t>
      </w:r>
      <w:r>
        <w:rPr>
          <w:rFonts w:hint="eastAsia" w:ascii="Times New Roman" w:hAnsi="Times New Roman" w:eastAsia="宋体" w:cs="Times New Roman"/>
          <w:b w:val="0"/>
          <w:sz w:val="24"/>
          <w:lang w:val="en-US" w:eastAsia="zh-CN" w:bidi="ar-SA"/>
        </w:rPr>
        <w:t>安全培训，熟悉应急流程。车间配备消防设备、烟雾报警器、应急照明及疏散标志，定期组织演练。设专职安全管理人员，每日巡查，排查隐患。</w:t>
      </w:r>
    </w:p>
    <w:p w14:paraId="20BB8A9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w:t>
      </w:r>
      <w:r>
        <w:rPr>
          <w:rFonts w:hint="eastAsia" w:cs="Times New Roman"/>
          <w:b w:val="0"/>
          <w:sz w:val="24"/>
          <w:lang w:val="en-US" w:eastAsia="zh-CN" w:bidi="ar-SA"/>
        </w:rPr>
        <w:t>必须</w:t>
      </w:r>
      <w:r>
        <w:rPr>
          <w:rFonts w:hint="eastAsia" w:ascii="Times New Roman" w:hAnsi="Times New Roman" w:eastAsia="宋体" w:cs="Times New Roman"/>
          <w:b w:val="0"/>
          <w:sz w:val="24"/>
          <w:lang w:val="en-US" w:eastAsia="zh-CN" w:bidi="ar-SA"/>
        </w:rPr>
        <w:t>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最大限度保障蓝莓酸奶生产安全。</w:t>
      </w:r>
    </w:p>
    <w:p w14:paraId="2B97296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41" w:name="_Toc16230"/>
      <w:r>
        <w:rPr>
          <w:rFonts w:hint="eastAsia" w:ascii="黑体" w:hAnsi="黑体" w:eastAsia="黑体" w:cs="黑体"/>
          <w:b w:val="0"/>
          <w:bCs/>
          <w:sz w:val="24"/>
          <w:szCs w:val="16"/>
          <w:lang w:val="en-US" w:eastAsia="zh-CN"/>
        </w:rPr>
        <w:t>3.3</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3.3.1 原料仓库</w:t>
      </w:r>
    </w:p>
    <w:p w14:paraId="2D88CED4">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原料仓库面积根据年产1000吨蓝莓酸奶的生产规模合理规划，预留叉车及设备操作通道，确保原料输送顺畅。仓库内设独立分区：原料乳冷藏区（2~6</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）、蓝莓保鲜区（0~4</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或-18</w:t>
      </w:r>
      <w:r>
        <w:rPr>
          <w:rFonts w:hint="default" w:ascii="Times New Roman" w:hAnsi="Times New Roman" w:eastAsia="宋体" w:cs="Times New Roman"/>
          <w:b w:val="0"/>
          <w:sz w:val="24"/>
          <w:lang w:val="en-US" w:eastAsia="zh-CN" w:bidi="ar-SA"/>
        </w:rPr>
        <w:t>℃</w:t>
      </w:r>
      <w:r>
        <w:rPr>
          <w:rFonts w:hint="eastAsia" w:ascii="Times New Roman" w:hAnsi="Times New Roman" w:eastAsia="宋体" w:cs="Times New Roman"/>
          <w:b w:val="0"/>
          <w:sz w:val="24"/>
          <w:lang w:val="en-US" w:eastAsia="zh-CN" w:bidi="ar-SA"/>
        </w:rPr>
        <w:t>冷冻）、辅料区（常温干燥）。配备恒温冷库、温湿度监控系统及自动报警装置，湿度控制根据物料要求调整（如冷藏区85%~90%）。安装良好通风及除湿设备，防止结露毒变。</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3.3.2 产品仓库</w:t>
      </w:r>
    </w:p>
    <w:p w14:paraId="3C0A140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产品仓库根据蓝莓酸奶的储存要求合理分区，设置成品冷藏区（2~6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）、包装材料区及发货区，各区域标识清晰，通道畅通。仓库配备恒温制冷机组及温湿度自动监控系统，温度控制在2~6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，湿度≤75%，有效保障酸奶中乳酸菌活性及产品稳定性。包装材料区保持通风干燥，配置除湿设备，防止纸箱、标签受潮霉变。</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44" w:name="_Toc7510"/>
      <w:r>
        <w:rPr>
          <w:rFonts w:hint="eastAsia" w:ascii="黑体" w:hAnsi="黑体" w:eastAsia="黑体" w:cs="黑体"/>
          <w:b w:val="0"/>
          <w:bCs/>
          <w:sz w:val="24"/>
          <w:szCs w:val="11"/>
          <w:lang w:val="en-US" w:eastAsia="zh-CN"/>
        </w:rPr>
        <w:t>4</w:t>
      </w:r>
      <w:r>
        <w:rPr>
          <w:rFonts w:hint="eastAsia" w:eastAsia="黑体" w:cs="Times New Roman"/>
          <w:b w:val="0"/>
          <w:bCs/>
          <w:sz w:val="24"/>
          <w:szCs w:val="11"/>
          <w:lang w:val="en-US" w:eastAsia="zh-CN"/>
        </w:rPr>
        <w:t xml:space="preserve"> </w:t>
      </w:r>
      <w:r>
        <w:rPr>
          <w:rFonts w:hint="eastAsia" w:ascii="黑体" w:hAnsi="黑体" w:eastAsia="黑体" w:cs="黑体"/>
          <w:b w:val="0"/>
          <w:bCs/>
          <w:sz w:val="24"/>
          <w:szCs w:val="11"/>
          <w:lang w:val="en-US" w:eastAsia="zh-CN"/>
        </w:rPr>
        <w:t>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45" w:name="_Toc168404179"/>
      <w:bookmarkStart w:id="46" w:name="_Toc10829"/>
      <w:bookmarkStart w:id="47" w:name="_Toc3673"/>
      <w:r>
        <w:rPr>
          <w:rFonts w:hint="eastAsia" w:ascii="黑体" w:hAnsi="黑体" w:eastAsia="黑体" w:cs="黑体"/>
          <w:b w:val="0"/>
          <w:bCs/>
          <w:sz w:val="24"/>
          <w:szCs w:val="16"/>
          <w:lang w:val="en-US" w:eastAsia="zh-CN"/>
        </w:rPr>
        <w:t>4.1</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4.1.1 废水的处理</w:t>
      </w:r>
    </w:p>
    <w:p w14:paraId="1050AE47">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蓝莓酸奶生产过程中产生的废水主要来自设备清洗（CIP）、地面冲洗、原料预处理及发酵罐清洗等，含有乳蛋白、脂肪、乳酸、糖类等有机物，COD、BOD及悬浮物浓度较高。废水需严格按照GB18918-2002、GB 8978-1996等标准进行处理。</w:t>
      </w:r>
    </w:p>
    <w:p w14:paraId="4F34A0C1">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处理工艺</w:t>
      </w:r>
      <w:r>
        <w:rPr>
          <w:rFonts w:hint="eastAsia" w:cs="Times New Roman"/>
          <w:b w:val="0"/>
          <w:kern w:val="0"/>
          <w:sz w:val="24"/>
          <w:lang w:val="en-US" w:eastAsia="zh-CN" w:bidi="ar-SA"/>
        </w:rPr>
        <w:t>计划</w:t>
      </w:r>
      <w:r>
        <w:rPr>
          <w:rFonts w:hint="eastAsia" w:ascii="Times New Roman" w:hAnsi="Times New Roman" w:eastAsia="宋体" w:cs="Times New Roman"/>
          <w:b w:val="0"/>
          <w:kern w:val="0"/>
          <w:sz w:val="24"/>
          <w:lang w:val="en-US" w:eastAsia="zh-CN" w:bidi="ar-SA"/>
        </w:rPr>
        <w:t>采用预处理</w:t>
      </w:r>
      <w:r>
        <w:rPr>
          <w:rFonts w:hint="eastAsia" w:cs="Times New Roman"/>
          <w:b w:val="0"/>
          <w:kern w:val="0"/>
          <w:sz w:val="24"/>
          <w:lang w:val="en-US" w:eastAsia="zh-CN" w:bidi="ar-SA"/>
        </w:rPr>
        <w:t>与</w:t>
      </w:r>
      <w:r>
        <w:rPr>
          <w:rFonts w:hint="eastAsia" w:ascii="Times New Roman" w:hAnsi="Times New Roman" w:eastAsia="宋体" w:cs="Times New Roman"/>
          <w:b w:val="0"/>
          <w:kern w:val="0"/>
          <w:sz w:val="24"/>
          <w:lang w:val="en-US" w:eastAsia="zh-CN" w:bidi="ar-SA"/>
        </w:rPr>
        <w:t>生化处理</w:t>
      </w:r>
      <w:r>
        <w:rPr>
          <w:rFonts w:hint="eastAsia" w:cs="Times New Roman"/>
          <w:b w:val="0"/>
          <w:kern w:val="0"/>
          <w:sz w:val="24"/>
          <w:lang w:val="en-US" w:eastAsia="zh-CN" w:bidi="ar-SA"/>
        </w:rPr>
        <w:t>相</w:t>
      </w:r>
      <w:r>
        <w:rPr>
          <w:rFonts w:hint="eastAsia" w:ascii="Times New Roman" w:hAnsi="Times New Roman" w:eastAsia="宋体" w:cs="Times New Roman"/>
          <w:b w:val="0"/>
          <w:kern w:val="0"/>
          <w:sz w:val="24"/>
          <w:lang w:val="en-US" w:eastAsia="zh-CN" w:bidi="ar-SA"/>
        </w:rPr>
        <w:t>组合。预处理包括格栅拦截大颗粒杂质、调节池均衡水质水量、沉淀池去除悬浮物。生化处理采用厌氧+好氧（如UASB+SBR）工艺，高效降解有机物。处理过程中产生的污泥经</w:t>
      </w:r>
      <w:r>
        <w:rPr>
          <w:rFonts w:hint="eastAsia" w:cs="Times New Roman"/>
          <w:b w:val="0"/>
          <w:kern w:val="0"/>
          <w:sz w:val="24"/>
          <w:lang w:val="en-US" w:eastAsia="zh-CN" w:bidi="ar-SA"/>
        </w:rPr>
        <w:t>相应处理</w:t>
      </w:r>
      <w:r>
        <w:rPr>
          <w:rFonts w:hint="eastAsia" w:ascii="Times New Roman" w:hAnsi="Times New Roman" w:eastAsia="宋体" w:cs="Times New Roman"/>
          <w:b w:val="0"/>
          <w:kern w:val="0"/>
          <w:sz w:val="24"/>
          <w:lang w:val="en-US" w:eastAsia="zh-CN" w:bidi="ar-SA"/>
        </w:rPr>
        <w:t>后进行无害化处置。</w:t>
      </w:r>
    </w:p>
    <w:p w14:paraId="13E44BD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源头减少废水产生，优化CIP清洗程序，采用分区清洗、回收酸碱清洗液。处理后清水可回用于地面冲洗、设备初洗或厂区绿化，实现水资源的循环利用。定期监测排放水质，确保达标排放，避免对周边环境造成影响。</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4.1.2 废气的处理</w:t>
      </w:r>
    </w:p>
    <w:p w14:paraId="277195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黑体" w:hAnsi="黑体" w:eastAsia="黑体" w:cs="黑体"/>
          <w:b w:val="0"/>
          <w:bCs/>
          <w:sz w:val="24"/>
          <w:szCs w:val="16"/>
          <w:lang w:val="en-US" w:eastAsia="zh-CN"/>
        </w:rPr>
      </w:pPr>
      <w:r>
        <w:rPr>
          <w:rFonts w:hint="eastAsia" w:ascii="Times New Roman" w:hAnsi="Times New Roman" w:eastAsia="宋体" w:cs="Times New Roman"/>
          <w:b w:val="0"/>
          <w:kern w:val="0"/>
          <w:sz w:val="24"/>
          <w:lang w:val="en-US" w:eastAsia="zh-CN" w:bidi="ar-SA"/>
        </w:rPr>
        <w:t>本设计对蓝莓酸奶加工中发酵工段、CIP原位清洗站以及车间配套废水处理池可能逸散的微量异味废气实施定向源头控制。由于此类废气具有大风量、低浓度的典型特征，车间环保工程确立了“密闭负压收集+生物滤池/活性炭吸附”的协同治理路线。针对氨气、硫化氢等引发恶臭的特征分子，气体经由局部集气罩集中抽吸后送入生物净化床，依托床层表面微生物的代谢降解作用进行无害化转化；或通过填充高碘值活性炭的吸附矩阵进行物理截留。</w:t>
      </w:r>
    </w:p>
    <w:p w14:paraId="64C25940">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4.1.3 废渣的处理</w:t>
      </w:r>
    </w:p>
    <w:p w14:paraId="05B1B30C">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342"/>
      <w:bookmarkStart w:id="49" w:name="_Toc168404180"/>
      <w:r>
        <w:rPr>
          <w:rFonts w:hint="eastAsia" w:ascii="Times New Roman" w:hAnsi="Times New Roman" w:eastAsia="宋体" w:cs="Times New Roman"/>
          <w:b w:val="0"/>
          <w:kern w:val="0"/>
          <w:sz w:val="24"/>
          <w:lang w:val="en-US" w:eastAsia="zh-CN" w:bidi="ar-SA"/>
        </w:rPr>
        <w:t>蓝莓酸奶生产产生的废渣主要包括蓝莓果渣、不合格产品及污泥等。蓝莓果渣富含膳食纤维和花青素，可提取果胶、多酚或加工成饲料添加剂，实现高值化利用。无法利用的废渣进行无害化处理，如堆肥发酵制备有机肥或厌氧消化产沼。污泥经脱水后与废渣一并处置，避免二次污染。所有废渣分类收集、暂存于专用容器，定期清运，符合环保要求。</w:t>
      </w:r>
    </w:p>
    <w:p w14:paraId="5E98961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50" w:name="_Toc8648"/>
      <w:r>
        <w:rPr>
          <w:rFonts w:hint="eastAsia" w:ascii="黑体" w:hAnsi="黑体" w:eastAsia="黑体" w:cs="黑体"/>
          <w:b w:val="0"/>
          <w:bCs/>
          <w:sz w:val="24"/>
          <w:szCs w:val="16"/>
          <w:lang w:val="en-US" w:eastAsia="zh-CN"/>
        </w:rPr>
        <w:t>4.2</w:t>
      </w:r>
      <w:r>
        <w:rPr>
          <w:rFonts w:hint="eastAsia" w:ascii="黑体" w:hAnsi="黑体" w:cs="黑体"/>
          <w:b w:val="0"/>
          <w:bCs/>
          <w:sz w:val="24"/>
          <w:szCs w:val="16"/>
          <w:lang w:val="en-US" w:eastAsia="zh-CN"/>
        </w:rPr>
        <w:t xml:space="preserve"> </w:t>
      </w:r>
      <w:r>
        <w:rPr>
          <w:rFonts w:hint="eastAsia" w:ascii="黑体" w:hAnsi="黑体" w:eastAsia="黑体" w:cs="黑体"/>
          <w:b w:val="0"/>
          <w:bCs/>
          <w:sz w:val="24"/>
          <w:szCs w:val="16"/>
          <w:lang w:val="en-US" w:eastAsia="zh-CN"/>
        </w:rPr>
        <w:t>噪声的控制</w:t>
      </w:r>
      <w:bookmarkEnd w:id="48"/>
      <w:bookmarkEnd w:id="49"/>
      <w:bookmarkEnd w:id="50"/>
    </w:p>
    <w:p w14:paraId="47A417FC">
      <w:pPr>
        <w:spacing w:line="440" w:lineRule="exact"/>
        <w:ind w:firstLine="480" w:firstLineChars="200"/>
        <w:rPr>
          <w:rFonts w:hint="eastAsia" w:ascii="Times New Roman" w:hAnsi="Times New Roman" w:eastAsia="宋体" w:cs="Times New Roman"/>
          <w:sz w:val="24"/>
          <w:lang w:val="en-US" w:eastAsia="zh-CN" w:bidi="ar-SA"/>
        </w:rPr>
      </w:pPr>
      <w:r>
        <w:rPr>
          <w:rFonts w:hint="eastAsia" w:ascii="Times New Roman" w:hAnsi="Times New Roman" w:eastAsia="宋体" w:cs="Times New Roman"/>
          <w:sz w:val="24"/>
          <w:lang w:val="en-US" w:eastAsia="zh-CN" w:bidi="ar-SA"/>
        </w:rPr>
        <w:t>车间噪声主要来自均质机、灌装机、制冷机组及空压机等设备。高噪声设备集中布置在车间中心区域，利用墙体、隔音板及吸声材料阻隔传播。设备基础安装减振垫、软连接，降低结构噪声。车间门窗采用密封隔音结构，减少噪声外泄。定期使用噪声检测仪监测，确保昼间噪声≤65dB(A)、夜间≤55dB(A)，符合GB12348-2008标准。操作人员佩戴耳塞，保障职业健康。</w:t>
      </w:r>
    </w:p>
    <w:p w14:paraId="5160D94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51" w:name="_Toc14390"/>
      <w:bookmarkStart w:id="52" w:name="_Toc168404181"/>
      <w:bookmarkStart w:id="53" w:name="_Toc26659"/>
      <w:r>
        <w:rPr>
          <w:rFonts w:hint="eastAsia" w:ascii="黑体" w:hAnsi="黑体" w:eastAsia="黑体" w:cs="黑体"/>
          <w:b w:val="0"/>
          <w:bCs/>
          <w:sz w:val="24"/>
          <w:szCs w:val="11"/>
          <w:lang w:val="en-US" w:eastAsia="zh-CN"/>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54" w:name="_Toc23431"/>
      <w:bookmarkStart w:id="55" w:name="_Toc14047"/>
      <w:bookmarkStart w:id="56" w:name="_Toc168404182"/>
      <w:r>
        <w:rPr>
          <w:rFonts w:hint="eastAsia" w:ascii="黑体" w:hAnsi="黑体"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lang w:val="en-US" w:eastAsia="zh-CN"/>
        </w:rPr>
      </w:pPr>
      <w:r>
        <w:rPr>
          <w:rFonts w:hint="eastAsia" w:ascii="黑体" w:hAnsi="黑体" w:eastAsia="黑体"/>
          <w:sz w:val="21"/>
          <w:szCs w:val="21"/>
        </w:rPr>
        <w:t>表</w:t>
      </w:r>
      <w:r>
        <w:rPr>
          <w:rFonts w:hint="eastAsia" w:ascii="黑体" w:hAnsi="黑体" w:eastAsia="黑体"/>
          <w:sz w:val="21"/>
          <w:szCs w:val="21"/>
          <w:lang w:val="en-US" w:eastAsia="zh-CN"/>
        </w:rPr>
        <w:t>13每班原辅料</w:t>
      </w:r>
      <w:r>
        <w:rPr>
          <w:rFonts w:hint="eastAsia" w:ascii="黑体" w:hAnsi="黑体"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2800</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15400</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700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15400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白砂糖</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245</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1470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复配稳定剂</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14</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420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直投式发酵剂</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200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szCs w:val="21"/>
                <w:lang w:val="en-US" w:eastAsia="zh-CN"/>
              </w:rPr>
            </w:pPr>
            <w:r>
              <w:rPr>
                <w:rFonts w:hint="eastAsia"/>
                <w:sz w:val="21"/>
                <w:szCs w:val="21"/>
                <w:lang w:val="en-US" w:eastAsia="zh-CN"/>
              </w:rPr>
              <w:t>0.35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65571F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5509733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柠檬酸</w:t>
            </w:r>
          </w:p>
        </w:tc>
        <w:tc>
          <w:tcPr>
            <w:tcW w:w="1185" w:type="pct"/>
            <w:vAlign w:val="center"/>
          </w:tcPr>
          <w:p w14:paraId="2CD3B4B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10</w:t>
            </w:r>
          </w:p>
        </w:tc>
        <w:tc>
          <w:tcPr>
            <w:tcW w:w="1426" w:type="pct"/>
            <w:vAlign w:val="center"/>
          </w:tcPr>
          <w:p w14:paraId="7278C712">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ascii="Times New Roman" w:eastAsia="宋体"/>
                <w:sz w:val="21"/>
                <w:szCs w:val="21"/>
                <w:lang w:val="en-US" w:eastAsia="zh-CN"/>
              </w:rPr>
            </w:pPr>
            <w:r>
              <w:rPr>
                <w:rFonts w:hint="eastAsia"/>
                <w:sz w:val="21"/>
                <w:szCs w:val="21"/>
                <w:lang w:val="en-US" w:eastAsia="zh-CN"/>
              </w:rPr>
              <w:t>7</w:t>
            </w:r>
          </w:p>
        </w:tc>
        <w:tc>
          <w:tcPr>
            <w:tcW w:w="1426" w:type="pct"/>
            <w:vAlign w:val="center"/>
          </w:tcPr>
          <w:p w14:paraId="3E7040D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ascii="Times New Roman" w:eastAsia="宋体"/>
                <w:sz w:val="21"/>
                <w:szCs w:val="21"/>
                <w:lang w:val="en-US" w:eastAsia="zh-CN"/>
              </w:rPr>
            </w:pPr>
            <w:r>
              <w:rPr>
                <w:rFonts w:hint="eastAsia"/>
                <w:sz w:val="21"/>
                <w:szCs w:val="21"/>
                <w:lang w:val="en-US" w:eastAsia="zh-CN"/>
              </w:rPr>
              <w:t>32830</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年原辅料总成本=32830元/班×300班=9849000元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5.1.2 包材成本</w:t>
      </w:r>
    </w:p>
    <w:p w14:paraId="1FCC7F0F">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14</w:t>
      </w:r>
      <w:r>
        <w:rPr>
          <w:rFonts w:hint="eastAsia" w:ascii="黑体" w:hAnsi="黑体" w:eastAsia="黑体"/>
          <w:sz w:val="21"/>
          <w:szCs w:val="21"/>
        </w:rPr>
        <w:t xml:space="preserve"> </w:t>
      </w:r>
      <w:r>
        <w:rPr>
          <w:rFonts w:hint="eastAsia" w:ascii="黑体" w:hAnsi="黑体" w:eastAsia="黑体"/>
          <w:sz w:val="21"/>
          <w:szCs w:val="21"/>
          <w:lang w:val="en-US" w:eastAsia="zh-CN"/>
        </w:rPr>
        <w:t>每年</w:t>
      </w:r>
      <w:r>
        <w:rPr>
          <w:rFonts w:hint="eastAsia" w:ascii="黑体" w:hAnsi="黑体"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2D129AE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5.1.3 水电汽成本</w:t>
      </w:r>
    </w:p>
    <w:p w14:paraId="44814DB4">
      <w:pPr>
        <w:spacing w:after="5"/>
        <w:jc w:val="center"/>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15</w:t>
      </w:r>
      <w:r>
        <w:rPr>
          <w:rFonts w:hint="eastAsia" w:ascii="黑体" w:hAnsi="黑体" w:eastAsia="黑体"/>
          <w:sz w:val="21"/>
          <w:szCs w:val="21"/>
        </w:rPr>
        <w:t xml:space="preserve"> </w:t>
      </w:r>
      <w:r>
        <w:rPr>
          <w:rFonts w:hint="eastAsia" w:ascii="黑体" w:hAnsi="黑体" w:eastAsia="黑体"/>
          <w:sz w:val="21"/>
          <w:szCs w:val="21"/>
          <w:lang w:val="en-US" w:eastAsia="zh-CN"/>
        </w:rPr>
        <w:t>每年</w:t>
      </w:r>
      <w:r>
        <w:rPr>
          <w:rFonts w:hint="eastAsia" w:ascii="黑体" w:hAnsi="黑体" w:eastAsia="黑体"/>
          <w:sz w:val="21"/>
          <w:szCs w:val="21"/>
        </w:rPr>
        <w:t>水电</w:t>
      </w:r>
      <w:r>
        <w:rPr>
          <w:rFonts w:hint="eastAsia" w:ascii="黑体" w:hAnsi="黑体" w:eastAsia="黑体"/>
          <w:sz w:val="21"/>
          <w:szCs w:val="21"/>
          <w:lang w:val="en-US" w:eastAsia="zh-CN"/>
        </w:rPr>
        <w:t>汽</w:t>
      </w:r>
      <w:r>
        <w:rPr>
          <w:rFonts w:hint="eastAsia" w:ascii="黑体" w:hAnsi="黑体"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单价</w:t>
            </w:r>
            <w:r>
              <w:rPr>
                <w:rFonts w:hint="eastAsia"/>
                <w:sz w:val="21"/>
                <w:lang w:eastAsia="zh-CN"/>
              </w:rPr>
              <w:t>（</w:t>
            </w:r>
            <w:r>
              <w:rPr>
                <w:rFonts w:hint="eastAsia"/>
                <w:sz w:val="21"/>
                <w:lang w:val="en-US" w:eastAsia="zh-CN"/>
              </w:rPr>
              <w:t>含税）</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125250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 xml:space="preserve"> 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7.77</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eastAsia="zh-CN"/>
              </w:rPr>
            </w:pPr>
            <w:r>
              <w:rPr>
                <w:rFonts w:hint="eastAsia"/>
                <w:sz w:val="21"/>
                <w:lang w:val="en-US" w:eastAsia="zh-CN"/>
              </w:rPr>
              <w:t>163200kg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eastAsia="zh-CN"/>
              </w:rPr>
            </w:pPr>
            <w:r>
              <w:rPr>
                <w:rFonts w:hint="eastAsia"/>
                <w:sz w:val="21"/>
                <w:lang w:val="en-US" w:eastAsia="zh-CN"/>
              </w:rPr>
              <w:t>4.08</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14.89</w:t>
            </w:r>
          </w:p>
        </w:tc>
      </w:tr>
    </w:tbl>
    <w:p w14:paraId="6E2EB36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则蓝莓酸奶车间</w:t>
      </w:r>
      <w:r>
        <w:rPr>
          <w:rFonts w:hint="eastAsia" w:cs="Times New Roman"/>
          <w:sz w:val="24"/>
          <w:lang w:val="en-US" w:eastAsia="zh-CN" w:bidi="ar-SA"/>
        </w:rPr>
        <w:t>一年的总水电汽成本为14.89万元。</w:t>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pageBreakBefore w:val="0"/>
        <w:widowControl w:val="0"/>
        <w:kinsoku/>
        <w:wordWrap/>
        <w:overflowPunct/>
        <w:topLinePunct w:val="0"/>
        <w:autoSpaceDE/>
        <w:autoSpaceDN/>
        <w:bidi w:val="0"/>
        <w:adjustRightInd/>
        <w:snapToGrid/>
        <w:spacing w:after="5"/>
        <w:jc w:val="center"/>
        <w:textAlignment w:val="auto"/>
        <w:rPr>
          <w:rFonts w:ascii="黑体" w:hAnsi="黑体" w:eastAsia="黑体"/>
          <w:sz w:val="21"/>
          <w:szCs w:val="21"/>
        </w:rPr>
      </w:pPr>
      <w:r>
        <w:rPr>
          <w:rFonts w:hint="eastAsia" w:ascii="黑体" w:hAnsi="黑体" w:eastAsia="黑体"/>
          <w:sz w:val="21"/>
          <w:szCs w:val="21"/>
        </w:rPr>
        <w:t>表1</w:t>
      </w:r>
      <w:r>
        <w:rPr>
          <w:rFonts w:hint="eastAsia" w:ascii="黑体" w:hAnsi="黑体" w:eastAsia="黑体"/>
          <w:sz w:val="21"/>
          <w:szCs w:val="21"/>
          <w:lang w:val="en-US" w:eastAsia="zh-CN"/>
        </w:rPr>
        <w:t>6</w:t>
      </w:r>
      <w:r>
        <w:rPr>
          <w:rFonts w:hint="eastAsia" w:ascii="黑体" w:hAnsi="黑体" w:eastAsia="黑体"/>
          <w:sz w:val="21"/>
          <w:szCs w:val="21"/>
        </w:rPr>
        <w:t xml:space="preserve"> </w:t>
      </w:r>
      <w:r>
        <w:rPr>
          <w:rFonts w:hint="eastAsia" w:ascii="黑体" w:hAnsi="黑体" w:eastAsia="黑体"/>
          <w:sz w:val="21"/>
          <w:szCs w:val="21"/>
          <w:lang w:val="en-US" w:eastAsia="zh-CN"/>
        </w:rPr>
        <w:t>每</w:t>
      </w:r>
      <w:r>
        <w:rPr>
          <w:rFonts w:hint="eastAsia" w:ascii="黑体" w:hAnsi="黑体"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蓝莓酸奶车间劳动定员共26</w:t>
      </w:r>
      <w:r>
        <w:rPr>
          <w:rFonts w:hint="eastAsia" w:cs="Times New Roman"/>
          <w:sz w:val="24"/>
          <w:lang w:val="en-US" w:eastAsia="zh-CN" w:bidi="ar-SA"/>
        </w:rPr>
        <w:t>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黑体" w:hAnsi="黑体" w:eastAsia="黑体" w:cs="黑体"/>
          <w:b w:val="0"/>
          <w:bCs/>
          <w:sz w:val="24"/>
          <w:szCs w:val="16"/>
          <w:lang w:val="en-US" w:eastAsia="zh-CN"/>
        </w:rPr>
      </w:pPr>
      <w:r>
        <w:rPr>
          <w:rFonts w:hint="eastAsia" w:ascii="黑体" w:hAnsi="黑体" w:eastAsia="黑体" w:cs="黑体"/>
          <w:b w:val="0"/>
          <w:bCs/>
          <w:sz w:val="24"/>
          <w:szCs w:val="16"/>
          <w:lang w:val="en-US" w:eastAsia="zh-CN"/>
        </w:rPr>
        <w:t>5.1.6 车间场地费用</w:t>
      </w:r>
    </w:p>
    <w:p w14:paraId="68BFF614">
      <w:pPr>
        <w:spacing w:line="440" w:lineRule="exact"/>
        <w:ind w:firstLine="480" w:firstLineChars="200"/>
        <w:rPr>
          <w:rFonts w:hint="default"/>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p>
    <w:p w14:paraId="4871F446">
      <w:pPr>
        <w:keepNext w:val="0"/>
        <w:keepLines/>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bookmarkStart w:id="58" w:name="_Toc29524"/>
    </w:p>
    <w:p w14:paraId="00E75DEB">
      <w:pPr>
        <w:keepNext w:val="0"/>
        <w:keepLines/>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09DE80CF">
      <w:pPr>
        <w:keepNext w:val="0"/>
        <w:keepLines/>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795A0789">
      <w:pPr>
        <w:keepNext w:val="0"/>
        <w:keepLines/>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49130CB5">
      <w:pPr>
        <w:keepNext w:val="0"/>
        <w:keepLines/>
        <w:pageBreakBefore w:val="0"/>
        <w:widowControl w:val="0"/>
        <w:kinsoku/>
        <w:wordWrap/>
        <w:overflowPunct/>
        <w:topLinePunct w:val="0"/>
        <w:autoSpaceDE/>
        <w:autoSpaceDN/>
        <w:bidi w:val="0"/>
        <w:adjustRightInd/>
        <w:snapToGrid/>
        <w:spacing w:before="0" w:after="0" w:line="440" w:lineRule="exact"/>
        <w:textAlignment w:val="auto"/>
        <w:outlineLvl w:val="9"/>
        <w:rPr>
          <w:rFonts w:hint="eastAsia" w:ascii="黑体" w:hAnsi="黑体" w:eastAsia="黑体" w:cs="黑体"/>
          <w:b w:val="0"/>
          <w:bCs/>
          <w:sz w:val="24"/>
          <w:szCs w:val="16"/>
          <w:lang w:val="en-US" w:eastAsia="zh-CN"/>
        </w:rPr>
      </w:pP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黑体" w:hAnsi="黑体" w:eastAsia="黑体" w:cs="黑体"/>
          <w:b w:val="0"/>
          <w:bCs/>
          <w:sz w:val="24"/>
          <w:szCs w:val="16"/>
          <w:lang w:val="en-US" w:eastAsia="zh-CN"/>
        </w:rPr>
      </w:pPr>
      <w:bookmarkStart w:id="59" w:name="_Toc11449"/>
      <w:r>
        <w:rPr>
          <w:rFonts w:hint="eastAsia" w:ascii="黑体" w:hAnsi="黑体" w:eastAsia="黑体" w:cs="黑体"/>
          <w:b w:val="0"/>
          <w:bCs/>
          <w:sz w:val="24"/>
          <w:szCs w:val="16"/>
          <w:lang w:val="en-US" w:eastAsia="zh-CN"/>
        </w:rPr>
        <w:t>5.</w:t>
      </w:r>
      <w:r>
        <w:rPr>
          <w:rFonts w:hint="eastAsia" w:ascii="黑体" w:hAnsi="黑体" w:cs="黑体"/>
          <w:b w:val="0"/>
          <w:bCs/>
          <w:sz w:val="24"/>
          <w:szCs w:val="16"/>
          <w:lang w:val="en-US" w:eastAsia="zh-CN"/>
        </w:rPr>
        <w:t>2</w:t>
      </w:r>
      <w:r>
        <w:rPr>
          <w:rFonts w:hint="eastAsia" w:ascii="黑体" w:hAnsi="黑体"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黑体" w:hAnsi="黑体" w:eastAsia="黑体"/>
          <w:sz w:val="21"/>
          <w:szCs w:val="21"/>
          <w:lang w:val="en-US" w:eastAsia="zh-CN"/>
        </w:rPr>
      </w:pPr>
      <w:r>
        <w:rPr>
          <w:rFonts w:hint="eastAsia" w:ascii="黑体" w:hAnsi="黑体" w:eastAsia="黑体"/>
          <w:sz w:val="21"/>
          <w:szCs w:val="21"/>
        </w:rPr>
        <w:t>表</w:t>
      </w:r>
      <w:r>
        <w:rPr>
          <w:rFonts w:ascii="黑体" w:hAnsi="黑体" w:eastAsia="黑体"/>
          <w:sz w:val="21"/>
          <w:szCs w:val="21"/>
        </w:rPr>
        <w:t>1</w:t>
      </w:r>
      <w:r>
        <w:rPr>
          <w:rFonts w:hint="eastAsia" w:ascii="黑体" w:hAnsi="黑体" w:eastAsia="黑体"/>
          <w:sz w:val="21"/>
          <w:szCs w:val="21"/>
          <w:lang w:val="en-US" w:eastAsia="zh-CN"/>
        </w:rPr>
        <w:t>7</w:t>
      </w:r>
      <w:r>
        <w:rPr>
          <w:rFonts w:ascii="黑体" w:hAnsi="黑体" w:eastAsia="黑体"/>
          <w:sz w:val="21"/>
          <w:szCs w:val="21"/>
        </w:rPr>
        <w:t xml:space="preserve"> </w:t>
      </w:r>
      <w:r>
        <w:rPr>
          <w:rFonts w:hint="eastAsia" w:ascii="黑体" w:hAnsi="黑体" w:eastAsia="黑体"/>
          <w:sz w:val="21"/>
          <w:szCs w:val="21"/>
          <w:lang w:val="en-US" w:eastAsia="zh-CN"/>
        </w:rPr>
        <w:t>车间年总</w:t>
      </w:r>
      <w:r>
        <w:rPr>
          <w:rFonts w:hint="eastAsia" w:ascii="黑体" w:hAnsi="黑体" w:eastAsia="黑体"/>
          <w:sz w:val="21"/>
          <w:szCs w:val="21"/>
        </w:rPr>
        <w:t>成本</w:t>
      </w:r>
      <w:r>
        <w:rPr>
          <w:rFonts w:hint="eastAsia" w:ascii="黑体" w:hAnsi="黑体"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等线"/>
                <w:color w:val="000000"/>
                <w:sz w:val="21"/>
                <w:szCs w:val="21"/>
                <w:lang w:val="en-US" w:eastAsia="zh-CN"/>
              </w:rPr>
            </w:pPr>
            <w:r>
              <w:rPr>
                <w:rFonts w:hint="eastAsia"/>
                <w:sz w:val="21"/>
                <w:szCs w:val="16"/>
                <w:lang w:val="en-US" w:eastAsia="zh-CN"/>
              </w:rPr>
              <w:t>984.9</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14.89</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1483.57</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1483.57万元。每瓶蓝莓酸奶重量为0.25kg，则理论年产量为1000000kg÷0.25kg=4000000瓶。平均每瓶酸奶的成本为1483.57万元÷400万瓶≈3.71元/瓶，出厂价定为5元/瓶，年利润为（5-3.71）元×400万瓶=516万元，回本周期为1483.57万元÷516万元≈2.88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黑体" w:hAnsi="黑体" w:eastAsia="黑体" w:cs="黑体"/>
          <w:b w:val="0"/>
          <w:bCs/>
          <w:sz w:val="24"/>
          <w:szCs w:val="11"/>
          <w:lang w:val="en-US" w:eastAsia="zh-CN"/>
        </w:rPr>
      </w:pPr>
      <w:bookmarkStart w:id="60" w:name="_Toc168404185"/>
      <w:bookmarkStart w:id="61" w:name="_Toc17246"/>
      <w:bookmarkStart w:id="62" w:name="_Toc3757"/>
      <w:r>
        <w:rPr>
          <w:rFonts w:hint="eastAsia" w:ascii="黑体" w:hAnsi="黑体"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每班消耗鲜牛乳2800kg、蓝莓果浆700kg、蔗糖245kg等原辅料，原辅料成本3.28万元/班；年总成本1483.57万元，折合每瓶（250g）成本3.71元。产品出厂价定为5元/瓶，年利润516万元，投资回收期为两到三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both"/>
        <w:outlineLvl w:val="0"/>
        <w:rPr>
          <w:rFonts w:hint="eastAsia" w:ascii="黑体" w:hAnsi="Times New Roman" w:eastAsia="黑体" w:cs="微软雅黑"/>
          <w:bCs/>
          <w:kern w:val="2"/>
          <w:sz w:val="28"/>
          <w:szCs w:val="28"/>
          <w:lang w:val="en-US" w:eastAsia="zh-CN" w:bidi="ar-SA"/>
        </w:rPr>
      </w:pPr>
      <w:bookmarkStart w:id="63" w:name="_Toc168404186"/>
      <w:bookmarkStart w:id="64" w:name="_Toc8502"/>
      <w:bookmarkStart w:id="65" w:name="_Toc30428"/>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r>
        <w:rPr>
          <w:rFonts w:hint="default" w:ascii="Times New Roman" w:hAnsi="Times New Roman" w:cs="Times New Roman"/>
          <w:sz w:val="21"/>
          <w:szCs w:val="16"/>
          <w:lang w:val="en-US" w:eastAsia="zh-CN"/>
        </w:rPr>
        <w:t>张军,张冬雪,刘玉峰,等.蓝莓山羊酸奶的研制[J].中国酿造,2015,34(11):171-174.</w:t>
      </w:r>
      <w:bookmarkEnd w:id="95"/>
    </w:p>
    <w:bookmarkEnd w:id="96"/>
    <w:p w14:paraId="63E9144C">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14856"/>
      <w:bookmarkStart w:id="99" w:name="_Ref5890"/>
      <w:r>
        <w:rPr>
          <w:rFonts w:hint="default" w:ascii="Times New Roman" w:hAnsi="Times New Roman" w:cs="Times New Roman"/>
          <w:sz w:val="21"/>
          <w:szCs w:val="16"/>
          <w:lang w:val="en-US" w:eastAsia="zh-CN"/>
        </w:rPr>
        <w:t>梅玉立,童彬,于素凤,等.蓝莓酸奶的生产工艺研究[J].价值工程,2019,38(03):132-136.</w:t>
      </w:r>
      <w:bookmarkEnd w:id="98"/>
    </w:p>
    <w:p w14:paraId="5AC18D8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0"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0"/>
    </w:p>
    <w:bookmarkEnd w:id="97"/>
    <w:bookmarkEnd w:id="99"/>
    <w:p w14:paraId="1D2329F2">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1" w:name="_Ref28566"/>
      <w:r>
        <w:rPr>
          <w:rFonts w:hint="default" w:ascii="Times New Roman" w:hAnsi="Times New Roman" w:cs="Times New Roman"/>
          <w:sz w:val="21"/>
          <w:szCs w:val="16"/>
          <w:lang w:val="en-US" w:eastAsia="zh-CN"/>
        </w:rPr>
        <w:t>何祖艳.马铃薯蓝莓酸奶的制备关键技术及其应用研究[D].贵州大学,2021.</w:t>
      </w:r>
      <w:bookmarkEnd w:id="101"/>
    </w:p>
    <w:p w14:paraId="67B708A0">
      <w:pPr>
        <w:keepNext w:val="0"/>
        <w:keepLines w:val="0"/>
        <w:pageBreakBefore w:val="0"/>
        <w:widowControl w:val="0"/>
        <w:numPr>
          <w:ilvl w:val="0"/>
          <w:numId w:val="2"/>
        </w:numPr>
        <w:kinsoku/>
        <w:wordWrap/>
        <w:overflowPunct/>
        <w:topLinePunct w:val="0"/>
        <w:autoSpaceDE/>
        <w:autoSpaceDN/>
        <w:bidi w:val="0"/>
        <w:adjustRightInd/>
        <w:snapToGrid/>
        <w:spacing w:line="42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2" w:name="_Ref15153"/>
      <w:r>
        <w:rPr>
          <w:rFonts w:hint="eastAsia" w:ascii="Times New Roman" w:hAnsi="Times New Roman" w:cs="Times New Roman"/>
          <w:sz w:val="21"/>
          <w:szCs w:val="16"/>
          <w:lang w:val="en-US" w:eastAsia="zh-CN"/>
        </w:rPr>
        <w:t>Ichimura T .Yogurt Production.[J].Methods in molecular biology (Clifton, N.J.), 2024,285163-74.</w:t>
      </w:r>
      <w:bookmarkEnd w:id="102"/>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3"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4" w:name="_Toc30624"/>
      <w:bookmarkStart w:id="105" w:name="_Toc15125"/>
      <w:r>
        <w:rPr>
          <w:rFonts w:hint="eastAsia" w:ascii="黑体" w:hAnsi="黑体" w:eastAsia="黑体" w:cs="黑体"/>
          <w:b w:val="0"/>
          <w:bCs/>
          <w:sz w:val="28"/>
          <w:szCs w:val="13"/>
          <w:lang w:val="en-US" w:eastAsia="zh-CN"/>
        </w:rPr>
        <w:t>致 谢</w:t>
      </w:r>
      <w:bookmarkEnd w:id="103"/>
      <w:bookmarkEnd w:id="104"/>
      <w:bookmarkEnd w:id="105"/>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4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3A5EE577">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851" w:footer="992" w:gutter="0"/>
          <w:pgBorders>
            <w:top w:val="none" w:sz="0" w:space="0"/>
            <w:left w:val="none" w:sz="0" w:space="0"/>
            <w:bottom w:val="none" w:sz="0" w:space="0"/>
            <w:right w:val="none" w:sz="0" w:space="0"/>
          </w:pgBorders>
          <w:pgNumType w:fmt="decimal"/>
          <w:cols w:space="425" w:num="1"/>
          <w:docGrid w:type="lines" w:linePitch="312" w:charSpace="0"/>
        </w:sectPr>
      </w:pPr>
      <w:bookmarkStart w:id="106" w:name="_Toc7734"/>
      <w:bookmarkStart w:id="107" w:name="_Toc28768"/>
      <w:bookmarkStart w:id="108" w:name="_Toc25798"/>
      <w:r>
        <w:rPr>
          <w:rFonts w:hint="eastAsia" w:ascii="Times New Roman" w:hAnsi="Times New Roman" w:eastAsia="宋体" w:cs="宋体"/>
          <w:b w:val="0"/>
          <w:bCs w:val="0"/>
          <w:sz w:val="24"/>
          <w:szCs w:val="24"/>
          <w:lang w:val="en-US" w:eastAsia="zh-CN"/>
        </w:rPr>
        <w:drawing>
          <wp:anchor distT="0" distB="0" distL="114300" distR="114300" simplePos="0" relativeHeight="251660288"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3" name="图片 3" descr="附录-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附录-1"/>
                    <pic:cNvPicPr>
                      <a:picLocks noChangeAspect="1"/>
                    </pic:cNvPicPr>
                  </pic:nvPicPr>
                  <pic:blipFill>
                    <a:blip r:embed="rId11"/>
                    <a:stretch>
                      <a:fillRect/>
                    </a:stretch>
                  </pic:blipFill>
                  <pic:spPr>
                    <a:xfrm>
                      <a:off x="0" y="0"/>
                      <a:ext cx="5578475" cy="789051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6"/>
      <w:bookmarkEnd w:id="107"/>
      <w:r>
        <w:rPr>
          <w:rFonts w:hint="eastAsia" w:ascii="黑体" w:hAnsi="黑体" w:eastAsia="黑体" w:cs="黑体"/>
          <w:b w:val="0"/>
          <w:bCs/>
          <w:sz w:val="28"/>
          <w:szCs w:val="13"/>
          <w:lang w:val="en-US" w:eastAsia="zh-CN"/>
        </w:rPr>
        <w:t>纸</w:t>
      </w:r>
      <w:bookmarkEnd w:id="108"/>
    </w:p>
    <w:p w14:paraId="7BCBA77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851" w:footer="992" w:gutter="0"/>
          <w:pgBorders>
            <w:top w:val="none" w:sz="0" w:space="0"/>
            <w:left w:val="none" w:sz="0" w:space="0"/>
            <w:bottom w:val="none" w:sz="0" w:space="0"/>
            <w:right w:val="none" w:sz="0" w:space="0"/>
          </w:pgBorders>
          <w:pgNumType w:fmt="decimal"/>
          <w:cols w:space="425" w:num="1"/>
          <w:docGrid w:type="lines" w:linePitch="312" w:charSpace="0"/>
        </w:sectPr>
      </w:pPr>
      <w:bookmarkStart w:id="109" w:name="_GoBack"/>
      <w:r>
        <w:rPr>
          <w:rFonts w:hint="eastAsia" w:ascii="黑体" w:hAnsi="黑体" w:eastAsia="黑体" w:cs="黑体"/>
          <w:b w:val="0"/>
          <w:bCs/>
          <w:sz w:val="28"/>
          <w:szCs w:val="13"/>
          <w:lang w:val="en-US" w:eastAsia="zh-CN"/>
        </w:rPr>
        <w:drawing>
          <wp:anchor distT="0" distB="0" distL="114300" distR="114300" simplePos="0" relativeHeight="251661312"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5" name="图片 5" descr="C:/Users/Texer/Downloads/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ownloads/车间平面布局 Model (1).png车间平面布局 Model (1)"/>
                    <pic:cNvPicPr>
                      <a:picLocks noChangeAspect="1"/>
                    </pic:cNvPicPr>
                  </pic:nvPicPr>
                  <pic:blipFill>
                    <a:blip r:embed="rId12"/>
                    <a:srcRect t="6" b="6"/>
                    <a:stretch>
                      <a:fillRect/>
                    </a:stretch>
                  </pic:blipFill>
                  <pic:spPr>
                    <a:xfrm rot="10800000">
                      <a:off x="0" y="0"/>
                      <a:ext cx="5578475" cy="7890510"/>
                    </a:xfrm>
                    <a:prstGeom prst="rect">
                      <a:avLst/>
                    </a:prstGeom>
                  </pic:spPr>
                </pic:pic>
              </a:graphicData>
            </a:graphic>
          </wp:anchor>
        </w:drawing>
      </w:r>
      <w:bookmarkEnd w:id="109"/>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7" name="图片 7" descr="附录-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附录-3"/>
                    <pic:cNvPicPr>
                      <a:picLocks noChangeAspect="1"/>
                    </pic:cNvPicPr>
                  </pic:nvPicPr>
                  <pic:blipFill>
                    <a:blip r:embed="rId13"/>
                    <a:stretch>
                      <a:fillRect/>
                    </a:stretch>
                  </pic:blipFill>
                  <pic:spPr>
                    <a:xfrm>
                      <a:off x="0" y="0"/>
                      <a:ext cx="5578475" cy="7890510"/>
                    </a:xfrm>
                    <a:prstGeom prst="rect">
                      <a:avLst/>
                    </a:prstGeom>
                  </pic:spPr>
                </pic:pic>
              </a:graphicData>
            </a:graphic>
          </wp:anchor>
        </w:drawing>
      </w:r>
    </w:p>
    <w:sectPr>
      <w:pgSz w:w="11906" w:h="16838"/>
      <w:pgMar w:top="1701" w:right="1134" w:bottom="1417" w:left="1984"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EAE598">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1EFE">
                          <w:pPr>
                            <w:pStyle w:val="7"/>
                          </w:pPr>
                          <w:r>
                            <w:fldChar w:fldCharType="begin"/>
                          </w:r>
                          <w:r>
                            <w:instrText xml:space="preserve"> PAGE  \* MERGEFORMAT </w:instrText>
                          </w:r>
                          <w:r>
                            <w:fldChar w:fldCharType="separate"/>
                          </w:r>
                          <w:r>
                            <w:t>24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4291EFE">
                    <w:pPr>
                      <w:pStyle w:val="7"/>
                    </w:pPr>
                    <w:r>
                      <w:fldChar w:fldCharType="begin"/>
                    </w:r>
                    <w:r>
                      <w:instrText xml:space="preserve"> PAGE  \* MERGEFORMAT </w:instrText>
                    </w:r>
                    <w:r>
                      <w:fldChar w:fldCharType="separate"/>
                    </w:r>
                    <w:r>
                      <w:t>24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3E2476"/>
    <w:rsid w:val="00533BFA"/>
    <w:rsid w:val="0055574E"/>
    <w:rsid w:val="007856D0"/>
    <w:rsid w:val="0090207B"/>
    <w:rsid w:val="00952E84"/>
    <w:rsid w:val="009D404E"/>
    <w:rsid w:val="009F092F"/>
    <w:rsid w:val="00D305B2"/>
    <w:rsid w:val="01214A9D"/>
    <w:rsid w:val="014717F5"/>
    <w:rsid w:val="01620D9F"/>
    <w:rsid w:val="018239F6"/>
    <w:rsid w:val="01CD2B81"/>
    <w:rsid w:val="02217E97"/>
    <w:rsid w:val="027E7FF8"/>
    <w:rsid w:val="02C2223C"/>
    <w:rsid w:val="03065668"/>
    <w:rsid w:val="03227C2F"/>
    <w:rsid w:val="03744E73"/>
    <w:rsid w:val="038B765F"/>
    <w:rsid w:val="038F67FF"/>
    <w:rsid w:val="03CA4CE9"/>
    <w:rsid w:val="03E272F9"/>
    <w:rsid w:val="03E70DB3"/>
    <w:rsid w:val="04117BDE"/>
    <w:rsid w:val="042042C5"/>
    <w:rsid w:val="04307DED"/>
    <w:rsid w:val="047C599F"/>
    <w:rsid w:val="049F343C"/>
    <w:rsid w:val="04CF4159"/>
    <w:rsid w:val="04D22822"/>
    <w:rsid w:val="051200B1"/>
    <w:rsid w:val="052135A4"/>
    <w:rsid w:val="0524626C"/>
    <w:rsid w:val="05510153"/>
    <w:rsid w:val="056A1DE3"/>
    <w:rsid w:val="05700779"/>
    <w:rsid w:val="05BC001D"/>
    <w:rsid w:val="06844FB8"/>
    <w:rsid w:val="068834BD"/>
    <w:rsid w:val="06A64F55"/>
    <w:rsid w:val="06C76A96"/>
    <w:rsid w:val="06D223B7"/>
    <w:rsid w:val="06E25D2C"/>
    <w:rsid w:val="07470DB9"/>
    <w:rsid w:val="07585815"/>
    <w:rsid w:val="07717CC3"/>
    <w:rsid w:val="078735B9"/>
    <w:rsid w:val="07947660"/>
    <w:rsid w:val="07C37CC9"/>
    <w:rsid w:val="07DD473F"/>
    <w:rsid w:val="08206641"/>
    <w:rsid w:val="08255752"/>
    <w:rsid w:val="08510831"/>
    <w:rsid w:val="086C5D2B"/>
    <w:rsid w:val="087307FD"/>
    <w:rsid w:val="08A2174C"/>
    <w:rsid w:val="08B170DB"/>
    <w:rsid w:val="09735AA3"/>
    <w:rsid w:val="09FC6E56"/>
    <w:rsid w:val="0A7B662E"/>
    <w:rsid w:val="0AC84167"/>
    <w:rsid w:val="0AD310EE"/>
    <w:rsid w:val="0B03317D"/>
    <w:rsid w:val="0B040552"/>
    <w:rsid w:val="0B436A10"/>
    <w:rsid w:val="0B514A22"/>
    <w:rsid w:val="0B5575E3"/>
    <w:rsid w:val="0B754E1B"/>
    <w:rsid w:val="0BA0772C"/>
    <w:rsid w:val="0C1C2F3E"/>
    <w:rsid w:val="0C48260B"/>
    <w:rsid w:val="0C872834"/>
    <w:rsid w:val="0CAB4813"/>
    <w:rsid w:val="0CD97D8C"/>
    <w:rsid w:val="0D295F98"/>
    <w:rsid w:val="0D7B7E36"/>
    <w:rsid w:val="0DA64F33"/>
    <w:rsid w:val="0DC51F28"/>
    <w:rsid w:val="0DC64C17"/>
    <w:rsid w:val="0DD10C05"/>
    <w:rsid w:val="0E3336AB"/>
    <w:rsid w:val="0E3D63EB"/>
    <w:rsid w:val="0E9631E0"/>
    <w:rsid w:val="0EC263D3"/>
    <w:rsid w:val="0EC266A4"/>
    <w:rsid w:val="0F204B8F"/>
    <w:rsid w:val="0F771777"/>
    <w:rsid w:val="0FEF74F0"/>
    <w:rsid w:val="0FF94348"/>
    <w:rsid w:val="0FFE305D"/>
    <w:rsid w:val="100006CE"/>
    <w:rsid w:val="10563548"/>
    <w:rsid w:val="10CA6EC1"/>
    <w:rsid w:val="1102722C"/>
    <w:rsid w:val="11202258"/>
    <w:rsid w:val="11D52002"/>
    <w:rsid w:val="11D60187"/>
    <w:rsid w:val="12027A1E"/>
    <w:rsid w:val="12B603BF"/>
    <w:rsid w:val="12BE6EB0"/>
    <w:rsid w:val="12FE6C66"/>
    <w:rsid w:val="132C5202"/>
    <w:rsid w:val="132D4308"/>
    <w:rsid w:val="134358DA"/>
    <w:rsid w:val="134F24D1"/>
    <w:rsid w:val="136E6D46"/>
    <w:rsid w:val="13EB3FA7"/>
    <w:rsid w:val="140E1E82"/>
    <w:rsid w:val="141B6D9E"/>
    <w:rsid w:val="14200B1E"/>
    <w:rsid w:val="144349CA"/>
    <w:rsid w:val="14496C80"/>
    <w:rsid w:val="147C2760"/>
    <w:rsid w:val="14943C5A"/>
    <w:rsid w:val="15045A5F"/>
    <w:rsid w:val="155E1785"/>
    <w:rsid w:val="15757273"/>
    <w:rsid w:val="15A01A35"/>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D3E38"/>
    <w:rsid w:val="16D67FD2"/>
    <w:rsid w:val="1707638B"/>
    <w:rsid w:val="170D1BE3"/>
    <w:rsid w:val="170F3BE3"/>
    <w:rsid w:val="173D7937"/>
    <w:rsid w:val="177E4F72"/>
    <w:rsid w:val="179363BB"/>
    <w:rsid w:val="17AA5F28"/>
    <w:rsid w:val="1821451A"/>
    <w:rsid w:val="18511400"/>
    <w:rsid w:val="18B72C9A"/>
    <w:rsid w:val="18E35EF3"/>
    <w:rsid w:val="193C385F"/>
    <w:rsid w:val="19632DB3"/>
    <w:rsid w:val="196842EC"/>
    <w:rsid w:val="19914F2C"/>
    <w:rsid w:val="19A625A3"/>
    <w:rsid w:val="19A80E4C"/>
    <w:rsid w:val="19DD2A7D"/>
    <w:rsid w:val="1A134258"/>
    <w:rsid w:val="1A501737"/>
    <w:rsid w:val="1A587B60"/>
    <w:rsid w:val="1A661FA5"/>
    <w:rsid w:val="1A6A1B16"/>
    <w:rsid w:val="1A9236C2"/>
    <w:rsid w:val="1ABC3B1B"/>
    <w:rsid w:val="1AE97737"/>
    <w:rsid w:val="1B0C6C17"/>
    <w:rsid w:val="1B1060FE"/>
    <w:rsid w:val="1B216501"/>
    <w:rsid w:val="1B24060C"/>
    <w:rsid w:val="1B455F02"/>
    <w:rsid w:val="1B682381"/>
    <w:rsid w:val="1BB543B0"/>
    <w:rsid w:val="1BC62263"/>
    <w:rsid w:val="1BD0092E"/>
    <w:rsid w:val="1BD21EF1"/>
    <w:rsid w:val="1C5C4446"/>
    <w:rsid w:val="1C6B0537"/>
    <w:rsid w:val="1C8B444C"/>
    <w:rsid w:val="1C8E0291"/>
    <w:rsid w:val="1C963239"/>
    <w:rsid w:val="1C9706F7"/>
    <w:rsid w:val="1CB27013"/>
    <w:rsid w:val="1D22539B"/>
    <w:rsid w:val="1DAE3F03"/>
    <w:rsid w:val="1DB02674"/>
    <w:rsid w:val="1DF32B31"/>
    <w:rsid w:val="1E1430E7"/>
    <w:rsid w:val="1E3824DF"/>
    <w:rsid w:val="1E5F585E"/>
    <w:rsid w:val="1E73714A"/>
    <w:rsid w:val="1EF54576"/>
    <w:rsid w:val="1F8F1673"/>
    <w:rsid w:val="1FAE7B32"/>
    <w:rsid w:val="1FBC154B"/>
    <w:rsid w:val="1FE750F6"/>
    <w:rsid w:val="1FE872EE"/>
    <w:rsid w:val="1FF73C9F"/>
    <w:rsid w:val="20126D60"/>
    <w:rsid w:val="20252FDD"/>
    <w:rsid w:val="206C0324"/>
    <w:rsid w:val="20902A30"/>
    <w:rsid w:val="2092077A"/>
    <w:rsid w:val="20AE14FE"/>
    <w:rsid w:val="20CB0635"/>
    <w:rsid w:val="210D0C9A"/>
    <w:rsid w:val="211B682B"/>
    <w:rsid w:val="215D225D"/>
    <w:rsid w:val="21CA5426"/>
    <w:rsid w:val="21DA4716"/>
    <w:rsid w:val="21DD17F0"/>
    <w:rsid w:val="21F345B0"/>
    <w:rsid w:val="22483320"/>
    <w:rsid w:val="227E633A"/>
    <w:rsid w:val="22810181"/>
    <w:rsid w:val="22E64F71"/>
    <w:rsid w:val="23387ED6"/>
    <w:rsid w:val="233E161A"/>
    <w:rsid w:val="239D6604"/>
    <w:rsid w:val="239E04F7"/>
    <w:rsid w:val="23BC12D8"/>
    <w:rsid w:val="23C40371"/>
    <w:rsid w:val="24066307"/>
    <w:rsid w:val="240E6C34"/>
    <w:rsid w:val="241A4BC2"/>
    <w:rsid w:val="244D7963"/>
    <w:rsid w:val="244F37F8"/>
    <w:rsid w:val="246508B0"/>
    <w:rsid w:val="24772215"/>
    <w:rsid w:val="248C1C53"/>
    <w:rsid w:val="24B06A21"/>
    <w:rsid w:val="24DC2E97"/>
    <w:rsid w:val="254944BC"/>
    <w:rsid w:val="255C3850"/>
    <w:rsid w:val="256F76F4"/>
    <w:rsid w:val="2573204F"/>
    <w:rsid w:val="257B33B0"/>
    <w:rsid w:val="25907C05"/>
    <w:rsid w:val="25DE1BBE"/>
    <w:rsid w:val="25F637EA"/>
    <w:rsid w:val="25FE49BA"/>
    <w:rsid w:val="266B440B"/>
    <w:rsid w:val="266C581A"/>
    <w:rsid w:val="2674607E"/>
    <w:rsid w:val="2685414B"/>
    <w:rsid w:val="26FE1506"/>
    <w:rsid w:val="273A2C15"/>
    <w:rsid w:val="276E3494"/>
    <w:rsid w:val="27DF69D9"/>
    <w:rsid w:val="280411C2"/>
    <w:rsid w:val="284E0B51"/>
    <w:rsid w:val="28702875"/>
    <w:rsid w:val="28EB0FF7"/>
    <w:rsid w:val="2904719B"/>
    <w:rsid w:val="290731DA"/>
    <w:rsid w:val="290B1084"/>
    <w:rsid w:val="29BF6978"/>
    <w:rsid w:val="29C67916"/>
    <w:rsid w:val="29CE1F49"/>
    <w:rsid w:val="2A82464A"/>
    <w:rsid w:val="2AB84876"/>
    <w:rsid w:val="2ABC7C90"/>
    <w:rsid w:val="2B2161DA"/>
    <w:rsid w:val="2B362A3B"/>
    <w:rsid w:val="2B503DF1"/>
    <w:rsid w:val="2B6B12F3"/>
    <w:rsid w:val="2B9419FC"/>
    <w:rsid w:val="2B9F5B2C"/>
    <w:rsid w:val="2BC01AD4"/>
    <w:rsid w:val="2BDC2B9B"/>
    <w:rsid w:val="2BE1588C"/>
    <w:rsid w:val="2C2C35FC"/>
    <w:rsid w:val="2C2E4ADF"/>
    <w:rsid w:val="2C3F0EDD"/>
    <w:rsid w:val="2C53613E"/>
    <w:rsid w:val="2C8132A3"/>
    <w:rsid w:val="2C825415"/>
    <w:rsid w:val="2C884632"/>
    <w:rsid w:val="2CBF1D70"/>
    <w:rsid w:val="2CD61EB8"/>
    <w:rsid w:val="2CF653D4"/>
    <w:rsid w:val="2D39103A"/>
    <w:rsid w:val="2D397142"/>
    <w:rsid w:val="2D3F6B77"/>
    <w:rsid w:val="2DEE385D"/>
    <w:rsid w:val="2E0A3B00"/>
    <w:rsid w:val="2E6F393B"/>
    <w:rsid w:val="2EA25C4E"/>
    <w:rsid w:val="2EA339A5"/>
    <w:rsid w:val="2ED026DB"/>
    <w:rsid w:val="2EFE6E2D"/>
    <w:rsid w:val="2F383BDA"/>
    <w:rsid w:val="2F417517"/>
    <w:rsid w:val="2F432A1A"/>
    <w:rsid w:val="2F666452"/>
    <w:rsid w:val="2F927DA7"/>
    <w:rsid w:val="2FA8676C"/>
    <w:rsid w:val="2FAA36C3"/>
    <w:rsid w:val="2FDD4C94"/>
    <w:rsid w:val="2FEC390C"/>
    <w:rsid w:val="2FF365A0"/>
    <w:rsid w:val="2FFE78CA"/>
    <w:rsid w:val="3034687E"/>
    <w:rsid w:val="306433FB"/>
    <w:rsid w:val="30923A41"/>
    <w:rsid w:val="30D75B88"/>
    <w:rsid w:val="30DB643E"/>
    <w:rsid w:val="311D5E56"/>
    <w:rsid w:val="31725FA9"/>
    <w:rsid w:val="31792ACF"/>
    <w:rsid w:val="320C3CA9"/>
    <w:rsid w:val="32247147"/>
    <w:rsid w:val="32722318"/>
    <w:rsid w:val="32F72511"/>
    <w:rsid w:val="331362FA"/>
    <w:rsid w:val="332130EA"/>
    <w:rsid w:val="339733AC"/>
    <w:rsid w:val="33BA19FB"/>
    <w:rsid w:val="33D94AF6"/>
    <w:rsid w:val="33E17B56"/>
    <w:rsid w:val="33EF7C18"/>
    <w:rsid w:val="34325900"/>
    <w:rsid w:val="349D297D"/>
    <w:rsid w:val="34AB66CA"/>
    <w:rsid w:val="34C825B7"/>
    <w:rsid w:val="34DB2264"/>
    <w:rsid w:val="34DC19C6"/>
    <w:rsid w:val="35137922"/>
    <w:rsid w:val="356815AA"/>
    <w:rsid w:val="356B2D42"/>
    <w:rsid w:val="35973B37"/>
    <w:rsid w:val="3598340C"/>
    <w:rsid w:val="35B35CCE"/>
    <w:rsid w:val="35BC161A"/>
    <w:rsid w:val="35BD126D"/>
    <w:rsid w:val="35C72C49"/>
    <w:rsid w:val="368045CB"/>
    <w:rsid w:val="368065EA"/>
    <w:rsid w:val="36BC2C27"/>
    <w:rsid w:val="36E7289C"/>
    <w:rsid w:val="372F0468"/>
    <w:rsid w:val="3739565E"/>
    <w:rsid w:val="377232B5"/>
    <w:rsid w:val="379A16BD"/>
    <w:rsid w:val="37BA68FC"/>
    <w:rsid w:val="37C163D1"/>
    <w:rsid w:val="37EA047C"/>
    <w:rsid w:val="37F232A7"/>
    <w:rsid w:val="38305B7D"/>
    <w:rsid w:val="384542BC"/>
    <w:rsid w:val="389A4932"/>
    <w:rsid w:val="389B368F"/>
    <w:rsid w:val="393022D9"/>
    <w:rsid w:val="393B616F"/>
    <w:rsid w:val="394D7A40"/>
    <w:rsid w:val="396347B3"/>
    <w:rsid w:val="39B91941"/>
    <w:rsid w:val="39CD30F0"/>
    <w:rsid w:val="3A013C75"/>
    <w:rsid w:val="3A190FBF"/>
    <w:rsid w:val="3A4C2B89"/>
    <w:rsid w:val="3AA70C32"/>
    <w:rsid w:val="3AC30266"/>
    <w:rsid w:val="3AF065F0"/>
    <w:rsid w:val="3B111C96"/>
    <w:rsid w:val="3B192DA3"/>
    <w:rsid w:val="3B4E70C4"/>
    <w:rsid w:val="3B7B35B3"/>
    <w:rsid w:val="3B830427"/>
    <w:rsid w:val="3B8763FC"/>
    <w:rsid w:val="3C070A0C"/>
    <w:rsid w:val="3C6B45C1"/>
    <w:rsid w:val="3C7341D7"/>
    <w:rsid w:val="3C76700F"/>
    <w:rsid w:val="3C9453DA"/>
    <w:rsid w:val="3C957F32"/>
    <w:rsid w:val="3CDB292A"/>
    <w:rsid w:val="3D741543"/>
    <w:rsid w:val="3D962707"/>
    <w:rsid w:val="3E191DEE"/>
    <w:rsid w:val="3E671936"/>
    <w:rsid w:val="3E780848"/>
    <w:rsid w:val="3F7E0C95"/>
    <w:rsid w:val="3FC3761C"/>
    <w:rsid w:val="3FC962B1"/>
    <w:rsid w:val="401A30F6"/>
    <w:rsid w:val="404B28C3"/>
    <w:rsid w:val="407F60FD"/>
    <w:rsid w:val="40EA6130"/>
    <w:rsid w:val="41004C96"/>
    <w:rsid w:val="4104473A"/>
    <w:rsid w:val="41272213"/>
    <w:rsid w:val="41474664"/>
    <w:rsid w:val="417138A9"/>
    <w:rsid w:val="417C4D58"/>
    <w:rsid w:val="41AF0FFA"/>
    <w:rsid w:val="42216661"/>
    <w:rsid w:val="4247721E"/>
    <w:rsid w:val="427F7570"/>
    <w:rsid w:val="42876CE2"/>
    <w:rsid w:val="430D62CD"/>
    <w:rsid w:val="432F49F0"/>
    <w:rsid w:val="435D4F14"/>
    <w:rsid w:val="43BD1D7C"/>
    <w:rsid w:val="43D57920"/>
    <w:rsid w:val="440856C0"/>
    <w:rsid w:val="4484172B"/>
    <w:rsid w:val="448B0916"/>
    <w:rsid w:val="44B6296D"/>
    <w:rsid w:val="45064FBE"/>
    <w:rsid w:val="457918C4"/>
    <w:rsid w:val="465E4AF7"/>
    <w:rsid w:val="466C691A"/>
    <w:rsid w:val="467F37CC"/>
    <w:rsid w:val="46BF681F"/>
    <w:rsid w:val="46E516DE"/>
    <w:rsid w:val="46F31C44"/>
    <w:rsid w:val="46F70B49"/>
    <w:rsid w:val="47490DD0"/>
    <w:rsid w:val="4773248D"/>
    <w:rsid w:val="478E5BF3"/>
    <w:rsid w:val="479308E9"/>
    <w:rsid w:val="47990A9D"/>
    <w:rsid w:val="479E0D55"/>
    <w:rsid w:val="47AD0F98"/>
    <w:rsid w:val="47C441CA"/>
    <w:rsid w:val="480B761B"/>
    <w:rsid w:val="481B23A6"/>
    <w:rsid w:val="48256D81"/>
    <w:rsid w:val="488028A3"/>
    <w:rsid w:val="488C1EEE"/>
    <w:rsid w:val="488E7F11"/>
    <w:rsid w:val="48C5283C"/>
    <w:rsid w:val="48D34A2F"/>
    <w:rsid w:val="48D57DF0"/>
    <w:rsid w:val="48E41F49"/>
    <w:rsid w:val="48E649AE"/>
    <w:rsid w:val="491F2D26"/>
    <w:rsid w:val="49302DA0"/>
    <w:rsid w:val="493C5CD0"/>
    <w:rsid w:val="49501EAC"/>
    <w:rsid w:val="49B123F5"/>
    <w:rsid w:val="49C12AD9"/>
    <w:rsid w:val="4A275032"/>
    <w:rsid w:val="4A5971B6"/>
    <w:rsid w:val="4A653807"/>
    <w:rsid w:val="4A66196B"/>
    <w:rsid w:val="4A745E79"/>
    <w:rsid w:val="4A827B39"/>
    <w:rsid w:val="4AB56AE2"/>
    <w:rsid w:val="4AD33ADA"/>
    <w:rsid w:val="4AD72235"/>
    <w:rsid w:val="4B7E5E68"/>
    <w:rsid w:val="4BCB5E91"/>
    <w:rsid w:val="4C230C04"/>
    <w:rsid w:val="4C2D26A8"/>
    <w:rsid w:val="4C5C7A55"/>
    <w:rsid w:val="4C793B3F"/>
    <w:rsid w:val="4C7F4CBE"/>
    <w:rsid w:val="4CC36A5F"/>
    <w:rsid w:val="4CE53C23"/>
    <w:rsid w:val="4CF16FE9"/>
    <w:rsid w:val="4D2A47B7"/>
    <w:rsid w:val="4D7009BD"/>
    <w:rsid w:val="4D9C3E67"/>
    <w:rsid w:val="4D9D3A88"/>
    <w:rsid w:val="4DCF0F56"/>
    <w:rsid w:val="4E193FF7"/>
    <w:rsid w:val="4E453CD9"/>
    <w:rsid w:val="4E514C61"/>
    <w:rsid w:val="4E760C3B"/>
    <w:rsid w:val="4E7E733C"/>
    <w:rsid w:val="4EAF104D"/>
    <w:rsid w:val="4ED77988"/>
    <w:rsid w:val="4EF241A3"/>
    <w:rsid w:val="4F0A5E14"/>
    <w:rsid w:val="4F440434"/>
    <w:rsid w:val="4F890607"/>
    <w:rsid w:val="4FC652ED"/>
    <w:rsid w:val="4FF359B6"/>
    <w:rsid w:val="50285660"/>
    <w:rsid w:val="502C5131"/>
    <w:rsid w:val="5060304C"/>
    <w:rsid w:val="506972BF"/>
    <w:rsid w:val="508A58C1"/>
    <w:rsid w:val="50B37E70"/>
    <w:rsid w:val="50EA6DB9"/>
    <w:rsid w:val="51454191"/>
    <w:rsid w:val="51514E61"/>
    <w:rsid w:val="519D1BF6"/>
    <w:rsid w:val="51BC1C05"/>
    <w:rsid w:val="51DD0AE1"/>
    <w:rsid w:val="52625B2B"/>
    <w:rsid w:val="52882CDF"/>
    <w:rsid w:val="529E01D6"/>
    <w:rsid w:val="52BF7966"/>
    <w:rsid w:val="52C27F9B"/>
    <w:rsid w:val="530A0D10"/>
    <w:rsid w:val="53745777"/>
    <w:rsid w:val="537D36C3"/>
    <w:rsid w:val="53BD0749"/>
    <w:rsid w:val="53E83D39"/>
    <w:rsid w:val="53F85BCC"/>
    <w:rsid w:val="543E18F6"/>
    <w:rsid w:val="550F6EFA"/>
    <w:rsid w:val="5583158B"/>
    <w:rsid w:val="55937A20"/>
    <w:rsid w:val="56204B37"/>
    <w:rsid w:val="563441A1"/>
    <w:rsid w:val="565129A9"/>
    <w:rsid w:val="56614D70"/>
    <w:rsid w:val="56C40FAE"/>
    <w:rsid w:val="56D73355"/>
    <w:rsid w:val="56F34E24"/>
    <w:rsid w:val="576215A8"/>
    <w:rsid w:val="578A3156"/>
    <w:rsid w:val="57B40121"/>
    <w:rsid w:val="58145286"/>
    <w:rsid w:val="582B57B9"/>
    <w:rsid w:val="582F2AD7"/>
    <w:rsid w:val="584410E0"/>
    <w:rsid w:val="5863030F"/>
    <w:rsid w:val="592D105D"/>
    <w:rsid w:val="593212FE"/>
    <w:rsid w:val="59747B68"/>
    <w:rsid w:val="59793D78"/>
    <w:rsid w:val="59821302"/>
    <w:rsid w:val="598F1F6F"/>
    <w:rsid w:val="59A41FA0"/>
    <w:rsid w:val="5A6574B1"/>
    <w:rsid w:val="5A680661"/>
    <w:rsid w:val="5A9552DA"/>
    <w:rsid w:val="5AA1001F"/>
    <w:rsid w:val="5AA4622B"/>
    <w:rsid w:val="5ABA1C31"/>
    <w:rsid w:val="5B155164"/>
    <w:rsid w:val="5B4812AC"/>
    <w:rsid w:val="5B81213C"/>
    <w:rsid w:val="5BA26C70"/>
    <w:rsid w:val="5BE73454"/>
    <w:rsid w:val="5C425CFC"/>
    <w:rsid w:val="5C665539"/>
    <w:rsid w:val="5CFF708F"/>
    <w:rsid w:val="5D4B2D1B"/>
    <w:rsid w:val="5D5757D7"/>
    <w:rsid w:val="5D892330"/>
    <w:rsid w:val="5D9C5497"/>
    <w:rsid w:val="5DFF19E2"/>
    <w:rsid w:val="5EB01642"/>
    <w:rsid w:val="5ED115B9"/>
    <w:rsid w:val="5EF86F14"/>
    <w:rsid w:val="5F0B2CFC"/>
    <w:rsid w:val="5F131BD1"/>
    <w:rsid w:val="5F3F29C6"/>
    <w:rsid w:val="5F3F6C61"/>
    <w:rsid w:val="5F506981"/>
    <w:rsid w:val="5F586842"/>
    <w:rsid w:val="5F610B8F"/>
    <w:rsid w:val="5F8900CD"/>
    <w:rsid w:val="5F9E7C73"/>
    <w:rsid w:val="5FBB029F"/>
    <w:rsid w:val="5FD72FD7"/>
    <w:rsid w:val="600227CA"/>
    <w:rsid w:val="60305ACE"/>
    <w:rsid w:val="6048342C"/>
    <w:rsid w:val="6054524C"/>
    <w:rsid w:val="606409DB"/>
    <w:rsid w:val="609B47A1"/>
    <w:rsid w:val="61077514"/>
    <w:rsid w:val="610B7637"/>
    <w:rsid w:val="611A0EA3"/>
    <w:rsid w:val="61247BC4"/>
    <w:rsid w:val="612620F2"/>
    <w:rsid w:val="61396F21"/>
    <w:rsid w:val="61563D8A"/>
    <w:rsid w:val="61675A89"/>
    <w:rsid w:val="61E437AA"/>
    <w:rsid w:val="61F538FF"/>
    <w:rsid w:val="62066A55"/>
    <w:rsid w:val="621719D8"/>
    <w:rsid w:val="6241427D"/>
    <w:rsid w:val="62554D62"/>
    <w:rsid w:val="62935A59"/>
    <w:rsid w:val="62CF4061"/>
    <w:rsid w:val="62E47B0C"/>
    <w:rsid w:val="632E7709"/>
    <w:rsid w:val="63B5357F"/>
    <w:rsid w:val="63BD1004"/>
    <w:rsid w:val="63CD15D5"/>
    <w:rsid w:val="63D47B81"/>
    <w:rsid w:val="643207A1"/>
    <w:rsid w:val="6455767C"/>
    <w:rsid w:val="64994927"/>
    <w:rsid w:val="64C00216"/>
    <w:rsid w:val="64C014F5"/>
    <w:rsid w:val="64CC53EB"/>
    <w:rsid w:val="65033C7C"/>
    <w:rsid w:val="65187A69"/>
    <w:rsid w:val="6545060B"/>
    <w:rsid w:val="65966727"/>
    <w:rsid w:val="659B47BF"/>
    <w:rsid w:val="659E2FB2"/>
    <w:rsid w:val="65D06126"/>
    <w:rsid w:val="65E36256"/>
    <w:rsid w:val="66007D67"/>
    <w:rsid w:val="66291CDA"/>
    <w:rsid w:val="663E0B6F"/>
    <w:rsid w:val="66500DEB"/>
    <w:rsid w:val="66795D12"/>
    <w:rsid w:val="66B544EF"/>
    <w:rsid w:val="66F71181"/>
    <w:rsid w:val="67466C30"/>
    <w:rsid w:val="6747041E"/>
    <w:rsid w:val="67566AFF"/>
    <w:rsid w:val="675B2A2A"/>
    <w:rsid w:val="67654F94"/>
    <w:rsid w:val="67E542AD"/>
    <w:rsid w:val="67E62A51"/>
    <w:rsid w:val="68120C78"/>
    <w:rsid w:val="681E4308"/>
    <w:rsid w:val="68272865"/>
    <w:rsid w:val="6838670D"/>
    <w:rsid w:val="68757459"/>
    <w:rsid w:val="687E0D52"/>
    <w:rsid w:val="68816686"/>
    <w:rsid w:val="68834BBC"/>
    <w:rsid w:val="68883F0D"/>
    <w:rsid w:val="68C301C4"/>
    <w:rsid w:val="68D128E1"/>
    <w:rsid w:val="68E25001"/>
    <w:rsid w:val="690E1BE8"/>
    <w:rsid w:val="69161412"/>
    <w:rsid w:val="699904A8"/>
    <w:rsid w:val="69B75B4F"/>
    <w:rsid w:val="69CC4101"/>
    <w:rsid w:val="69D12FAB"/>
    <w:rsid w:val="6A116821"/>
    <w:rsid w:val="6A580EEF"/>
    <w:rsid w:val="6A90057A"/>
    <w:rsid w:val="6AB86E1B"/>
    <w:rsid w:val="6AC33B77"/>
    <w:rsid w:val="6AFB6BAE"/>
    <w:rsid w:val="6B350A62"/>
    <w:rsid w:val="6B715421"/>
    <w:rsid w:val="6BA45D7F"/>
    <w:rsid w:val="6BEF30F6"/>
    <w:rsid w:val="6BFD4457"/>
    <w:rsid w:val="6C1665F5"/>
    <w:rsid w:val="6C3E05AE"/>
    <w:rsid w:val="6C44161C"/>
    <w:rsid w:val="6C4E3430"/>
    <w:rsid w:val="6CA01AC4"/>
    <w:rsid w:val="6CC20C29"/>
    <w:rsid w:val="6CCB1BC5"/>
    <w:rsid w:val="6CD646CF"/>
    <w:rsid w:val="6CF92FE3"/>
    <w:rsid w:val="6D245E19"/>
    <w:rsid w:val="6D8B7FE5"/>
    <w:rsid w:val="6DC42A14"/>
    <w:rsid w:val="6DE5298B"/>
    <w:rsid w:val="6DF20A14"/>
    <w:rsid w:val="6DF258F4"/>
    <w:rsid w:val="6E1F58A5"/>
    <w:rsid w:val="6E425AE3"/>
    <w:rsid w:val="6E6955A2"/>
    <w:rsid w:val="6E827A5B"/>
    <w:rsid w:val="6EAD4B62"/>
    <w:rsid w:val="6EBB192F"/>
    <w:rsid w:val="6F101C89"/>
    <w:rsid w:val="6F134BAA"/>
    <w:rsid w:val="6F231519"/>
    <w:rsid w:val="6F5E706E"/>
    <w:rsid w:val="6F6E713D"/>
    <w:rsid w:val="6FA37B33"/>
    <w:rsid w:val="6FB645DF"/>
    <w:rsid w:val="6FC55912"/>
    <w:rsid w:val="6FF75C84"/>
    <w:rsid w:val="703E7787"/>
    <w:rsid w:val="70697080"/>
    <w:rsid w:val="709829C9"/>
    <w:rsid w:val="70AC019F"/>
    <w:rsid w:val="70C42D2B"/>
    <w:rsid w:val="71464106"/>
    <w:rsid w:val="716436FE"/>
    <w:rsid w:val="716C6225"/>
    <w:rsid w:val="716E0821"/>
    <w:rsid w:val="719721EE"/>
    <w:rsid w:val="71A52970"/>
    <w:rsid w:val="720362B3"/>
    <w:rsid w:val="721970A7"/>
    <w:rsid w:val="72247DA8"/>
    <w:rsid w:val="727F5809"/>
    <w:rsid w:val="72C909D3"/>
    <w:rsid w:val="72D36A71"/>
    <w:rsid w:val="72EF558F"/>
    <w:rsid w:val="73233B9B"/>
    <w:rsid w:val="73293BFC"/>
    <w:rsid w:val="732D5122"/>
    <w:rsid w:val="739A2A7A"/>
    <w:rsid w:val="73AB483C"/>
    <w:rsid w:val="73D62817"/>
    <w:rsid w:val="73DB0AB8"/>
    <w:rsid w:val="74045E4A"/>
    <w:rsid w:val="7445564D"/>
    <w:rsid w:val="744A753D"/>
    <w:rsid w:val="745315CA"/>
    <w:rsid w:val="745E36D6"/>
    <w:rsid w:val="7504558C"/>
    <w:rsid w:val="75225F8C"/>
    <w:rsid w:val="75546F0E"/>
    <w:rsid w:val="757403BC"/>
    <w:rsid w:val="75761242"/>
    <w:rsid w:val="75943B6B"/>
    <w:rsid w:val="76393286"/>
    <w:rsid w:val="767979DF"/>
    <w:rsid w:val="7687286F"/>
    <w:rsid w:val="76F55C40"/>
    <w:rsid w:val="77130569"/>
    <w:rsid w:val="773D2DAD"/>
    <w:rsid w:val="77E67B45"/>
    <w:rsid w:val="78390ED2"/>
    <w:rsid w:val="783E61D3"/>
    <w:rsid w:val="787130F8"/>
    <w:rsid w:val="788071FB"/>
    <w:rsid w:val="78833532"/>
    <w:rsid w:val="78B8489E"/>
    <w:rsid w:val="78BD69DE"/>
    <w:rsid w:val="79023C15"/>
    <w:rsid w:val="7914333F"/>
    <w:rsid w:val="793677EC"/>
    <w:rsid w:val="7939786F"/>
    <w:rsid w:val="794D0F04"/>
    <w:rsid w:val="7956519B"/>
    <w:rsid w:val="79661644"/>
    <w:rsid w:val="796E1A86"/>
    <w:rsid w:val="79815763"/>
    <w:rsid w:val="79990A0D"/>
    <w:rsid w:val="79FF4E7B"/>
    <w:rsid w:val="7A0027B8"/>
    <w:rsid w:val="7A1E0C67"/>
    <w:rsid w:val="7A2D742D"/>
    <w:rsid w:val="7A351AB3"/>
    <w:rsid w:val="7A6A7A61"/>
    <w:rsid w:val="7A7A445B"/>
    <w:rsid w:val="7B44371A"/>
    <w:rsid w:val="7B5937C2"/>
    <w:rsid w:val="7B6A44CF"/>
    <w:rsid w:val="7B8C2698"/>
    <w:rsid w:val="7C1B7D45"/>
    <w:rsid w:val="7C8C4263"/>
    <w:rsid w:val="7C907E45"/>
    <w:rsid w:val="7CA1103B"/>
    <w:rsid w:val="7CFC5110"/>
    <w:rsid w:val="7D0D3028"/>
    <w:rsid w:val="7D2C6D65"/>
    <w:rsid w:val="7D326253"/>
    <w:rsid w:val="7D494637"/>
    <w:rsid w:val="7D6F41B7"/>
    <w:rsid w:val="7D7A4E2B"/>
    <w:rsid w:val="7DB35B9C"/>
    <w:rsid w:val="7DC04683"/>
    <w:rsid w:val="7DE47E14"/>
    <w:rsid w:val="7DE62533"/>
    <w:rsid w:val="7E140867"/>
    <w:rsid w:val="7E176B90"/>
    <w:rsid w:val="7E4B4A8C"/>
    <w:rsid w:val="7E4E6457"/>
    <w:rsid w:val="7E501A9F"/>
    <w:rsid w:val="7E9D320C"/>
    <w:rsid w:val="7EA472AB"/>
    <w:rsid w:val="7ED71E7C"/>
    <w:rsid w:val="7F210094"/>
    <w:rsid w:val="7F2E617B"/>
    <w:rsid w:val="7F664991"/>
    <w:rsid w:val="7F736048"/>
    <w:rsid w:val="7F911B24"/>
    <w:rsid w:val="7F9C2BB9"/>
    <w:rsid w:val="7F9D0D00"/>
    <w:rsid w:val="7FA514BB"/>
    <w:rsid w:val="7FB528C3"/>
    <w:rsid w:val="7FD0218B"/>
    <w:rsid w:val="7FFB6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11226</Words>
  <Characters>13719</Characters>
  <Lines>0</Lines>
  <Paragraphs>0</Paragraphs>
  <TotalTime>42</TotalTime>
  <ScaleCrop>false</ScaleCrop>
  <LinksUpToDate>false</LinksUpToDate>
  <CharactersWithSpaces>14417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2026-05-19T17:04:01Z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