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w:t>
          </w:r>
          <w:r>
            <w:rPr>
              <w:rFonts w:hint="eastAsia" w:eastAsia="仿宋" w:cs="Times New Roman"/>
              <w:bCs/>
              <w:sz w:val="24"/>
              <w:szCs w:val="16"/>
              <w:lang w:val="en-US" w:eastAsia="zh-CN"/>
            </w:rPr>
            <w:t>及</w:t>
          </w:r>
          <w:r>
            <w:rPr>
              <w:rFonts w:hint="eastAsia" w:ascii="Times New Roman" w:hAnsi="Times New Roman" w:eastAsia="仿宋" w:cs="Times New Roman"/>
              <w:bCs/>
              <w:sz w:val="24"/>
              <w:szCs w:val="16"/>
              <w:lang w:val="en-US" w:eastAsia="zh-CN"/>
            </w:rPr>
            <w:t>墙面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148.65万元，厂房建筑面积达864平方米，劳动人员数量为26人，每年生产1000吨蓝莓酸奶的总成本是1547.945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14.865 million yuan, the factory bu</w:t>
      </w:r>
      <w:bookmarkStart w:id="109" w:name="_GoBack"/>
      <w:bookmarkEnd w:id="109"/>
      <w:r>
        <w:rPr>
          <w:rFonts w:hint="eastAsia" w:eastAsia="黑体"/>
          <w:sz w:val="24"/>
          <w:szCs w:val="24"/>
          <w:lang w:val="en-US" w:eastAsia="zh-CN"/>
        </w:rPr>
        <w:t>ilding area is 864 square meters, and the workforce consists of 26 people. The total annual production cost for 1,000 tons of blueberry yogurt is 1547.945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17326"/>
      <w:bookmarkStart w:id="1" w:name="_Toc7053"/>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19850"/>
      <w:bookmarkStart w:id="10" w:name="_Toc7582"/>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w:t>
      </w:r>
      <w:r>
        <w:rPr>
          <w:rFonts w:hint="eastAsia" w:cs="Times New Roman"/>
          <w:b w:val="0"/>
          <w:bCs w:val="0"/>
          <w:color w:val="000000" w:themeColor="text1"/>
          <w:sz w:val="24"/>
          <w:szCs w:val="24"/>
          <w:lang w:val="en-US" w:eastAsia="zh-CN"/>
          <w14:textFill>
            <w14:solidFill>
              <w14:schemeClr w14:val="tx1"/>
            </w14:solidFill>
          </w14:textFill>
        </w:rPr>
        <w:t>车间选址</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确定在贵州省的省级食品工业园区之中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6CB8E7AF">
      <w:pPr>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br w:type="page"/>
      </w:r>
    </w:p>
    <w:p w14:paraId="72468BDC">
      <w:pPr>
        <w:pStyle w:val="3"/>
        <w:keepNext/>
        <w:keepLines w:val="0"/>
        <w:pageBreakBefore w:val="0"/>
        <w:widowControl/>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val="0"/>
        <w:pageBreakBefore w:val="0"/>
        <w:widowControl/>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307"/>
      <w:bookmarkStart w:id="17" w:name="_Toc168404169"/>
    </w:p>
    <w:p w14:paraId="0E166E1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sz w:val="21"/>
          <w:szCs w:val="21"/>
        </w:rPr>
        <w:drawing>
          <wp:anchor distT="0" distB="0" distL="114300" distR="114300" simplePos="0" relativeHeight="251663360" behindDoc="0" locked="0" layoutInCell="1" allowOverlap="1">
            <wp:simplePos x="0" y="0"/>
            <wp:positionH relativeFrom="margin">
              <wp:posOffset>0</wp:posOffset>
            </wp:positionH>
            <wp:positionV relativeFrom="paragraph">
              <wp:posOffset>76200</wp:posOffset>
            </wp:positionV>
            <wp:extent cx="5577205" cy="1605915"/>
            <wp:effectExtent l="0" t="0" r="635" b="9525"/>
            <wp:wrapTopAndBottom/>
            <wp:docPr id="7" name="图片 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1"/>
                    <pic:cNvPicPr>
                      <a:picLocks noChangeAspect="1"/>
                    </pic:cNvPicPr>
                  </pic:nvPicPr>
                  <pic:blipFill>
                    <a:blip r:embed="rId10"/>
                    <a:stretch>
                      <a:fillRect/>
                    </a:stretch>
                  </pic:blipFill>
                  <pic:spPr>
                    <a:xfrm>
                      <a:off x="0" y="0"/>
                      <a:ext cx="5577205" cy="1605915"/>
                    </a:xfrm>
                    <a:prstGeom prst="rect">
                      <a:avLst/>
                    </a:prstGeom>
                  </pic:spPr>
                </pic:pic>
              </a:graphicData>
            </a:graphic>
          </wp:anchor>
        </w:drawing>
      </w: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cs="宋体"/>
          <w:b w:val="0"/>
          <w:color w:val="000000" w:themeColor="text1"/>
          <w:sz w:val="24"/>
          <w:szCs w:val="24"/>
          <w:vertAlign w:val="superscript"/>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2915</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2886</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2842</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2930</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879</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keepNext w:val="0"/>
        <w:keepLines w:val="0"/>
        <w:pageBreakBefore w:val="0"/>
        <w:widowControl w:val="0"/>
        <w:kinsoku/>
        <w:wordWrap/>
        <w:overflowPunct/>
        <w:topLinePunct w:val="0"/>
        <w:autoSpaceDE/>
        <w:autoSpaceDN/>
        <w:bidi w:val="0"/>
        <w:adjustRightInd/>
        <w:snapToGrid/>
        <w:spacing w:line="360" w:lineRule="exact"/>
        <w:ind w:firstLine="480" w:firstLineChars="200"/>
        <w:textAlignment w:val="auto"/>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0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479"/>
        <w:gridCol w:w="126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atLeast"/>
          <w:jc w:val="center"/>
        </w:trPr>
        <w:tc>
          <w:tcPr>
            <w:tcW w:w="1657" w:type="dxa"/>
            <w:tcBorders>
              <w:top w:val="single" w:color="auto" w:sz="12" w:space="0"/>
              <w:bottom w:val="single" w:color="auto" w:sz="4" w:space="0"/>
            </w:tcBorders>
            <w:vAlign w:val="center"/>
          </w:tcPr>
          <w:p w14:paraId="7CC212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设备名称</w:t>
            </w:r>
          </w:p>
        </w:tc>
        <w:tc>
          <w:tcPr>
            <w:tcW w:w="1479" w:type="dxa"/>
            <w:tcBorders>
              <w:top w:val="single" w:color="auto" w:sz="12" w:space="0"/>
              <w:bottom w:val="single" w:color="auto" w:sz="4" w:space="0"/>
            </w:tcBorders>
            <w:vAlign w:val="center"/>
          </w:tcPr>
          <w:p w14:paraId="3C40706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仪器型号</w:t>
            </w:r>
          </w:p>
        </w:tc>
        <w:tc>
          <w:tcPr>
            <w:tcW w:w="1263" w:type="dxa"/>
            <w:tcBorders>
              <w:top w:val="single" w:color="auto" w:sz="12" w:space="0"/>
              <w:bottom w:val="single" w:color="auto" w:sz="4" w:space="0"/>
            </w:tcBorders>
            <w:vAlign w:val="center"/>
          </w:tcPr>
          <w:p w14:paraId="0F2556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功</w:t>
            </w:r>
            <w:r>
              <w:rPr>
                <w:rFonts w:hint="eastAsia"/>
                <w:sz w:val="21"/>
                <w:szCs w:val="21"/>
                <w:lang w:val="en-US" w:eastAsia="zh-CN"/>
              </w:rPr>
              <w:t>率</w:t>
            </w:r>
            <w:r>
              <w:rPr>
                <w:sz w:val="21"/>
                <w:szCs w:val="21"/>
              </w:rPr>
              <w:t>(</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6D30E41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szCs w:val="21"/>
                <w:lang w:eastAsia="zh-CN"/>
              </w:rPr>
            </w:pPr>
            <w:r>
              <w:rPr>
                <w:rFonts w:hint="eastAsia"/>
                <w:sz w:val="21"/>
                <w:szCs w:val="21"/>
              </w:rPr>
              <w:t>产量</w:t>
            </w:r>
            <w:r>
              <w:rPr>
                <w:rFonts w:hint="eastAsia"/>
                <w:sz w:val="21"/>
                <w:szCs w:val="21"/>
                <w:lang w:val="en-US" w:eastAsia="zh-CN"/>
              </w:rPr>
              <w:t>(</w:t>
            </w:r>
            <w:r>
              <w:rPr>
                <w:rFonts w:hint="eastAsia"/>
                <w:sz w:val="21"/>
                <w:szCs w:val="21"/>
              </w:rPr>
              <w:t>t/h</w:t>
            </w:r>
            <w:r>
              <w:rPr>
                <w:rFonts w:hint="eastAsia"/>
                <w:sz w:val="21"/>
                <w:szCs w:val="21"/>
                <w:lang w:val="en-US" w:eastAsia="zh-CN"/>
              </w:rPr>
              <w:t>)</w:t>
            </w:r>
          </w:p>
        </w:tc>
        <w:tc>
          <w:tcPr>
            <w:tcW w:w="1074" w:type="dxa"/>
            <w:tcBorders>
              <w:top w:val="single" w:color="auto" w:sz="12" w:space="0"/>
              <w:bottom w:val="single" w:color="auto" w:sz="4" w:space="0"/>
            </w:tcBorders>
            <w:vAlign w:val="center"/>
          </w:tcPr>
          <w:p w14:paraId="07AC25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65D3431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color w:val="C00000"/>
                <w:sz w:val="21"/>
                <w:szCs w:val="21"/>
              </w:rPr>
            </w:pPr>
            <w:r>
              <w:rPr>
                <w:rFonts w:hint="eastAsia"/>
                <w:sz w:val="21"/>
                <w:szCs w:val="21"/>
              </w:rPr>
              <w:t>单价(万)</w:t>
            </w:r>
          </w:p>
        </w:tc>
        <w:tc>
          <w:tcPr>
            <w:tcW w:w="1145" w:type="dxa"/>
            <w:tcBorders>
              <w:top w:val="single" w:color="auto" w:sz="12" w:space="0"/>
              <w:bottom w:val="single" w:color="auto" w:sz="4" w:space="0"/>
            </w:tcBorders>
            <w:vAlign w:val="center"/>
          </w:tcPr>
          <w:p w14:paraId="47D7563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color w:val="C00000"/>
                <w:sz w:val="21"/>
                <w:szCs w:val="21"/>
              </w:rPr>
            </w:pPr>
            <w:r>
              <w:rPr>
                <w:rFonts w:hint="eastAsia"/>
                <w:sz w:val="21"/>
                <w:szCs w:val="21"/>
              </w:rPr>
              <w:t>总价(万)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bottom w:val="nil"/>
              <w:right w:val="nil"/>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479" w:type="dxa"/>
            <w:tcBorders>
              <w:top w:val="single" w:color="auto" w:sz="4" w:space="0"/>
              <w:left w:val="nil"/>
              <w:bottom w:val="nil"/>
              <w:right w:val="nil"/>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263" w:type="dxa"/>
            <w:tcBorders>
              <w:top w:val="single" w:color="auto" w:sz="4" w:space="0"/>
              <w:left w:val="nil"/>
              <w:bottom w:val="nil"/>
              <w:right w:val="nil"/>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left w:val="nil"/>
              <w:bottom w:val="nil"/>
              <w:right w:val="nil"/>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left w:val="nil"/>
              <w:bottom w:val="nil"/>
              <w:right w:val="nil"/>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left w:val="nil"/>
              <w:bottom w:val="nil"/>
              <w:right w:val="nil"/>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left w:val="nil"/>
              <w:bottom w:val="nil"/>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4B999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nil"/>
              <w:bottom w:val="nil"/>
              <w:right w:val="nil"/>
            </w:tcBorders>
            <w:vAlign w:val="center"/>
          </w:tcPr>
          <w:p w14:paraId="3486080E">
            <w:pPr>
              <w:spacing w:line="400" w:lineRule="exact"/>
              <w:jc w:val="center"/>
              <w:rPr>
                <w:rFonts w:hint="default"/>
                <w:color w:val="000000"/>
                <w:sz w:val="21"/>
                <w:szCs w:val="21"/>
                <w:lang w:val="en-US" w:eastAsia="zh-CN"/>
              </w:rPr>
            </w:pPr>
            <w:r>
              <w:rPr>
                <w:rFonts w:hint="eastAsia"/>
                <w:color w:val="000000"/>
                <w:sz w:val="21"/>
                <w:szCs w:val="21"/>
                <w:lang w:val="en-US" w:eastAsia="zh-CN"/>
              </w:rPr>
              <w:t>离心净乳机</w:t>
            </w:r>
          </w:p>
        </w:tc>
        <w:tc>
          <w:tcPr>
            <w:tcW w:w="1479" w:type="dxa"/>
            <w:tcBorders>
              <w:top w:val="nil"/>
              <w:left w:val="nil"/>
              <w:bottom w:val="nil"/>
              <w:right w:val="nil"/>
            </w:tcBorders>
            <w:vAlign w:val="center"/>
          </w:tcPr>
          <w:p w14:paraId="0872AD77">
            <w:pPr>
              <w:spacing w:line="400" w:lineRule="exact"/>
              <w:jc w:val="center"/>
              <w:rPr>
                <w:rFonts w:hint="default"/>
                <w:color w:val="000000"/>
                <w:sz w:val="21"/>
                <w:szCs w:val="21"/>
                <w:lang w:val="en-US" w:eastAsia="zh-CN"/>
              </w:rPr>
            </w:pPr>
            <w:r>
              <w:rPr>
                <w:rFonts w:hint="eastAsia"/>
                <w:color w:val="000000"/>
                <w:sz w:val="21"/>
                <w:szCs w:val="21"/>
                <w:lang w:val="en-US" w:eastAsia="zh-CN"/>
              </w:rPr>
              <w:t>MRJ-5000</w:t>
            </w:r>
          </w:p>
        </w:tc>
        <w:tc>
          <w:tcPr>
            <w:tcW w:w="1263" w:type="dxa"/>
            <w:tcBorders>
              <w:top w:val="nil"/>
              <w:left w:val="nil"/>
              <w:bottom w:val="nil"/>
              <w:right w:val="nil"/>
            </w:tcBorders>
            <w:vAlign w:val="center"/>
          </w:tcPr>
          <w:p w14:paraId="5D499EA5">
            <w:pPr>
              <w:spacing w:line="400" w:lineRule="exact"/>
              <w:jc w:val="center"/>
              <w:rPr>
                <w:rFonts w:hint="default"/>
                <w:color w:val="000000"/>
                <w:sz w:val="21"/>
                <w:szCs w:val="21"/>
                <w:lang w:val="en-US" w:eastAsia="zh-CN"/>
              </w:rPr>
            </w:pPr>
            <w:r>
              <w:rPr>
                <w:rFonts w:hint="eastAsia"/>
                <w:color w:val="000000"/>
                <w:sz w:val="21"/>
                <w:szCs w:val="21"/>
                <w:lang w:val="en-US" w:eastAsia="zh-CN"/>
              </w:rPr>
              <w:t>11.0</w:t>
            </w:r>
          </w:p>
        </w:tc>
        <w:tc>
          <w:tcPr>
            <w:tcW w:w="1243" w:type="dxa"/>
            <w:tcBorders>
              <w:top w:val="nil"/>
              <w:left w:val="nil"/>
              <w:bottom w:val="nil"/>
              <w:right w:val="nil"/>
            </w:tcBorders>
            <w:vAlign w:val="center"/>
          </w:tcPr>
          <w:p w14:paraId="30F08E73">
            <w:pPr>
              <w:spacing w:line="400" w:lineRule="exact"/>
              <w:jc w:val="center"/>
              <w:rPr>
                <w:rFonts w:hint="default"/>
                <w:color w:val="000000"/>
                <w:sz w:val="21"/>
                <w:szCs w:val="21"/>
                <w:lang w:val="en-US" w:eastAsia="zh-CN"/>
              </w:rPr>
            </w:pPr>
            <w:r>
              <w:rPr>
                <w:rFonts w:hint="eastAsia"/>
                <w:color w:val="000000"/>
                <w:sz w:val="21"/>
                <w:szCs w:val="21"/>
                <w:lang w:val="en-US" w:eastAsia="zh-CN"/>
              </w:rPr>
              <w:t>5t/h</w:t>
            </w:r>
          </w:p>
        </w:tc>
        <w:tc>
          <w:tcPr>
            <w:tcW w:w="1074" w:type="dxa"/>
            <w:tcBorders>
              <w:top w:val="nil"/>
              <w:left w:val="nil"/>
              <w:bottom w:val="nil"/>
              <w:right w:val="nil"/>
            </w:tcBorders>
            <w:vAlign w:val="center"/>
          </w:tcPr>
          <w:p w14:paraId="728A8B52">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tcBorders>
              <w:top w:val="nil"/>
              <w:left w:val="nil"/>
              <w:bottom w:val="nil"/>
              <w:right w:val="nil"/>
            </w:tcBorders>
            <w:vAlign w:val="center"/>
          </w:tcPr>
          <w:p w14:paraId="06C48F4A">
            <w:pPr>
              <w:spacing w:line="400" w:lineRule="exact"/>
              <w:jc w:val="center"/>
              <w:rPr>
                <w:rFonts w:hint="default"/>
                <w:color w:val="000000"/>
                <w:sz w:val="21"/>
                <w:szCs w:val="21"/>
                <w:lang w:val="en-US" w:eastAsia="zh-CN"/>
              </w:rPr>
            </w:pPr>
            <w:r>
              <w:rPr>
                <w:rFonts w:hint="eastAsia"/>
                <w:color w:val="000000"/>
                <w:sz w:val="21"/>
                <w:szCs w:val="21"/>
                <w:lang w:val="en-US" w:eastAsia="zh-CN"/>
              </w:rPr>
              <w:t>8.0</w:t>
            </w:r>
          </w:p>
        </w:tc>
        <w:tc>
          <w:tcPr>
            <w:tcW w:w="1145" w:type="dxa"/>
            <w:tcBorders>
              <w:top w:val="nil"/>
              <w:left w:val="nil"/>
              <w:bottom w:val="nil"/>
            </w:tcBorders>
            <w:vAlign w:val="center"/>
          </w:tcPr>
          <w:p w14:paraId="6A1FF838">
            <w:pPr>
              <w:spacing w:line="400" w:lineRule="exact"/>
              <w:jc w:val="center"/>
              <w:rPr>
                <w:rFonts w:hint="default"/>
                <w:color w:val="000000"/>
                <w:sz w:val="21"/>
                <w:szCs w:val="21"/>
                <w:lang w:val="en-US" w:eastAsia="zh-CN"/>
              </w:rPr>
            </w:pPr>
            <w:r>
              <w:rPr>
                <w:rFonts w:hint="eastAsia"/>
                <w:color w:val="000000"/>
                <w:sz w:val="21"/>
                <w:szCs w:val="21"/>
                <w:lang w:val="en-US" w:eastAsia="zh-CN"/>
              </w:rPr>
              <w:t>8.0</w:t>
            </w:r>
          </w:p>
        </w:tc>
      </w:tr>
      <w:tr w14:paraId="0E8F5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nil"/>
            </w:tcBorders>
            <w:vAlign w:val="center"/>
          </w:tcPr>
          <w:p w14:paraId="3F57B587">
            <w:pPr>
              <w:spacing w:line="400" w:lineRule="exact"/>
              <w:jc w:val="center"/>
              <w:rPr>
                <w:rFonts w:hint="default"/>
                <w:color w:val="000000"/>
                <w:sz w:val="21"/>
                <w:szCs w:val="21"/>
                <w:lang w:val="en-US" w:eastAsia="zh-CN"/>
              </w:rPr>
            </w:pPr>
            <w:r>
              <w:rPr>
                <w:rFonts w:hint="eastAsia"/>
                <w:color w:val="000000"/>
                <w:sz w:val="21"/>
                <w:szCs w:val="21"/>
                <w:lang w:val="en-US" w:eastAsia="zh-CN"/>
              </w:rPr>
              <w:t>标准化配料罐</w:t>
            </w:r>
          </w:p>
        </w:tc>
        <w:tc>
          <w:tcPr>
            <w:tcW w:w="1479" w:type="dxa"/>
            <w:tcBorders>
              <w:top w:val="nil"/>
            </w:tcBorders>
            <w:vAlign w:val="center"/>
          </w:tcPr>
          <w:p w14:paraId="359D75D9">
            <w:pPr>
              <w:spacing w:line="400" w:lineRule="exact"/>
              <w:jc w:val="center"/>
              <w:rPr>
                <w:rFonts w:hint="default"/>
                <w:color w:val="000000"/>
                <w:sz w:val="21"/>
                <w:szCs w:val="21"/>
                <w:lang w:val="en-US" w:eastAsia="zh-CN"/>
              </w:rPr>
            </w:pPr>
            <w:r>
              <w:rPr>
                <w:rFonts w:hint="eastAsia"/>
                <w:color w:val="000000"/>
                <w:sz w:val="21"/>
                <w:szCs w:val="21"/>
                <w:lang w:val="en-US" w:eastAsia="zh-CN"/>
              </w:rPr>
              <w:t>BZP-3</w:t>
            </w:r>
          </w:p>
        </w:tc>
        <w:tc>
          <w:tcPr>
            <w:tcW w:w="1263" w:type="dxa"/>
            <w:tcBorders>
              <w:top w:val="nil"/>
            </w:tcBorders>
            <w:vAlign w:val="center"/>
          </w:tcPr>
          <w:p w14:paraId="19A93872">
            <w:pPr>
              <w:spacing w:line="400" w:lineRule="exact"/>
              <w:jc w:val="center"/>
              <w:rPr>
                <w:rFonts w:hint="default"/>
                <w:color w:val="000000"/>
                <w:sz w:val="21"/>
                <w:szCs w:val="21"/>
                <w:lang w:val="en-US" w:eastAsia="zh-CN"/>
              </w:rPr>
            </w:pPr>
            <w:r>
              <w:rPr>
                <w:rFonts w:hint="eastAsia"/>
                <w:color w:val="000000"/>
                <w:sz w:val="21"/>
                <w:szCs w:val="21"/>
                <w:lang w:val="en-US" w:eastAsia="zh-CN"/>
              </w:rPr>
              <w:t>3.0</w:t>
            </w:r>
          </w:p>
        </w:tc>
        <w:tc>
          <w:tcPr>
            <w:tcW w:w="1243" w:type="dxa"/>
            <w:tcBorders>
              <w:top w:val="nil"/>
            </w:tcBorders>
            <w:vAlign w:val="center"/>
          </w:tcPr>
          <w:p w14:paraId="437288DF">
            <w:pPr>
              <w:spacing w:line="400" w:lineRule="exact"/>
              <w:jc w:val="center"/>
              <w:rPr>
                <w:rFonts w:hint="default"/>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tcBorders>
              <w:top w:val="nil"/>
            </w:tcBorders>
            <w:vAlign w:val="center"/>
          </w:tcPr>
          <w:p w14:paraId="58117CBF">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tcBorders>
              <w:top w:val="nil"/>
            </w:tcBorders>
            <w:vAlign w:val="center"/>
          </w:tcPr>
          <w:p w14:paraId="0C7683C8">
            <w:pPr>
              <w:spacing w:line="400" w:lineRule="exact"/>
              <w:jc w:val="center"/>
              <w:rPr>
                <w:rFonts w:hint="default"/>
                <w:color w:val="000000"/>
                <w:sz w:val="21"/>
                <w:szCs w:val="21"/>
                <w:lang w:val="en-US" w:eastAsia="zh-CN"/>
              </w:rPr>
            </w:pPr>
            <w:r>
              <w:rPr>
                <w:rFonts w:hint="eastAsia"/>
                <w:color w:val="000000"/>
                <w:sz w:val="21"/>
                <w:szCs w:val="21"/>
                <w:lang w:val="en-US" w:eastAsia="zh-CN"/>
              </w:rPr>
              <w:t>6.5</w:t>
            </w:r>
          </w:p>
        </w:tc>
        <w:tc>
          <w:tcPr>
            <w:tcW w:w="1145" w:type="dxa"/>
            <w:tcBorders>
              <w:top w:val="nil"/>
            </w:tcBorders>
            <w:vAlign w:val="center"/>
          </w:tcPr>
          <w:p w14:paraId="778D0219">
            <w:pPr>
              <w:spacing w:line="400" w:lineRule="exact"/>
              <w:jc w:val="center"/>
              <w:rPr>
                <w:rFonts w:hint="default"/>
                <w:color w:val="000000"/>
                <w:sz w:val="21"/>
                <w:szCs w:val="21"/>
                <w:lang w:val="en-US" w:eastAsia="zh-CN"/>
              </w:rPr>
            </w:pPr>
            <w:r>
              <w:rPr>
                <w:rFonts w:hint="eastAsia"/>
                <w:color w:val="000000"/>
                <w:sz w:val="21"/>
                <w:szCs w:val="21"/>
                <w:lang w:val="en-US" w:eastAsia="zh-CN"/>
              </w:rPr>
              <w:t>6.5</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47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26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47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26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47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26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47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26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44D40A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5AE934D">
            <w:pPr>
              <w:spacing w:line="400" w:lineRule="exact"/>
              <w:jc w:val="center"/>
              <w:rPr>
                <w:rFonts w:hint="default"/>
                <w:color w:val="000000"/>
                <w:sz w:val="21"/>
                <w:szCs w:val="21"/>
                <w:lang w:val="en-US" w:eastAsia="zh-CN"/>
              </w:rPr>
            </w:pPr>
            <w:r>
              <w:rPr>
                <w:rFonts w:hint="eastAsia"/>
                <w:color w:val="000000"/>
                <w:sz w:val="21"/>
                <w:szCs w:val="21"/>
                <w:lang w:val="en-US" w:eastAsia="zh-CN"/>
              </w:rPr>
              <w:t>带式提升机</w:t>
            </w:r>
          </w:p>
        </w:tc>
        <w:tc>
          <w:tcPr>
            <w:tcW w:w="1479" w:type="dxa"/>
            <w:vAlign w:val="center"/>
          </w:tcPr>
          <w:p w14:paraId="05F1F6EE">
            <w:pPr>
              <w:spacing w:line="400" w:lineRule="exact"/>
              <w:jc w:val="center"/>
              <w:rPr>
                <w:rFonts w:hint="default"/>
                <w:color w:val="000000"/>
                <w:sz w:val="21"/>
                <w:szCs w:val="21"/>
                <w:lang w:val="en-US" w:eastAsia="zh-CN"/>
              </w:rPr>
            </w:pPr>
            <w:r>
              <w:rPr>
                <w:rFonts w:hint="eastAsia"/>
                <w:color w:val="000000"/>
                <w:sz w:val="21"/>
                <w:szCs w:val="21"/>
                <w:lang w:val="en-US" w:eastAsia="zh-CN"/>
              </w:rPr>
              <w:t>DT-500</w:t>
            </w:r>
          </w:p>
        </w:tc>
        <w:tc>
          <w:tcPr>
            <w:tcW w:w="1263" w:type="dxa"/>
            <w:vAlign w:val="center"/>
          </w:tcPr>
          <w:p w14:paraId="4860E407">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1243" w:type="dxa"/>
            <w:vAlign w:val="center"/>
          </w:tcPr>
          <w:p w14:paraId="2396A268">
            <w:pPr>
              <w:spacing w:line="400" w:lineRule="exact"/>
              <w:jc w:val="center"/>
              <w:rPr>
                <w:rFonts w:hint="default"/>
                <w:color w:val="000000"/>
                <w:sz w:val="21"/>
                <w:szCs w:val="21"/>
                <w:lang w:val="en-US" w:eastAsia="zh-CN"/>
              </w:rPr>
            </w:pPr>
            <w:r>
              <w:rPr>
                <w:rFonts w:hint="eastAsia"/>
                <w:color w:val="000000"/>
                <w:sz w:val="21"/>
                <w:szCs w:val="21"/>
                <w:lang w:val="en-US" w:eastAsia="zh-CN"/>
              </w:rPr>
              <w:t>1t/h</w:t>
            </w:r>
          </w:p>
        </w:tc>
        <w:tc>
          <w:tcPr>
            <w:tcW w:w="1074" w:type="dxa"/>
            <w:vAlign w:val="center"/>
          </w:tcPr>
          <w:p w14:paraId="44211304">
            <w:pPr>
              <w:spacing w:line="400" w:lineRule="exact"/>
              <w:jc w:val="center"/>
              <w:rPr>
                <w:rFonts w:hint="default"/>
                <w:color w:val="000000"/>
                <w:sz w:val="21"/>
                <w:szCs w:val="21"/>
                <w:lang w:val="en-US" w:eastAsia="zh-CN"/>
              </w:rPr>
            </w:pPr>
            <w:r>
              <w:rPr>
                <w:rFonts w:hint="eastAsia"/>
                <w:color w:val="000000"/>
                <w:sz w:val="21"/>
                <w:szCs w:val="21"/>
                <w:lang w:val="en-US" w:eastAsia="zh-CN"/>
              </w:rPr>
              <w:t>1</w:t>
            </w:r>
          </w:p>
        </w:tc>
        <w:tc>
          <w:tcPr>
            <w:tcW w:w="1143" w:type="dxa"/>
            <w:vAlign w:val="center"/>
          </w:tcPr>
          <w:p w14:paraId="27590CC9">
            <w:pPr>
              <w:spacing w:line="400" w:lineRule="exact"/>
              <w:jc w:val="center"/>
              <w:rPr>
                <w:rFonts w:hint="default"/>
                <w:color w:val="000000"/>
                <w:sz w:val="21"/>
                <w:szCs w:val="21"/>
                <w:lang w:val="en-US" w:eastAsia="zh-CN"/>
              </w:rPr>
            </w:pPr>
            <w:r>
              <w:rPr>
                <w:rFonts w:hint="eastAsia"/>
                <w:color w:val="000000"/>
                <w:sz w:val="21"/>
                <w:szCs w:val="21"/>
                <w:lang w:val="en-US" w:eastAsia="zh-CN"/>
              </w:rPr>
              <w:t>2.5</w:t>
            </w:r>
          </w:p>
        </w:tc>
        <w:tc>
          <w:tcPr>
            <w:tcW w:w="1145" w:type="dxa"/>
            <w:vAlign w:val="center"/>
          </w:tcPr>
          <w:p w14:paraId="7E104A66">
            <w:pPr>
              <w:spacing w:line="400" w:lineRule="exact"/>
              <w:jc w:val="center"/>
              <w:rPr>
                <w:rFonts w:hint="default"/>
                <w:color w:val="000000"/>
                <w:sz w:val="21"/>
                <w:szCs w:val="21"/>
                <w:lang w:val="en-US" w:eastAsia="zh-CN"/>
              </w:rPr>
            </w:pPr>
            <w:r>
              <w:rPr>
                <w:rFonts w:hint="eastAsia"/>
                <w:color w:val="000000"/>
                <w:sz w:val="21"/>
                <w:szCs w:val="21"/>
                <w:lang w:val="en-US" w:eastAsia="zh-CN"/>
              </w:rPr>
              <w:t>2.5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47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26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47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26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47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26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47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26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47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26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47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26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47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26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47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26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47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26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19</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148.65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36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36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07094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B9554CA">
            <w:pPr>
              <w:spacing w:line="400" w:lineRule="exact"/>
              <w:jc w:val="center"/>
              <w:rPr>
                <w:sz w:val="21"/>
                <w:szCs w:val="21"/>
              </w:rPr>
            </w:pPr>
            <w:r>
              <w:rPr>
                <w:rFonts w:hint="eastAsia"/>
                <w:sz w:val="21"/>
                <w:szCs w:val="21"/>
              </w:rPr>
              <w:t>生产用电</w:t>
            </w:r>
          </w:p>
        </w:tc>
        <w:tc>
          <w:tcPr>
            <w:tcW w:w="1232" w:type="pct"/>
            <w:tcBorders>
              <w:top w:val="single" w:color="auto" w:sz="4" w:space="0"/>
              <w:bottom w:val="nil"/>
            </w:tcBorders>
            <w:vAlign w:val="center"/>
          </w:tcPr>
          <w:p w14:paraId="1DF2AEBF">
            <w:pPr>
              <w:spacing w:line="400" w:lineRule="exact"/>
              <w:jc w:val="center"/>
              <w:rPr>
                <w:rFonts w:hint="default"/>
                <w:color w:val="000000"/>
                <w:sz w:val="21"/>
                <w:szCs w:val="21"/>
                <w:lang w:val="en-US" w:eastAsia="zh-CN"/>
              </w:rPr>
            </w:pPr>
            <w:r>
              <w:rPr>
                <w:rFonts w:hint="eastAsia"/>
                <w:color w:val="000000"/>
                <w:sz w:val="21"/>
                <w:szCs w:val="21"/>
                <w:lang w:val="en-US" w:eastAsia="zh-CN"/>
              </w:rPr>
              <w:t>离心净乳机</w:t>
            </w:r>
          </w:p>
        </w:tc>
        <w:tc>
          <w:tcPr>
            <w:tcW w:w="612" w:type="pct"/>
            <w:tcBorders>
              <w:top w:val="single" w:color="auto" w:sz="4" w:space="0"/>
              <w:bottom w:val="nil"/>
            </w:tcBorders>
            <w:vAlign w:val="center"/>
          </w:tcPr>
          <w:p w14:paraId="55FA477A">
            <w:pPr>
              <w:spacing w:line="400" w:lineRule="exact"/>
              <w:jc w:val="center"/>
              <w:rPr>
                <w:rFonts w:hint="default"/>
                <w:sz w:val="21"/>
                <w:szCs w:val="21"/>
                <w:lang w:val="en-US" w:eastAsia="zh-CN"/>
              </w:rPr>
            </w:pPr>
            <w:r>
              <w:rPr>
                <w:rFonts w:hint="eastAsia"/>
                <w:sz w:val="21"/>
                <w:szCs w:val="21"/>
                <w:lang w:val="en-US" w:eastAsia="zh-CN"/>
              </w:rPr>
              <w:t>11.0</w:t>
            </w:r>
          </w:p>
        </w:tc>
        <w:tc>
          <w:tcPr>
            <w:tcW w:w="531" w:type="pct"/>
            <w:tcBorders>
              <w:top w:val="single" w:color="auto" w:sz="4" w:space="0"/>
              <w:bottom w:val="nil"/>
            </w:tcBorders>
            <w:vAlign w:val="center"/>
          </w:tcPr>
          <w:p w14:paraId="416BC471">
            <w:pPr>
              <w:spacing w:line="400" w:lineRule="exact"/>
              <w:jc w:val="center"/>
              <w:rPr>
                <w:rFonts w:hint="default"/>
                <w:sz w:val="21"/>
                <w:szCs w:val="21"/>
                <w:lang w:val="en-US" w:eastAsia="zh-CN"/>
              </w:rPr>
            </w:pPr>
            <w:r>
              <w:rPr>
                <w:rFonts w:hint="eastAsia"/>
                <w:sz w:val="21"/>
                <w:szCs w:val="21"/>
                <w:lang w:val="en-US" w:eastAsia="zh-CN"/>
              </w:rPr>
              <w:t>1</w:t>
            </w:r>
          </w:p>
        </w:tc>
        <w:tc>
          <w:tcPr>
            <w:tcW w:w="991" w:type="pct"/>
            <w:tcBorders>
              <w:top w:val="single" w:color="auto" w:sz="4" w:space="0"/>
              <w:bottom w:val="nil"/>
            </w:tcBorders>
            <w:vAlign w:val="center"/>
          </w:tcPr>
          <w:p w14:paraId="101BC44D">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1.5</w:t>
            </w:r>
          </w:p>
        </w:tc>
        <w:tc>
          <w:tcPr>
            <w:tcW w:w="991" w:type="pct"/>
            <w:tcBorders>
              <w:top w:val="single" w:color="auto" w:sz="4" w:space="0"/>
              <w:bottom w:val="nil"/>
            </w:tcBorders>
            <w:vAlign w:val="center"/>
          </w:tcPr>
          <w:p w14:paraId="6A367891">
            <w:pPr>
              <w:spacing w:line="400" w:lineRule="exact"/>
              <w:jc w:val="center"/>
              <w:rPr>
                <w:rFonts w:hint="default"/>
                <w:sz w:val="21"/>
                <w:szCs w:val="21"/>
                <w:lang w:val="en-US" w:eastAsia="zh-CN"/>
              </w:rPr>
            </w:pPr>
            <w:r>
              <w:rPr>
                <w:rFonts w:hint="eastAsia"/>
                <w:sz w:val="21"/>
                <w:szCs w:val="21"/>
                <w:lang w:val="en-US" w:eastAsia="zh-CN"/>
              </w:rPr>
              <w:t>4950</w:t>
            </w:r>
          </w:p>
        </w:tc>
      </w:tr>
      <w:tr w14:paraId="7C18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continue"/>
            <w:vAlign w:val="center"/>
          </w:tcPr>
          <w:p w14:paraId="30619A2F">
            <w:pPr>
              <w:spacing w:line="400" w:lineRule="exact"/>
              <w:jc w:val="center"/>
              <w:rPr>
                <w:rFonts w:hint="eastAsia"/>
                <w:sz w:val="21"/>
                <w:szCs w:val="21"/>
              </w:rPr>
            </w:pPr>
          </w:p>
        </w:tc>
        <w:tc>
          <w:tcPr>
            <w:tcW w:w="1232" w:type="pct"/>
            <w:tcBorders>
              <w:top w:val="nil"/>
              <w:bottom w:val="nil"/>
            </w:tcBorders>
            <w:vAlign w:val="center"/>
          </w:tcPr>
          <w:p w14:paraId="3E06FF8D">
            <w:pPr>
              <w:spacing w:line="400" w:lineRule="exact"/>
              <w:jc w:val="center"/>
              <w:rPr>
                <w:rFonts w:hint="default"/>
                <w:color w:val="000000"/>
                <w:sz w:val="21"/>
                <w:szCs w:val="21"/>
                <w:lang w:val="en-US" w:eastAsia="zh-CN"/>
              </w:rPr>
            </w:pPr>
            <w:r>
              <w:rPr>
                <w:rFonts w:hint="eastAsia"/>
                <w:color w:val="000000"/>
                <w:sz w:val="21"/>
                <w:szCs w:val="21"/>
                <w:lang w:val="en-US" w:eastAsia="zh-CN"/>
              </w:rPr>
              <w:t>标准化配料罐</w:t>
            </w:r>
          </w:p>
        </w:tc>
        <w:tc>
          <w:tcPr>
            <w:tcW w:w="612" w:type="pct"/>
            <w:tcBorders>
              <w:top w:val="nil"/>
              <w:bottom w:val="nil"/>
            </w:tcBorders>
            <w:vAlign w:val="center"/>
          </w:tcPr>
          <w:p w14:paraId="09A92029">
            <w:pPr>
              <w:spacing w:line="400" w:lineRule="exact"/>
              <w:jc w:val="center"/>
              <w:rPr>
                <w:rFonts w:hint="default"/>
                <w:sz w:val="21"/>
                <w:szCs w:val="21"/>
                <w:lang w:val="en-US" w:eastAsia="zh-CN"/>
              </w:rPr>
            </w:pPr>
            <w:r>
              <w:rPr>
                <w:rFonts w:hint="eastAsia"/>
                <w:sz w:val="21"/>
                <w:szCs w:val="21"/>
                <w:lang w:val="en-US" w:eastAsia="zh-CN"/>
              </w:rPr>
              <w:t>3.0</w:t>
            </w:r>
          </w:p>
        </w:tc>
        <w:tc>
          <w:tcPr>
            <w:tcW w:w="531" w:type="pct"/>
            <w:tcBorders>
              <w:top w:val="nil"/>
              <w:bottom w:val="nil"/>
            </w:tcBorders>
            <w:vAlign w:val="center"/>
          </w:tcPr>
          <w:p w14:paraId="185E6C9B">
            <w:pPr>
              <w:spacing w:line="400" w:lineRule="exact"/>
              <w:jc w:val="center"/>
              <w:rPr>
                <w:rFonts w:hint="default"/>
                <w:sz w:val="21"/>
                <w:szCs w:val="21"/>
                <w:lang w:val="en-US" w:eastAsia="zh-CN"/>
              </w:rPr>
            </w:pPr>
            <w:r>
              <w:rPr>
                <w:rFonts w:hint="eastAsia"/>
                <w:sz w:val="21"/>
                <w:szCs w:val="21"/>
                <w:lang w:val="en-US" w:eastAsia="zh-CN"/>
              </w:rPr>
              <w:t>1</w:t>
            </w:r>
          </w:p>
        </w:tc>
        <w:tc>
          <w:tcPr>
            <w:tcW w:w="991" w:type="pct"/>
            <w:tcBorders>
              <w:top w:val="nil"/>
              <w:bottom w:val="nil"/>
            </w:tcBorders>
            <w:vAlign w:val="center"/>
          </w:tcPr>
          <w:p w14:paraId="0169D63C">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2</w:t>
            </w:r>
          </w:p>
        </w:tc>
        <w:tc>
          <w:tcPr>
            <w:tcW w:w="991" w:type="pct"/>
            <w:tcBorders>
              <w:top w:val="nil"/>
              <w:bottom w:val="nil"/>
            </w:tcBorders>
            <w:vAlign w:val="center"/>
          </w:tcPr>
          <w:p w14:paraId="6571F1A9">
            <w:pPr>
              <w:spacing w:line="400" w:lineRule="exact"/>
              <w:jc w:val="center"/>
              <w:rPr>
                <w:rFonts w:hint="default"/>
                <w:sz w:val="21"/>
                <w:szCs w:val="21"/>
                <w:lang w:val="en-US" w:eastAsia="zh-CN"/>
              </w:rPr>
            </w:pPr>
            <w:r>
              <w:rPr>
                <w:rFonts w:hint="eastAsia"/>
                <w:sz w:val="21"/>
                <w:szCs w:val="21"/>
                <w:lang w:val="en-US" w:eastAsia="zh-CN"/>
              </w:rPr>
              <w:t>1800</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continue"/>
            <w:vAlign w:val="center"/>
          </w:tcPr>
          <w:p w14:paraId="5FA8B810">
            <w:pPr>
              <w:spacing w:line="400" w:lineRule="exact"/>
              <w:jc w:val="center"/>
              <w:rPr>
                <w:sz w:val="21"/>
                <w:szCs w:val="21"/>
              </w:rPr>
            </w:pPr>
          </w:p>
        </w:tc>
        <w:tc>
          <w:tcPr>
            <w:tcW w:w="1232" w:type="pct"/>
            <w:tcBorders>
              <w:top w:val="nil"/>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nil"/>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nil"/>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nil"/>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nil"/>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507C1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9B74F9F">
            <w:pPr>
              <w:spacing w:line="400" w:lineRule="exact"/>
              <w:ind w:firstLine="420"/>
              <w:jc w:val="center"/>
              <w:rPr>
                <w:sz w:val="21"/>
                <w:szCs w:val="21"/>
              </w:rPr>
            </w:pPr>
          </w:p>
        </w:tc>
        <w:tc>
          <w:tcPr>
            <w:tcW w:w="1232" w:type="pct"/>
            <w:vAlign w:val="center"/>
          </w:tcPr>
          <w:p w14:paraId="46079303">
            <w:pPr>
              <w:spacing w:line="400" w:lineRule="exact"/>
              <w:jc w:val="center"/>
              <w:rPr>
                <w:rFonts w:hint="default"/>
                <w:sz w:val="21"/>
                <w:szCs w:val="21"/>
                <w:lang w:val="en-US" w:eastAsia="zh-CN"/>
              </w:rPr>
            </w:pPr>
            <w:r>
              <w:rPr>
                <w:rFonts w:hint="eastAsia"/>
                <w:sz w:val="21"/>
                <w:szCs w:val="21"/>
                <w:lang w:val="en-US" w:eastAsia="zh-CN"/>
              </w:rPr>
              <w:t>带式提升机</w:t>
            </w:r>
          </w:p>
        </w:tc>
        <w:tc>
          <w:tcPr>
            <w:tcW w:w="612" w:type="pct"/>
            <w:vAlign w:val="center"/>
          </w:tcPr>
          <w:p w14:paraId="0BE09B36">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E502EC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510E6B41">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7EFE3162">
            <w:pPr>
              <w:spacing w:line="400" w:lineRule="exact"/>
              <w:jc w:val="center"/>
              <w:rPr>
                <w:rFonts w:hint="default"/>
                <w:sz w:val="21"/>
                <w:szCs w:val="21"/>
                <w:lang w:val="en-US" w:eastAsia="zh-CN"/>
              </w:rPr>
            </w:pPr>
            <w:r>
              <w:rPr>
                <w:rFonts w:hint="eastAsia"/>
                <w:sz w:val="21"/>
                <w:szCs w:val="21"/>
                <w:lang w:val="en-US" w:eastAsia="zh-CN"/>
              </w:rPr>
              <w:t>450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CC6DDFF">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19</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125550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168404172"/>
            <w:bookmarkStart w:id="26" w:name="_Toc3004"/>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vAlign w:val="center"/>
          </w:tcPr>
          <w:p w14:paraId="1CC4027E">
            <w:pPr>
              <w:widowControl/>
              <w:jc w:val="center"/>
              <w:rPr>
                <w:rFonts w:hint="default" w:eastAsia="宋体"/>
                <w:color w:val="000000"/>
                <w:sz w:val="21"/>
                <w:szCs w:val="21"/>
                <w:lang w:val="en-US" w:eastAsia="zh-CN"/>
              </w:rPr>
            </w:pPr>
            <w:r>
              <w:rPr>
                <w:rFonts w:hint="eastAsia"/>
                <w:color w:val="000000"/>
                <w:sz w:val="21"/>
                <w:szCs w:val="21"/>
                <w:lang w:val="en-US" w:eastAsia="zh-CN"/>
              </w:rPr>
              <w:t>3</w:t>
            </w: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2242"/>
      <w:bookmarkStart w:id="29" w:name="_Toc168404173"/>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8437"/>
            <w:bookmarkStart w:id="31"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168404175"/>
      <w:bookmarkStart w:id="34" w:name="_Toc13771"/>
      <w:bookmarkStart w:id="35" w:name="_Toc24802"/>
      <w:r>
        <w:rPr>
          <w:rFonts w:hint="eastAsia" w:ascii="Times New Roman" w:hAnsi="Times New Roman" w:eastAsia="黑体" w:cs="黑体"/>
          <w:b w:val="0"/>
          <w:bCs/>
          <w:sz w:val="24"/>
          <w:szCs w:val="16"/>
          <w:lang w:val="en-US" w:eastAsia="zh-CN"/>
        </w:rPr>
        <w:t>3.1 门窗、地面</w:t>
      </w:r>
      <w:r>
        <w:rPr>
          <w:rFonts w:hint="eastAsia" w:ascii="Times New Roman" w:hAnsi="Times New Roman" w:cs="黑体"/>
          <w:b w:val="0"/>
          <w:bCs/>
          <w:sz w:val="24"/>
          <w:szCs w:val="16"/>
          <w:lang w:val="en-US" w:eastAsia="zh-CN"/>
        </w:rPr>
        <w:t>及</w:t>
      </w:r>
      <w:r>
        <w:rPr>
          <w:rFonts w:hint="eastAsia" w:ascii="Times New Roman" w:hAnsi="Times New Roman" w:eastAsia="黑体" w:cs="黑体"/>
          <w:b w:val="0"/>
          <w:bCs/>
          <w:sz w:val="24"/>
          <w:szCs w:val="16"/>
          <w:lang w:val="en-US" w:eastAsia="zh-CN"/>
        </w:rPr>
        <w:t>墙面</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32057"/>
      <w:bookmarkStart w:id="37"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3673"/>
      <w:bookmarkStart w:id="46" w:name="_Toc9259"/>
      <w:bookmarkStart w:id="47" w:name="_Toc16840417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68404181"/>
      <w:bookmarkStart w:id="52" w:name="_Toc14390"/>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68404182"/>
      <w:bookmarkStart w:id="55" w:name="_Toc16286"/>
      <w:bookmarkStart w:id="56" w:name="_Toc23431"/>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16115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蓝莓鲜果</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34895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34895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10468500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一年的总包材成本为264.52万元。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125550k</w:t>
            </w:r>
            <w:r>
              <w:rPr>
                <w:sz w:val="21"/>
              </w:rPr>
              <w:t>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7.78</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15.485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一年的总水电汽成本为15.485万元。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生产设备投资为148.65万元，折旧年限10年，年折旧额为148.65÷10=14.865万元；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年维修费用=（建筑年折旧+设备年折旧）×8%=（16.128+14.865）×0.08=4.47944万元；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合计年折旧费用与维修费用=16.128+14.865+2.47944=33.47244万元；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vAlign w:val="center"/>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vAlign w:val="center"/>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1046.85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vAlign w:val="center"/>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vAlign w:val="center"/>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vAlign w:val="center"/>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15.485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vAlign w:val="center"/>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vAlign w:val="center"/>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33.47</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vAlign w:val="center"/>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vAlign w:val="center"/>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vAlign w:val="center"/>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vAlign w:val="center"/>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1547.945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由表17可知生产1000吨蓝莓酸奶的年总成本为1547.945万元。每瓶蓝莓酸奶重量为0.25kg，则理论年产量为1000000kg÷0.25kg=4</w:t>
      </w:r>
      <w:r>
        <w:rPr>
          <w:rFonts w:hint="default" w:ascii="Times New Roman" w:hAnsi="Times New Roman" w:cs="Times New Roman"/>
          <w:lang w:val="en-US" w:eastAsia="zh-CN"/>
        </w:rPr>
        <w:t>×</w:t>
      </w:r>
      <w:r>
        <w:rPr>
          <w:rFonts w:hint="eastAsia" w:cs="Times New Roman"/>
          <w:lang w:val="en-US" w:eastAsia="zh-CN"/>
        </w:rPr>
        <w:t>10</w:t>
      </w:r>
      <w:r>
        <w:rPr>
          <w:rFonts w:hint="eastAsia" w:cs="Times New Roman"/>
          <w:vertAlign w:val="superscript"/>
          <w:lang w:val="en-US" w:eastAsia="zh-CN"/>
        </w:rPr>
        <w:t>6</w:t>
      </w:r>
      <w:r>
        <w:rPr>
          <w:rFonts w:hint="eastAsia" w:cs="Times New Roman"/>
          <w:lang w:val="en-US" w:eastAsia="zh-CN"/>
        </w:rPr>
        <w:t>瓶。平均每瓶酸奶的成本为1547.945万元÷400万瓶≈3.9元/瓶，出厂价定为5元/瓶，年利润为（5-3.9）元×400万瓶=440万元，回本周期为1547.12万元÷440万元≈3.52年。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68404185"/>
      <w:bookmarkStart w:id="61" w:name="_Toc17251"/>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148.65万元，年总成本为1547.945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16206"/>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val="0"/>
        <w:wordWrap w:val="0"/>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22697357">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985"/>
      <w:bookmarkStart w:id="78" w:name="_Ref27835"/>
      <w:r>
        <w:rPr>
          <w:rFonts w:hint="default" w:ascii="Times New Roman" w:hAnsi="Times New Roman" w:cs="Times New Roman"/>
          <w:sz w:val="21"/>
          <w:szCs w:val="16"/>
          <w:lang w:val="en-US" w:eastAsia="zh-CN"/>
        </w:rPr>
        <w:t>桂亚,唐果,马栎,等.发酵乳中风味物质研究进展[J].现代食品,2023,29(18):29-31.</w:t>
      </w:r>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7"/>
    </w:p>
    <w:bookmarkEnd w:id="78"/>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9" w:name="_Ref7582"/>
      <w:bookmarkStart w:id="80" w:name="_Ref5240"/>
      <w:r>
        <w:rPr>
          <w:rFonts w:hint="default" w:ascii="Times New Roman" w:hAnsi="Times New Roman" w:cs="Times New Roman"/>
          <w:sz w:val="21"/>
          <w:szCs w:val="16"/>
          <w:lang w:val="en-US" w:eastAsia="zh-CN"/>
        </w:rPr>
        <w:t>李金华.蓝莓的营养保健功能及其开发利用[J].新农业,2019,(15):38-39.</w:t>
      </w:r>
      <w:bookmarkEnd w:id="79"/>
    </w:p>
    <w:bookmarkEnd w:id="80"/>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1" w:name="_Ref26107"/>
      <w:bookmarkStart w:id="82" w:name="_Ref27913"/>
      <w:r>
        <w:rPr>
          <w:rFonts w:hint="default" w:ascii="Times New Roman" w:hAnsi="Times New Roman" w:cs="Times New Roman"/>
          <w:sz w:val="21"/>
          <w:szCs w:val="16"/>
          <w:lang w:val="en-US" w:eastAsia="zh-CN"/>
        </w:rPr>
        <w:t>周继芬,兰武,王军,等.蓝莓营养及独特保健功能研究[J].北方园艺,2020,(21):138-145.</w:t>
      </w:r>
      <w:bookmarkEnd w:id="81"/>
    </w:p>
    <w:bookmarkEnd w:id="82"/>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3" w:name="_Ref563"/>
      <w:bookmarkStart w:id="84"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3"/>
    </w:p>
    <w:bookmarkEnd w:id="84"/>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5" w:name="_Ref1147"/>
      <w:bookmarkStart w:id="86"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5"/>
    </w:p>
    <w:bookmarkEnd w:id="86"/>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7" w:name="_Ref2271"/>
      <w:bookmarkStart w:id="88"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7"/>
    </w:p>
    <w:bookmarkEnd w:id="88"/>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9" w:name="_Ref2277"/>
      <w:bookmarkStart w:id="90"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89"/>
    </w:p>
    <w:bookmarkEnd w:id="90"/>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1" w:name="_Ref2280"/>
      <w:bookmarkStart w:id="92"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1"/>
    </w:p>
    <w:bookmarkEnd w:id="92"/>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3" w:name="_Ref28403"/>
      <w:r>
        <w:rPr>
          <w:rFonts w:hint="default" w:ascii="Times New Roman" w:hAnsi="Times New Roman" w:cs="Times New Roman"/>
          <w:sz w:val="21"/>
          <w:szCs w:val="16"/>
          <w:lang w:val="en-US" w:eastAsia="zh-CN"/>
        </w:rPr>
        <w:t>成堃,马延新,王小霞,等.蓝莓枸杞风味酸奶的研制[J].中国酿造,2018,37(01):185-189.</w:t>
      </w:r>
      <w:bookmarkEnd w:id="93"/>
      <w:bookmarkStart w:id="94" w:name="_Ref13426"/>
      <w:bookmarkStart w:id="95" w:name="_Ref28452"/>
      <w:bookmarkStart w:id="96"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7" w:name="_Ref7062"/>
      <w:r>
        <w:rPr>
          <w:rFonts w:hint="default" w:ascii="Times New Roman" w:hAnsi="Times New Roman" w:cs="Times New Roman"/>
          <w:sz w:val="21"/>
          <w:szCs w:val="16"/>
          <w:lang w:val="en-US" w:eastAsia="zh-CN"/>
        </w:rPr>
        <w:t>张军,张冬雪,刘玉峰,等.蓝莓山羊酸奶的研制[J].中国酿造,2015,34(11):171-174.</w:t>
      </w:r>
      <w:bookmarkEnd w:id="94"/>
      <w:bookmarkEnd w:id="97"/>
    </w:p>
    <w:bookmarkEnd w:id="95"/>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14856"/>
      <w:bookmarkStart w:id="99" w:name="_Ref5890"/>
      <w:r>
        <w:rPr>
          <w:rFonts w:hint="default" w:ascii="Times New Roman" w:hAnsi="Times New Roman" w:cs="Times New Roman"/>
          <w:sz w:val="21"/>
          <w:szCs w:val="16"/>
          <w:lang w:val="en-US" w:eastAsia="zh-CN"/>
        </w:rPr>
        <w:t>梅玉立,童彬,于素凤,等.蓝莓酸奶的生产工艺研究[J].价值工程,2019,38(03):132-136.</w:t>
      </w:r>
      <w:bookmarkEnd w:id="98"/>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0"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0"/>
    </w:p>
    <w:bookmarkEnd w:id="96"/>
    <w:bookmarkEnd w:id="99"/>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1" w:name="_Ref28566"/>
      <w:r>
        <w:rPr>
          <w:rFonts w:hint="default" w:ascii="Times New Roman" w:hAnsi="Times New Roman" w:cs="Times New Roman"/>
          <w:sz w:val="21"/>
          <w:szCs w:val="16"/>
          <w:lang w:val="en-US" w:eastAsia="zh-CN"/>
        </w:rPr>
        <w:t>何祖艳.马铃薯蓝莓酸奶的制备关键技术及其应用研究[D].贵州大学,2021.</w:t>
      </w:r>
      <w:bookmarkEnd w:id="101"/>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2" w:name="_Ref15153"/>
      <w:r>
        <w:rPr>
          <w:rFonts w:hint="eastAsia" w:ascii="Times New Roman" w:hAnsi="Times New Roman" w:cs="Times New Roman"/>
          <w:sz w:val="21"/>
          <w:szCs w:val="16"/>
          <w:lang w:val="en-US" w:eastAsia="zh-CN"/>
        </w:rPr>
        <w:t>Ichimura T .Yogurt Production.[J].Methods in molecular biology (Clifton, N.J.), 2024,285163-74.</w:t>
      </w:r>
      <w:bookmarkEnd w:id="102"/>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3"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4" w:name="_Toc15125"/>
      <w:bookmarkStart w:id="105" w:name="_Toc15949"/>
      <w:r>
        <w:rPr>
          <w:rFonts w:hint="eastAsia" w:ascii="黑体" w:hAnsi="黑体" w:eastAsia="黑体" w:cs="黑体"/>
          <w:b w:val="0"/>
          <w:bCs/>
          <w:sz w:val="28"/>
          <w:szCs w:val="13"/>
          <w:lang w:val="en-US" w:eastAsia="zh-CN"/>
        </w:rPr>
        <w:t>致 谢</w:t>
      </w:r>
      <w:bookmarkEnd w:id="103"/>
      <w:bookmarkEnd w:id="104"/>
      <w:bookmarkEnd w:id="105"/>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start="1"/>
          <w:cols w:space="425" w:num="1"/>
          <w:docGrid w:type="lines" w:linePitch="312" w:charSpace="0"/>
        </w:sectPr>
      </w:pPr>
      <w:bookmarkStart w:id="106" w:name="_Toc7734"/>
      <w:bookmarkStart w:id="107" w:name="_Toc28768"/>
      <w:bookmarkStart w:id="108" w:name="_Toc1151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margin">
              <wp:align>center</wp:align>
            </wp:positionH>
            <wp:positionV relativeFrom="paragraph">
              <wp:posOffset>320675</wp:posOffset>
            </wp:positionV>
            <wp:extent cx="5939790" cy="8279765"/>
            <wp:effectExtent l="0" t="0" r="3810" b="10795"/>
            <wp:wrapNone/>
            <wp:docPr id="3" name="图片 3" descr="C:/Users/Texer/Desktop/毕设/CAD/蓝莓酸奶车间设计 Model (1).png蓝莓酸奶车间设计 Model (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pic:nvPicPr>
                  <pic:blipFill>
                    <a:blip r:embed="rId19"/>
                    <a:srcRect/>
                    <a:stretch>
                      <a:fillRect/>
                    </a:stretch>
                  </pic:blipFill>
                  <pic:spPr>
                    <a:xfrm>
                      <a:off x="0" y="0"/>
                      <a:ext cx="5939790" cy="8279765"/>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6"/>
      <w:bookmarkEnd w:id="107"/>
      <w:r>
        <w:rPr>
          <w:rFonts w:hint="eastAsia" w:ascii="黑体" w:hAnsi="黑体" w:eastAsia="黑体" w:cs="黑体"/>
          <w:b w:val="0"/>
          <w:bCs/>
          <w:sz w:val="28"/>
          <w:szCs w:val="13"/>
          <w:lang w:val="en-US" w:eastAsia="zh-CN"/>
        </w:rPr>
        <w:t>纸</w:t>
      </w:r>
      <w:bookmarkEnd w:id="108"/>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margin">
              <wp:align>center</wp:align>
            </wp:positionH>
            <wp:positionV relativeFrom="margin">
              <wp:align>center</wp:align>
            </wp:positionV>
            <wp:extent cx="5852160" cy="8279765"/>
            <wp:effectExtent l="0" t="0" r="0" b="10795"/>
            <wp:wrapNone/>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t="6" b="6"/>
                    <a:stretch>
                      <a:fillRect/>
                    </a:stretch>
                  </pic:blipFill>
                  <pic:spPr>
                    <a:xfrm>
                      <a:off x="0" y="0"/>
                      <a:ext cx="5852160" cy="8279765"/>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anchor distT="0" distB="0" distL="114935" distR="114935" simplePos="0" relativeHeight="251664384" behindDoc="0" locked="0" layoutInCell="1" allowOverlap="1">
            <wp:simplePos x="0" y="0"/>
            <wp:positionH relativeFrom="margin">
              <wp:align>center</wp:align>
            </wp:positionH>
            <wp:positionV relativeFrom="margin">
              <wp:align>center</wp:align>
            </wp:positionV>
            <wp:extent cx="6005830" cy="8496300"/>
            <wp:effectExtent l="0" t="0" r="13970" b="7620"/>
            <wp:wrapNone/>
            <wp:docPr id="2" name="图片 2" descr="C:/Users/Texer/Desktop/毕设/CAD/主要设备三视图 Model (1).png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Texer/Desktop/毕设/CAD/主要设备三视图 Model (1).png主要设备三视图 Model (1)"/>
                    <pic:cNvPicPr>
                      <a:picLocks noChangeAspect="1"/>
                    </pic:cNvPicPr>
                  </pic:nvPicPr>
                  <pic:blipFill>
                    <a:blip r:embed="rId21"/>
                    <a:srcRect t="17" b="17"/>
                    <a:stretch>
                      <a:fillRect/>
                    </a:stretch>
                  </pic:blipFill>
                  <pic:spPr>
                    <a:xfrm>
                      <a:off x="0" y="0"/>
                      <a:ext cx="6005830" cy="8496300"/>
                    </a:xfrm>
                    <a:prstGeom prst="rect">
                      <a:avLst/>
                    </a:prstGeom>
                  </pic:spPr>
                </pic:pic>
              </a:graphicData>
            </a:graphic>
          </wp:anchor>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32783D"/>
    <w:rsid w:val="014717F5"/>
    <w:rsid w:val="01620D9F"/>
    <w:rsid w:val="016A6FD7"/>
    <w:rsid w:val="018239F6"/>
    <w:rsid w:val="019341D5"/>
    <w:rsid w:val="01B31FD7"/>
    <w:rsid w:val="01BF7824"/>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98097E"/>
    <w:rsid w:val="0DA64F33"/>
    <w:rsid w:val="0DBE5BCC"/>
    <w:rsid w:val="0DC51F28"/>
    <w:rsid w:val="0DC64C17"/>
    <w:rsid w:val="0DD10C05"/>
    <w:rsid w:val="0E270CC8"/>
    <w:rsid w:val="0E3336AB"/>
    <w:rsid w:val="0E3D63EB"/>
    <w:rsid w:val="0E707BF7"/>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1FB2625"/>
    <w:rsid w:val="12027A1E"/>
    <w:rsid w:val="12301B77"/>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65422D"/>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4A37"/>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137AFC"/>
    <w:rsid w:val="19216AC6"/>
    <w:rsid w:val="193459D0"/>
    <w:rsid w:val="19383D27"/>
    <w:rsid w:val="193C385F"/>
    <w:rsid w:val="195E521C"/>
    <w:rsid w:val="19632DB3"/>
    <w:rsid w:val="196842EC"/>
    <w:rsid w:val="19914F2C"/>
    <w:rsid w:val="19A625A3"/>
    <w:rsid w:val="19A80E4C"/>
    <w:rsid w:val="19DB686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46693"/>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B63404"/>
    <w:rsid w:val="1EDE6278"/>
    <w:rsid w:val="1EE32C57"/>
    <w:rsid w:val="1EF54576"/>
    <w:rsid w:val="1F234F3D"/>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4F1D62"/>
    <w:rsid w:val="206C0324"/>
    <w:rsid w:val="207B2B57"/>
    <w:rsid w:val="20902A30"/>
    <w:rsid w:val="2092077A"/>
    <w:rsid w:val="20AE14FE"/>
    <w:rsid w:val="20CB0635"/>
    <w:rsid w:val="210D0C9A"/>
    <w:rsid w:val="210F1F2F"/>
    <w:rsid w:val="211B682B"/>
    <w:rsid w:val="214F4B32"/>
    <w:rsid w:val="215D225D"/>
    <w:rsid w:val="215D400B"/>
    <w:rsid w:val="21696E53"/>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0D4251"/>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7E946F0"/>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6C312B"/>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0C4F7D"/>
    <w:rsid w:val="2C2C35FC"/>
    <w:rsid w:val="2C2E4ADF"/>
    <w:rsid w:val="2C3F0EDD"/>
    <w:rsid w:val="2C53613E"/>
    <w:rsid w:val="2C8132A3"/>
    <w:rsid w:val="2C825415"/>
    <w:rsid w:val="2C884632"/>
    <w:rsid w:val="2C8B1E84"/>
    <w:rsid w:val="2CB62BA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C6A42"/>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6C2054"/>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2F049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554279"/>
    <w:rsid w:val="3B633D30"/>
    <w:rsid w:val="3B6444BC"/>
    <w:rsid w:val="3B7B35B3"/>
    <w:rsid w:val="3B830427"/>
    <w:rsid w:val="3B8763FC"/>
    <w:rsid w:val="3BB30212"/>
    <w:rsid w:val="3BD870BB"/>
    <w:rsid w:val="3BF747E0"/>
    <w:rsid w:val="3C070A0C"/>
    <w:rsid w:val="3C283D15"/>
    <w:rsid w:val="3C6B45C1"/>
    <w:rsid w:val="3C7341D7"/>
    <w:rsid w:val="3C76700F"/>
    <w:rsid w:val="3C92218C"/>
    <w:rsid w:val="3C9453DA"/>
    <w:rsid w:val="3C957F32"/>
    <w:rsid w:val="3CD44D29"/>
    <w:rsid w:val="3CDB292A"/>
    <w:rsid w:val="3D2403CA"/>
    <w:rsid w:val="3D741543"/>
    <w:rsid w:val="3D962707"/>
    <w:rsid w:val="3DF3544F"/>
    <w:rsid w:val="3E191DEE"/>
    <w:rsid w:val="3E2E2E01"/>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3FD61700"/>
    <w:rsid w:val="401A30F6"/>
    <w:rsid w:val="403028C4"/>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001CCA"/>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BD5060"/>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3459A1"/>
    <w:rsid w:val="4A5971B6"/>
    <w:rsid w:val="4A653807"/>
    <w:rsid w:val="4A66196B"/>
    <w:rsid w:val="4A745E79"/>
    <w:rsid w:val="4A827B39"/>
    <w:rsid w:val="4A9D2228"/>
    <w:rsid w:val="4AA6759F"/>
    <w:rsid w:val="4AB30D1E"/>
    <w:rsid w:val="4AB56AE2"/>
    <w:rsid w:val="4AD33ADA"/>
    <w:rsid w:val="4AD72235"/>
    <w:rsid w:val="4AE90539"/>
    <w:rsid w:val="4AEC627C"/>
    <w:rsid w:val="4AF16491"/>
    <w:rsid w:val="4B0A3CE8"/>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BE01E7"/>
    <w:rsid w:val="4FC652ED"/>
    <w:rsid w:val="4FC86D44"/>
    <w:rsid w:val="4FF359B6"/>
    <w:rsid w:val="50200540"/>
    <w:rsid w:val="50285660"/>
    <w:rsid w:val="502C5131"/>
    <w:rsid w:val="502D6EA4"/>
    <w:rsid w:val="50342624"/>
    <w:rsid w:val="504D696F"/>
    <w:rsid w:val="5060304C"/>
    <w:rsid w:val="506972BF"/>
    <w:rsid w:val="508A58C1"/>
    <w:rsid w:val="509E5922"/>
    <w:rsid w:val="50B37E70"/>
    <w:rsid w:val="50EA6DB9"/>
    <w:rsid w:val="50FC7343"/>
    <w:rsid w:val="51000A73"/>
    <w:rsid w:val="51405FD9"/>
    <w:rsid w:val="51454191"/>
    <w:rsid w:val="514C620D"/>
    <w:rsid w:val="51514E61"/>
    <w:rsid w:val="519D1BF6"/>
    <w:rsid w:val="51BC1C05"/>
    <w:rsid w:val="51C428FF"/>
    <w:rsid w:val="51DD0AE1"/>
    <w:rsid w:val="521F2DEA"/>
    <w:rsid w:val="52356422"/>
    <w:rsid w:val="52553BB4"/>
    <w:rsid w:val="52625B2B"/>
    <w:rsid w:val="52882CDF"/>
    <w:rsid w:val="528A6237"/>
    <w:rsid w:val="5291221C"/>
    <w:rsid w:val="529E01D6"/>
    <w:rsid w:val="52B753C1"/>
    <w:rsid w:val="52BF7966"/>
    <w:rsid w:val="52C27F9B"/>
    <w:rsid w:val="530A0D10"/>
    <w:rsid w:val="530D1200"/>
    <w:rsid w:val="5330111E"/>
    <w:rsid w:val="5350703E"/>
    <w:rsid w:val="53740BBC"/>
    <w:rsid w:val="53745777"/>
    <w:rsid w:val="537D36C3"/>
    <w:rsid w:val="538318BC"/>
    <w:rsid w:val="53BD0749"/>
    <w:rsid w:val="53E83D39"/>
    <w:rsid w:val="53F85BCC"/>
    <w:rsid w:val="543E18F6"/>
    <w:rsid w:val="54411E49"/>
    <w:rsid w:val="54BE47E5"/>
    <w:rsid w:val="54C56556"/>
    <w:rsid w:val="54E3424B"/>
    <w:rsid w:val="54EC38D2"/>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8EB36CF"/>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130460"/>
    <w:rsid w:val="5D477710"/>
    <w:rsid w:val="5D4B2D1B"/>
    <w:rsid w:val="5D5757D7"/>
    <w:rsid w:val="5D892330"/>
    <w:rsid w:val="5D9B1141"/>
    <w:rsid w:val="5D9C5497"/>
    <w:rsid w:val="5DBF512A"/>
    <w:rsid w:val="5DFF19E2"/>
    <w:rsid w:val="5E0F2166"/>
    <w:rsid w:val="5E564E88"/>
    <w:rsid w:val="5EAB4F7B"/>
    <w:rsid w:val="5EAC7460"/>
    <w:rsid w:val="5EB01642"/>
    <w:rsid w:val="5EB56C59"/>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8D4F71"/>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67621"/>
    <w:rsid w:val="62DA7E4B"/>
    <w:rsid w:val="62E47B0C"/>
    <w:rsid w:val="632E7709"/>
    <w:rsid w:val="63A75D22"/>
    <w:rsid w:val="63B00791"/>
    <w:rsid w:val="63B5357F"/>
    <w:rsid w:val="63BD1004"/>
    <w:rsid w:val="63C705B2"/>
    <w:rsid w:val="63CD15D5"/>
    <w:rsid w:val="63D47B81"/>
    <w:rsid w:val="640C5915"/>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D571D1"/>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62749B"/>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2A5C3C"/>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A0F51"/>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5105EF"/>
    <w:rsid w:val="727F5809"/>
    <w:rsid w:val="728E1843"/>
    <w:rsid w:val="72C909D3"/>
    <w:rsid w:val="72D36A71"/>
    <w:rsid w:val="72EF558F"/>
    <w:rsid w:val="730F6635"/>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A731EA"/>
    <w:rsid w:val="79E104AA"/>
    <w:rsid w:val="79FF4E7B"/>
    <w:rsid w:val="7A0027B8"/>
    <w:rsid w:val="7A1E0C67"/>
    <w:rsid w:val="7A2D742D"/>
    <w:rsid w:val="7A351AB3"/>
    <w:rsid w:val="7A363361"/>
    <w:rsid w:val="7A5D73D7"/>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8124</Words>
  <Characters>10512</Characters>
  <Lines>0</Lines>
  <Paragraphs>0</Paragraphs>
  <TotalTime>73</TotalTime>
  <ScaleCrop>false</ScaleCrop>
  <LinksUpToDate>false</LinksUpToDate>
  <CharactersWithSpaces>11189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Texer</dc:creator>
  <cp:lastModifiedBy>…………</cp:lastModifiedBy>
  <dcterms:modified xsi:type="dcterms:W3CDTF">2026-06-11T10:44:51Z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