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0548D868">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int="default" w:hAnsi="宋体" w:eastAsia="宋体"/>
          <w:spacing w:val="-22"/>
          <w:sz w:val="28"/>
          <w:szCs w:val="28"/>
          <w:u w:val="single"/>
          <w:lang w:val="en-US" w:eastAsia="zh-CN"/>
        </w:rPr>
      </w:pPr>
      <w:r>
        <w:rPr>
          <w:rFonts w:hint="eastAsia" w:hAnsi="宋体"/>
          <w:sz w:val="28"/>
          <w:szCs w:val="28"/>
        </w:rPr>
        <w:t xml:space="preserve"> </w:t>
      </w:r>
      <w:r>
        <w:rPr>
          <w:rFonts w:hint="eastAsia" w:hAnsi="宋体"/>
          <w:sz w:val="28"/>
          <w:szCs w:val="28"/>
          <w:lang w:val="en-US" w:eastAsia="zh-CN"/>
        </w:rPr>
        <w:t xml:space="preserve">       </w:t>
      </w:r>
      <w:r>
        <w:rPr>
          <w:rFonts w:hint="eastAsia" w:ascii="黑体" w:hAnsi="黑体" w:eastAsia="黑体" w:cs="黑体"/>
          <w:sz w:val="28"/>
          <w:szCs w:val="28"/>
          <w:lang w:val="en-US" w:eastAsia="zh-CN"/>
        </w:rPr>
        <w:t>校外导</w:t>
      </w:r>
      <w:r>
        <w:rPr>
          <w:rFonts w:hint="eastAsia" w:ascii="黑体" w:hAnsi="宋体" w:eastAsia="黑体"/>
          <w:sz w:val="28"/>
          <w:szCs w:val="28"/>
        </w:rPr>
        <w:t>师</w:t>
      </w:r>
      <w:r>
        <w:rPr>
          <w:rFonts w:hint="eastAsia" w:ascii="黑体" w:hAnsi="宋体" w:eastAsia="黑体"/>
          <w:sz w:val="28"/>
          <w:szCs w:val="28"/>
          <w:lang w:val="en-US" w:eastAsia="zh-CN"/>
        </w:rPr>
        <w:t xml:space="preserve">   </w:t>
      </w:r>
      <w:r>
        <w:rPr>
          <w:rFonts w:hint="eastAsia" w:hAnsi="宋体"/>
          <w:sz w:val="28"/>
          <w:szCs w:val="28"/>
          <w:u w:val="single"/>
        </w:rPr>
        <w:t xml:space="preserve"> </w:t>
      </w:r>
      <w:r>
        <w:rPr>
          <w:rFonts w:hint="eastAsia" w:hAnsi="宋体"/>
          <w:sz w:val="28"/>
          <w:szCs w:val="28"/>
          <w:u w:val="single"/>
          <w:lang w:val="en-US" w:eastAsia="zh-CN"/>
        </w:rPr>
        <w:t>刘晓红</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lang w:val="en-US" w:eastAsia="zh-CN"/>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60288"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7BCFEBC3">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TOC \o "1-2" \h \u </w:instrText>
          </w:r>
          <w:r>
            <w:rPr>
              <w:rFonts w:hint="default" w:ascii="Times New Roman" w:hAnsi="Times New Roman" w:eastAsia="仿宋" w:cs="Times New Roman"/>
            </w:rPr>
            <w:fldChar w:fldCharType="separate"/>
          </w: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_Toc28591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_Toc28591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BE969BE">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_Toc9772 </w:instrText>
          </w:r>
          <w:r>
            <w:rPr>
              <w:rFonts w:hint="default" w:ascii="Times New Roman" w:hAnsi="Times New Roman" w:eastAsia="仿宋" w:cs="Times New Roman"/>
              <w:sz w:val="24"/>
              <w:szCs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_Toc9772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B761D71">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_Toc13403 </w:instrText>
          </w:r>
          <w:r>
            <w:rPr>
              <w:rFonts w:hint="default" w:ascii="Times New Roman" w:hAnsi="Times New Roman" w:eastAsia="仿宋" w:cs="Times New Roman"/>
              <w:sz w:val="24"/>
              <w:szCs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_Toc13403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60208B97">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_Toc16653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 工艺设计</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_Toc16653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21E87A1">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_Toc20646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2.1 产品方案</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_Toc20646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43DA745">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_Toc11902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2.2 产品质量要求</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_Toc11902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9</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64053BF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_Toc9731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2.3 工艺流程</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_Toc9731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3CA6A7D">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_Toc10108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2.4 物料衡算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_Toc10108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1E08F4C5">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_Toc22887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2.5 设备计算与选型</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_Toc22887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12</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FF2DE2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_Toc5462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2.6 水、电、汽计算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_Toc5462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14</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14B7A6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_Toc20073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2.7 车间工艺布置</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_Toc20073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15</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1A18AA3">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_Toc30398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2.8 车间劳动定员</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_Toc30398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DE0F230">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_Toc29830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 非工艺设计</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_Toc29830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DC1975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_Toc647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3.1 门窗、地面、墙面</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_Toc647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AF74CE3">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_Toc16230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3.3 原料仓库及产品仓库</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_Toc16230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19</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F41AEAE">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_Toc7510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 环境保护</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_Toc7510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BAF4BB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_Toc10829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4.1 三废的处理</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_Toc10829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A85A9BC">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_Toc8648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4.2 噪声的控制</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_Toc8648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1A62EA5">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_Toc26659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 车间成本核算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_Toc26659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1987E3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_Toc14047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5.1 生产成本</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_Toc14047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A3953C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_Toc11449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5.2 总成本核算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_Toc11449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23</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420F624">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_Toc3757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6 结论</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_Toc3757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23</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CE1680B">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_Toc8502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kern w:val="2"/>
              <w:sz w:val="24"/>
              <w:szCs w:val="24"/>
              <w:lang w:val="en-US" w:eastAsia="zh-CN" w:bidi="ar-SA"/>
            </w:rPr>
            <w:t>【参 考 文 献】</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_Toc8502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24</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ED74996">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_Toc30624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致 谢</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_Toc30624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25</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5F35B1B">
          <w:pPr>
            <w:pStyle w:val="9"/>
            <w:tabs>
              <w:tab w:val="right" w:leader="dot" w:pos="8788"/>
            </w:tabs>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_Toc25798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附录 工程图纸</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_Toc25798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D8A8BF5">
          <w:pPr>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4C284C2C">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蓝莓酸奶将蓝莓花青素的抗氧化功效与酸奶的益生菌特点相结合，具备广阔的市场发展前景。本规划针对每年产出1000吨蓝莓酸奶的生产车间，拟定全面的工艺方案且完成成本计算，保障生产高效且稳定。</w:t>
      </w:r>
    </w:p>
    <w:p w14:paraId="7D388E8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该设计方案运用搅拌型酸奶制作工艺，主要用料为生鲜牛乳与冷冻蓝莓果浆，经过标准化处理、均质操作、巴氏杀菌、接种流程、恒温发酵、破乳冷却，添加蓝莓汁进行混合，再通过灌装以及冷藏后熟等步骤制成。车间整年规划生产300日，每日1班每班8小时，每班产量3.5吨。生产设备的总体投资为131.65万元，每个班次消耗鲜牛乳2800kg、蓝莓果浆700kg、蔗糖245kg等｡ 每年消耗的水量为5865吨，用电量为125250千瓦/时，蒸汽使用量为163.2吨。厂房建筑面积达864平方米，劳动人员数量为26人，每年生产1000吨蓝莓酸奶的总成本是1483.57万元，换算成每瓶（250克）成本为3.71元。同时拟定三废与噪声的处置方案，保障绿色生产。本设计通过AutoCAD软件来绘制工艺流程图以及车间设备布置图，清晰显示车间布局和设备配置情况。</w:t>
      </w: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eastAsia="黑体"/>
          <w:sz w:val="24"/>
          <w:szCs w:val="24"/>
          <w:lang w:val="en-US" w:eastAsia="zh-CN"/>
        </w:rPr>
      </w:pPr>
      <w:r>
        <w:rPr>
          <w:rFonts w:eastAsia="黑体"/>
          <w:sz w:val="32"/>
          <w:szCs w:val="32"/>
        </w:rPr>
        <w:t>ABSTRACT</w:t>
      </w:r>
    </w:p>
    <w:p w14:paraId="0A8F781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Blueberry-flavored yogurt integrates the antioxidative function of blueberry anthocyanins and the probiotic features of yogurt, presenting extensive market prospects.This plan is targeted at a blueberry yogurt manufacturing workshop with an annual production of 1000 tons. A comprehensive process scheme has been formulated and cost calculation has been finished to guarantee efficient and steady production.</w:t>
      </w:r>
    </w:p>
    <w:p w14:paraId="78777B8A">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This design scheme uses a stirred-style yogurt production process, taking fresh milk and frozen blueberry puree as the principal raw materials. After undergoing standardization, homogenization treatment, pasteurization process, inoculation operation, constant-temperature fermentation, emulsion breaking step, and cooling, followed by blueberry juice blending, filling, and refrigeration, the product is ready. The workshop intends to carry out production for 300 days annually. There is 1 work-shift each day, and each shift lasts for 8 hours. The production volume per shift is 3.5 tons. The overall investment in production facilities is 1.3165 million yuan, and each work-shift uses 2800kg of fresh milk, 700kg of blueberry puree, 245kg of sucrose, etc. The yearly water usage amounts to 5865t, the electricity consumption is 125250kW</w:t>
      </w:r>
      <w:r>
        <w:rPr>
          <w:rFonts w:hint="default" w:ascii="Times New Roman" w:hAnsi="Times New Roman" w:eastAsia="黑体" w:cs="Times New Roman"/>
          <w:sz w:val="24"/>
          <w:szCs w:val="24"/>
          <w:lang w:val="en-US" w:eastAsia="zh-CN"/>
        </w:rPr>
        <w:t>·</w:t>
      </w:r>
      <w:r>
        <w:rPr>
          <w:rFonts w:hint="eastAsia" w:eastAsia="黑体"/>
          <w:sz w:val="24"/>
          <w:szCs w:val="24"/>
          <w:lang w:val="en-US" w:eastAsia="zh-CN"/>
        </w:rPr>
        <w:t>h, and the steam utilization is 163.2t. The workshop features a floor area of 864</w:t>
      </w:r>
      <w:r>
        <w:rPr>
          <w:rFonts w:hint="default" w:ascii="Times New Roman" w:hAnsi="Times New Roman" w:eastAsia="黑体" w:cs="Times New Roman"/>
          <w:sz w:val="24"/>
          <w:szCs w:val="24"/>
          <w:lang w:val="en-US" w:eastAsia="zh-CN"/>
        </w:rPr>
        <w:t>m²</w:t>
      </w:r>
      <w:r>
        <w:rPr>
          <w:rFonts w:hint="eastAsia" w:eastAsia="黑体"/>
          <w:sz w:val="24"/>
          <w:szCs w:val="24"/>
          <w:lang w:val="en-US" w:eastAsia="zh-CN"/>
        </w:rPr>
        <w:t xml:space="preserve"> and a labor quota of 26 individuals. The overall cost of manufacturing 1000 tons of blueberry yogurt annually amounts to 14.8357 million yuan, which is equal to a cost of 3.71 yuan per bottle (250g). Meanwhile, a treatment scheme for three wastes and noise has been devised to guarantee eco-friendly production. This design employs AutoCAD software to create process flow charts and workshop equipment layout charts, visually presenting the workshop layout and equipment configuration.</w:t>
      </w:r>
    </w:p>
    <w:p w14:paraId="6DBB80E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p>
    <w:p w14:paraId="58911443">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黑体"/>
          <w:sz w:val="28"/>
          <w:szCs w:val="28"/>
          <w:lang w:val="en-US" w:eastAsia="zh-CN"/>
        </w:rPr>
        <w:t xml:space="preserve">Key words: </w:t>
      </w:r>
      <w:r>
        <w:rPr>
          <w:rFonts w:hint="eastAsia" w:eastAsia="黑体"/>
          <w:sz w:val="24"/>
          <w:szCs w:val="24"/>
          <w:lang w:val="en-US" w:eastAsia="zh-CN"/>
        </w:rPr>
        <w:t>blueberry yogurt; Stirred yogurt; Plant design; Material balance</w:t>
      </w: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Times New Roman" w:hAnsi="Times New Roman" w:eastAsia="黑体" w:cs="黑体"/>
          <w:b w:val="0"/>
          <w:bCs w:val="0"/>
          <w:sz w:val="24"/>
          <w:szCs w:val="24"/>
          <w:lang w:val="en-US" w:eastAsia="zh-CN"/>
        </w:rPr>
      </w:pPr>
      <w:bookmarkStart w:id="0" w:name="_Toc28591"/>
      <w:bookmarkStart w:id="1" w:name="_Toc17326"/>
      <w:r>
        <w:rPr>
          <w:rFonts w:hint="eastAsia" w:ascii="Times New Roman" w:hAnsi="Times New Roman" w:eastAsia="黑体" w:cs="黑体"/>
          <w:b w:val="0"/>
          <w:bCs w:val="0"/>
          <w:sz w:val="24"/>
          <w:szCs w:val="24"/>
          <w:lang w:val="en-US" w:eastAsia="zh-CN"/>
        </w:rPr>
        <w:t>1 设计背景</w:t>
      </w:r>
      <w:bookmarkEnd w:id="0"/>
      <w:bookmarkEnd w:id="1"/>
    </w:p>
    <w:p w14:paraId="4A74FC8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黑体" w:hAnsi="黑体" w:eastAsia="黑体" w:cs="Times New Roman"/>
          <w:b w:val="0"/>
          <w:sz w:val="24"/>
          <w:szCs w:val="24"/>
          <w:vertAlign w:val="baseline"/>
        </w:rPr>
      </w:pPr>
      <w:bookmarkStart w:id="2" w:name="_Toc29221"/>
      <w:r>
        <w:rPr>
          <w:rFonts w:hint="eastAsia"/>
          <w:lang w:val="en-US" w:eastAsia="zh-CN"/>
        </w:rPr>
        <w:t>我国身为蓝莓生产大国，种植规模和产量均位居世界首位，已成为推动农业现代化与产业精深加工的优势特色产业之一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vertAlign w:val="baseline"/>
          <w:lang w:val="en-US" w:eastAsia="zh-CN"/>
        </w:rPr>
        <w:t>。</w:t>
      </w:r>
      <w:r>
        <w:rPr>
          <w:rFonts w:hint="eastAsia"/>
          <w:lang w:val="en-US" w:eastAsia="zh-CN"/>
        </w:rPr>
        <w:t>当前全球蓝莓市场的需求显示持续上升形势，产业规模在不断拓展。从产业布局来看，中国、美国、秘鲁等主要生产国的供应能力在全球处于主导地位，中国依靠巨大的种植规模为全球蓝莓产业链提供充裕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bookmarkStart w:id="3" w:name="_Toc9772"/>
      <w:r>
        <w:rPr>
          <w:rFonts w:hint="eastAsia"/>
          <w:vertAlign w:val="baseline"/>
          <w:lang w:val="en-US" w:eastAsia="zh-CN"/>
        </w:rPr>
        <w:t>。</w:t>
      </w:r>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5C97424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在全球蓝莓产量呈规模化增长以及功能性乳制品消费升级的双重推动下，研发兼具浆果营养和发酵乳生理活性的蓝莓酸奶，已成为乳品加工创新的主要方向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在原材料供应体系方面，我国已跻身全球最大蓝莓生产国之列，以贵州、云南、四川等地为典型的主产区产能不断释放；与秘鲁、智利等南半球国家开展贸易协作，建立起跨区域、跨季节的原料互补网络</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从风味重塑与基质互补方面分析，传统单一风味的发酵乳在感官辨识度方面已呈饱和形势，而蓝莓所特有的有机酸以及挥发性风味成分能够和牛乳基质建立起良好的风味协同效应｡ 更具技术意义的是，蓝莓果实中高含量的花青素等多酚类次生代谢物质，赋予产品清晰的抗氧化靶向作用</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p>
    <w:p w14:paraId="24B0EE7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lang w:eastAsia="zh-CN"/>
        </w:rPr>
      </w:pPr>
      <w:r>
        <w:rPr>
          <w:rFonts w:hint="eastAsia" w:ascii="Times New Roman" w:hAnsi="Times New Roman" w:eastAsia="宋体" w:cs="Times New Roman"/>
          <w:b w:val="0"/>
          <w:sz w:val="24"/>
          <w:szCs w:val="24"/>
          <w:vertAlign w:val="baseline"/>
        </w:rPr>
        <w:t>在当前阶段的技术研发形势里，国际研究重点大多集中于发酵以及热加工体系之中</w:t>
      </w:r>
      <w:r>
        <w:rPr>
          <w:rFonts w:hint="eastAsia" w:cs="Times New Roman"/>
          <w:b w:val="0"/>
          <w:sz w:val="24"/>
          <w:szCs w:val="24"/>
          <w:vertAlign w:val="baseline"/>
          <w:lang w:val="en-US" w:eastAsia="zh-CN"/>
        </w:rPr>
        <w:t>的</w:t>
      </w:r>
      <w:r>
        <w:rPr>
          <w:rFonts w:hint="eastAsia" w:ascii="Times New Roman" w:hAnsi="Times New Roman" w:eastAsia="宋体" w:cs="Times New Roman"/>
          <w:b w:val="0"/>
          <w:sz w:val="24"/>
          <w:szCs w:val="24"/>
          <w:vertAlign w:val="baseline"/>
        </w:rPr>
        <w:t>花色苷，并且尝试通过特定菌株筛选和色泽保护方法来延缓产品在货架期内的品质变差</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；与之相较国内研究主要专注于引进品种的加工适宜性评估，深层次的精深加工调控措施和配套设备仍较为欠缺</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毋庸置疑当下蓝莓酸奶产业的产业化落实仍受制于多项技术与行业短板：我国现有的蓝莓种植体系里加工专用品种的结构存在失衡，自主培育的加工型专用品种非常短缺；并且中西部主产区冷链物流网络的覆盖范围和温控精准度不够，再加上上游品牌集中程度较低，都在一定程度上阻碍高端搅拌型风味酸奶的规模化普及</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所以全球蓝莓酸奶产业正处于从初级原辅料简单复配到精准工艺过程控制与功能品质协同优化的工程转变进程中</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未来此领域的技术突破方向重点于加工专用品种的针对性选育、全产业链的数字化可追溯管控，从而引领蓝莓酸奶加工朝着高技术附加值、高品质刚性的工程路径发展</w:t>
      </w:r>
      <w:r>
        <w:rPr>
          <w:rFonts w:hint="eastAsia" w:cs="Times New Roman"/>
          <w:b w:val="0"/>
          <w:sz w:val="24"/>
          <w:szCs w:val="24"/>
          <w:vertAlign w:val="baseline"/>
          <w:lang w:eastAsia="zh-CN"/>
        </w:rPr>
        <w:t>。</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r>
        <w:rPr>
          <w:rFonts w:hint="eastAsia" w:ascii="黑体" w:hAnsi="黑体" w:eastAsia="黑体" w:cs="Times New Roman"/>
          <w:b w:val="0"/>
          <w:bCs w:val="0"/>
          <w:sz w:val="24"/>
          <w:szCs w:val="24"/>
          <w:lang w:val="en-US" w:eastAsia="zh-CN" w:bidi="ar-SA"/>
        </w:rPr>
        <w:t xml:space="preserve"> </w:t>
      </w:r>
      <w:bookmarkStart w:id="5" w:name="_Toc13403"/>
      <w:r>
        <w:rPr>
          <w:rFonts w:hint="eastAsia" w:ascii="黑体" w:hAnsi="黑体" w:eastAsia="黑体" w:cs="Times New Roman"/>
          <w:b w:val="0"/>
          <w:bCs w:val="0"/>
          <w:sz w:val="24"/>
          <w:szCs w:val="24"/>
          <w:lang w:val="en-US" w:eastAsia="zh-CN" w:bidi="ar-SA"/>
        </w:rPr>
        <w:t>蓝莓营养价值概述</w:t>
      </w:r>
      <w:bookmarkEnd w:id="4"/>
      <w:bookmarkEnd w:id="5"/>
    </w:p>
    <w:p w14:paraId="270CDA5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vertAlign w:val="baseline"/>
          <w:lang w:val="en-US" w:eastAsia="zh-CN"/>
        </w:rPr>
      </w:pPr>
      <w:bookmarkStart w:id="6" w:name="_Toc25408"/>
      <w:bookmarkStart w:id="7" w:name="_Toc168404166"/>
      <w:r>
        <w:rPr>
          <w:rFonts w:hint="eastAsia"/>
          <w:b w:val="0"/>
          <w:sz w:val="24"/>
          <w:szCs w:val="24"/>
          <w:lang w:val="en-US" w:eastAsia="zh-CN"/>
        </w:rPr>
        <w:t>从营养素构成角度看，蓝莓果实同时具备基础营养的价值和高膳食纤维的特点。 它的内部含有丰富的蛋白质、多种维生素（包含VC、VE）以及钾、铁、锌等微量元素，其中成熟的新鲜果实膳食纤维质量分数能够达到4.5%，在同类浆果里显示出明显的含量优势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lang w:val="en-US" w:eastAsia="zh-CN"/>
        </w:rPr>
        <w:t>｡ 这些成分主要是以飞燕草素、矢车菊素、矮牵牛素等和葡萄糖或者半乳糖偶联所形成的花色苷形式稳定存在，是蓝莓具备强自由基清除能力的主要根源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lang w:val="en-US" w:eastAsia="zh-CN"/>
        </w:rPr>
        <w:t>｡ 除花色苷之外，果实当中还富含黄酮类、酚酸类、超氧化物歧化酶以及功能性多糖等成分，一同建立起多成分交织的天然抗氧化基质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p>
    <w:p w14:paraId="646E667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bookmarkStart w:id="8" w:name="_Toc16653"/>
      <w:r>
        <w:rPr>
          <w:rFonts w:hint="eastAsia"/>
          <w:b w:val="0"/>
          <w:sz w:val="24"/>
          <w:szCs w:val="24"/>
          <w:lang w:val="en-US" w:eastAsia="zh-CN"/>
        </w:rPr>
        <w:t>有关的药理学和临床研究验证蓝莓活性因子的生理调节机制。详细来说花青素成分可以通过激活视网膜相关酶的活性、降低基质金属蛋白酶-2（MMP-2）的表达，起到改进视觉传导、延缓近视进程的作用；多糖类大分子参与机体运动耐力的调控，通过加快血乳酸代谢发挥抗疲劳的效果；在肿瘤生物学研究中，蓝莓花青素已被证明对肝癌、结肠癌及乳腺癌等恶性肿瘤细胞的增殖有抑制作用，可引导细胞凋亡程序，并且能通过调节组蛋白乙酰化修饰水平来干预肿瘤发展</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 xml:space="preserve">上述特殊的生物活性和综合营养特性，奠定蓝莓作为发酵乳等功能性食品主要辅料的技术意义｡ </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2"/>
          <w:szCs w:val="10"/>
          <w:lang w:val="en-US" w:eastAsia="zh-CN"/>
        </w:rPr>
      </w:pPr>
      <w:r>
        <w:rPr>
          <w:rFonts w:hint="eastAsia" w:ascii="Times New Roman" w:hAnsi="Times New Roman"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Times New Roman" w:hAnsi="Times New Roman" w:cs="Times New Roman"/>
          <w:b w:val="0"/>
          <w:bCs w:val="0"/>
          <w:sz w:val="24"/>
          <w:szCs w:val="24"/>
          <w:lang w:val="en-US" w:eastAsia="zh-CN"/>
        </w:rPr>
      </w:pPr>
      <w:bookmarkStart w:id="9" w:name="_Toc7582"/>
      <w:bookmarkStart w:id="10" w:name="_Toc20646"/>
      <w:r>
        <w:rPr>
          <w:rFonts w:hint="eastAsia" w:ascii="Times New Roman" w:hAnsi="Times New Roman" w:eastAsia="黑体" w:cs="Times New Roman"/>
          <w:b w:val="0"/>
          <w:bCs w:val="0"/>
          <w:sz w:val="24"/>
          <w:szCs w:val="24"/>
          <w:lang w:val="en-US" w:eastAsia="zh-CN"/>
        </w:rPr>
        <w:t>2.1</w:t>
      </w:r>
      <w:r>
        <w:rPr>
          <w:rFonts w:hint="eastAsia" w:ascii="Times New Roman" w:hAnsi="Times New Roman" w:cs="Times New Roman"/>
          <w:b w:val="0"/>
          <w:bCs w:val="0"/>
          <w:sz w:val="24"/>
          <w:szCs w:val="24"/>
          <w:lang w:val="en-US" w:eastAsia="zh-CN"/>
        </w:rPr>
        <w:t xml:space="preserve"> </w:t>
      </w:r>
      <w:r>
        <w:rPr>
          <w:rFonts w:hint="eastAsia" w:ascii="Times New Roman" w:hAnsi="Times New Roman" w:eastAsia="黑体" w:cs="Times New Roman"/>
          <w:b w:val="0"/>
          <w:bCs w:val="0"/>
          <w:sz w:val="24"/>
          <w:szCs w:val="24"/>
          <w:lang w:val="en-US" w:eastAsia="zh-CN"/>
        </w:rPr>
        <w:t>产品方案</w:t>
      </w:r>
      <w:bookmarkEnd w:id="9"/>
      <w:bookmarkEnd w:id="10"/>
    </w:p>
    <w:p w14:paraId="76169DB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本设计所针对的目标产品定位为搅拌型酸奶，其主要是由优质生鲜乳和特色蓝莓果料作为原辅料复合制作而成</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从市场终端和消费场景的角度考虑，产品最终选用250g/瓶的瓶装形式，且按照12瓶/箱的标准件进行组合，目的是进入即饮零售以及家庭日常消费市场</w:t>
      </w:r>
      <w:r>
        <w:rPr>
          <w:rFonts w:hint="eastAsia" w:cs="Times New Roman"/>
          <w:b w:val="0"/>
          <w:bCs w:val="0"/>
          <w:color w:val="000000" w:themeColor="text1"/>
          <w:sz w:val="24"/>
          <w:szCs w:val="24"/>
          <w:lang w:val="en-US" w:eastAsia="zh-CN"/>
          <w14:textFill>
            <w14:solidFill>
              <w14:schemeClr w14:val="tx1"/>
            </w14:solidFill>
          </w14:textFill>
        </w:rPr>
        <w:t>。</w:t>
      </w:r>
    </w:p>
    <w:p w14:paraId="49085BA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在车间产能规划每年生产1000吨的建设规模</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结合中小型乳品加工车间的运营特性，把全年生产周期设定为300天，采用单班制进行生产管理，实际每班产量约为3.5吨</w:t>
      </w:r>
      <w:r>
        <w:rPr>
          <w:rFonts w:hint="eastAsia" w:cs="Times New Roman"/>
          <w:b w:val="0"/>
          <w:bCs w:val="0"/>
          <w:color w:val="000000" w:themeColor="text1"/>
          <w:sz w:val="24"/>
          <w:szCs w:val="24"/>
          <w:lang w:val="en-US" w:eastAsia="zh-CN"/>
          <w14:textFill>
            <w14:solidFill>
              <w14:schemeClr w14:val="tx1"/>
            </w14:solidFill>
          </w14:textFill>
        </w:rPr>
        <w:t>。</w:t>
      </w:r>
    </w:p>
    <w:p w14:paraId="4A4D932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cs="Times New Roman"/>
          <w:b w:val="0"/>
          <w:bCs w:val="0"/>
          <w:color w:val="000000" w:themeColor="text1"/>
          <w:sz w:val="24"/>
          <w:szCs w:val="24"/>
          <w:lang w:val="en-US" w:eastAsia="zh-CN"/>
          <w14:textFill>
            <w14:solidFill>
              <w14:schemeClr w14:val="tx1"/>
            </w14:solidFill>
          </w14:textFill>
        </w:rPr>
        <w:t>本设计</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规划通过我国贵州、云南、四川和辽宁等主要产区的地理纬度和生态类型差别，错时衔接各产区蓝莓的上市时段</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另外对于中高端产品线的配方要求，该方案在生产安排里引入智利、秘鲁等南半球国家的进口冻果当作反季节的补充</w:t>
      </w:r>
      <w:r>
        <w:rPr>
          <w:rFonts w:hint="eastAsia" w:cs="Times New Roman"/>
          <w:b w:val="0"/>
          <w:bCs w:val="0"/>
          <w:color w:val="000000" w:themeColor="text1"/>
          <w:sz w:val="24"/>
          <w:szCs w:val="24"/>
          <w:lang w:val="en-US" w:eastAsia="zh-CN"/>
          <w14:textFill>
            <w14:solidFill>
              <w14:schemeClr w14:val="tx1"/>
            </w14:solidFill>
          </w14:textFill>
        </w:rPr>
        <w:t>。</w:t>
      </w:r>
    </w:p>
    <w:p w14:paraId="09FEC8F9">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本设计最后把厂址确定在贵州省（黔东南或者安顺地区）的省级食品工业园区之中</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通过贵州蓝莓种植面积和产量形成的集聚效果，原料乳以及新鲜蓝莓在采摘之后能够迅速于就近处开展速冻或者冷藏保存，进一步把从田间到加工车间的运输时长控制在极小范围</w:t>
      </w:r>
      <w:r>
        <w:rPr>
          <w:rFonts w:hint="eastAsia" w:cs="Times New Roman"/>
          <w:b w:val="0"/>
          <w:bCs w:val="0"/>
          <w:color w:val="000000" w:themeColor="text1"/>
          <w:sz w:val="24"/>
          <w:szCs w:val="24"/>
          <w:lang w:val="en-US" w:eastAsia="zh-CN"/>
          <w14:textFill>
            <w14:solidFill>
              <w14:schemeClr w14:val="tx1"/>
            </w14:solidFill>
          </w14:textFill>
        </w:rPr>
        <w:t>。</w:t>
      </w:r>
    </w:p>
    <w:p w14:paraId="4FE59F3E">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本间设计开展平面布局工作时，首要的任务是严格落实《食品安全国家标准 食品生产通用卫生规范》</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GB14881）等行业的硬性指标</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各个生产环节的设备布置需紧密相连，保证蓝莓酸奶从原料乳检验、物料调配、杀菌、发酵直至最终灌装的全流程</w:t>
      </w:r>
      <w:r>
        <w:rPr>
          <w:rFonts w:hint="eastAsia" w:cs="Times New Roman"/>
          <w:b w:val="0"/>
          <w:bCs w:val="0"/>
          <w:color w:val="000000" w:themeColor="text1"/>
          <w:sz w:val="24"/>
          <w:szCs w:val="24"/>
          <w:lang w:val="en-US" w:eastAsia="zh-CN"/>
          <w14:textFill>
            <w14:solidFill>
              <w14:schemeClr w14:val="tx1"/>
            </w14:solidFill>
          </w14:textFill>
        </w:rPr>
        <w:t>。</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cs="Times New Roman"/>
          <w:b w:val="0"/>
          <w:bCs w:val="0"/>
          <w:sz w:val="24"/>
          <w:szCs w:val="24"/>
          <w:lang w:val="en-US" w:eastAsia="zh-CN"/>
        </w:rPr>
      </w:pPr>
      <w:bookmarkStart w:id="13" w:name="_Toc11902"/>
      <w:r>
        <w:rPr>
          <w:rFonts w:hint="eastAsia" w:ascii="Times New Roman" w:hAnsi="Times New Roman" w:eastAsia="黑体" w:cs="Times New Roman"/>
          <w:b w:val="0"/>
          <w:bCs w:val="0"/>
          <w:color w:val="auto"/>
          <w:sz w:val="24"/>
          <w:szCs w:val="24"/>
          <w:lang w:val="en-US" w:eastAsia="zh-CN"/>
        </w:rPr>
        <w:t>2.2</w:t>
      </w:r>
      <w:r>
        <w:rPr>
          <w:rFonts w:hint="eastAsia" w:ascii="Times New Roman" w:hAnsi="Times New Roman" w:cs="Times New Roman"/>
          <w:b w:val="0"/>
          <w:bCs w:val="0"/>
          <w:color w:val="auto"/>
          <w:sz w:val="24"/>
          <w:szCs w:val="24"/>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Times New Roman" w:hAnsi="Times New Roman" w:eastAsia="黑体" w:cs="黑体"/>
          <w:kern w:val="2"/>
          <w:sz w:val="21"/>
          <w:szCs w:val="22"/>
        </w:rPr>
        <w:t>表</w:t>
      </w:r>
      <w:r>
        <w:rPr>
          <w:rFonts w:hint="eastAsia" w:ascii="Times New Roman" w:hAnsi="Times New Roman" w:eastAsia="黑体" w:cs="黑体"/>
          <w:kern w:val="2"/>
          <w:sz w:val="21"/>
          <w:szCs w:val="22"/>
          <w:lang w:val="en-US" w:eastAsia="zh-CN"/>
        </w:rPr>
        <w:t>1</w:t>
      </w:r>
      <w:r>
        <w:rPr>
          <w:rFonts w:hint="eastAsia" w:ascii="Times New Roman" w:hAnsi="Times New Roman" w:eastAsia="黑体" w:cs="黑体"/>
          <w:kern w:val="2"/>
          <w:sz w:val="21"/>
          <w:szCs w:val="22"/>
        </w:rPr>
        <w:t xml:space="preserve"> </w:t>
      </w:r>
      <w:r>
        <w:rPr>
          <w:rFonts w:hint="eastAsia" w:ascii="Times New Roman" w:hAnsi="Times New Roman"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top w:val="single" w:color="auto" w:sz="12" w:space="0"/>
              <w:bottom w:val="single" w:color="auto" w:sz="4"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top w:val="single" w:color="auto" w:sz="4" w:space="0"/>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w:t>
      </w:r>
      <w:r>
        <w:rPr>
          <w:rFonts w:hint="default" w:ascii="Times New Roman" w:hAnsi="Times New Roman" w:eastAsia="黑体" w:cs="Times New Roman"/>
          <w:kern w:val="2"/>
          <w:sz w:val="21"/>
          <w:szCs w:val="22"/>
          <w:lang w:val="en-US" w:eastAsia="zh-CN"/>
        </w:rPr>
        <w:t>4</w:t>
      </w:r>
      <w:r>
        <w:rPr>
          <w:rFonts w:hint="eastAsia" w:ascii="黑体" w:hAnsi="黑体" w:eastAsia="黑体" w:cs="黑体"/>
          <w:kern w:val="2"/>
          <w:sz w:val="21"/>
          <w:szCs w:val="22"/>
          <w:lang w:val="en-US" w:eastAsia="zh-CN"/>
        </w:rPr>
        <w:t xml:space="preserve">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72468BDC">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15" w:name="_Toc9731"/>
      <w:r>
        <w:rPr>
          <w:rFonts w:hint="eastAsia" w:ascii="Times New Roman" w:hAnsi="Times New Roman" w:eastAsia="黑体" w:cs="黑体"/>
          <w:b w:val="0"/>
          <w:bCs/>
          <w:sz w:val="24"/>
          <w:szCs w:val="16"/>
          <w:lang w:val="en-US" w:eastAsia="zh-CN"/>
        </w:rPr>
        <w:t>2.</w:t>
      </w:r>
      <w:r>
        <w:rPr>
          <w:rFonts w:hint="eastAsia" w:ascii="Times New Roman" w:hAnsi="Times New Roman" w:cs="黑体"/>
          <w:b w:val="0"/>
          <w:bCs/>
          <w:sz w:val="24"/>
          <w:szCs w:val="16"/>
          <w:lang w:val="en-US" w:eastAsia="zh-CN"/>
        </w:rPr>
        <w:t xml:space="preserve">3 </w:t>
      </w:r>
      <w:r>
        <w:rPr>
          <w:rFonts w:hint="eastAsia" w:ascii="Times New Roman" w:hAnsi="Times New Roman" w:eastAsia="黑体" w:cs="黑体"/>
          <w:b w:val="0"/>
          <w:bCs/>
          <w:sz w:val="24"/>
          <w:szCs w:val="16"/>
          <w:lang w:val="en-US" w:eastAsia="zh-CN"/>
        </w:rPr>
        <w:t>工艺流程</w:t>
      </w:r>
      <w:bookmarkEnd w:id="12"/>
      <w:bookmarkEnd w:id="14"/>
      <w:bookmarkEnd w:id="15"/>
    </w:p>
    <w:p w14:paraId="02A3644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2.3.1 蓝莓酸奶生产工艺流程图</w:t>
      </w:r>
    </w:p>
    <w:p w14:paraId="7B106672">
      <w:pPr>
        <w:rPr>
          <w:rFonts w:hint="eastAsia"/>
          <w:strike w:val="0"/>
          <w:dstrike w:val="0"/>
          <w:lang w:val="en-US" w:eastAsia="zh-CN"/>
        </w:rPr>
      </w:pPr>
      <w:r>
        <w:rPr>
          <w:rFonts w:hint="eastAsia"/>
          <w:strike w:val="0"/>
          <w:dstrike w:val="0"/>
          <w:lang w:val="en-US" w:eastAsia="zh-CN"/>
        </w:rPr>
        <w:drawing>
          <wp:inline distT="0" distB="0" distL="114300" distR="114300">
            <wp:extent cx="5573395" cy="837565"/>
            <wp:effectExtent l="0" t="0" r="4445" b="635"/>
            <wp:docPr id="2" name="图片 2" descr="PixPin_2026-05-08_16-1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ixPin_2026-05-08_16-12-07"/>
                    <pic:cNvPicPr>
                      <a:picLocks noChangeAspect="1"/>
                    </pic:cNvPicPr>
                  </pic:nvPicPr>
                  <pic:blipFill>
                    <a:blip r:embed="rId10"/>
                    <a:stretch>
                      <a:fillRect/>
                    </a:stretch>
                  </pic:blipFill>
                  <pic:spPr>
                    <a:xfrm>
                      <a:off x="0" y="0"/>
                      <a:ext cx="5573395" cy="837565"/>
                    </a:xfrm>
                    <a:prstGeom prst="rect">
                      <a:avLst/>
                    </a:prstGeom>
                  </pic:spPr>
                </pic:pic>
              </a:graphicData>
            </a:graphic>
          </wp:inline>
        </w:drawing>
      </w:r>
    </w:p>
    <w:p w14:paraId="3428278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szCs w:val="21"/>
        </w:rPr>
      </w:pPr>
      <w:r>
        <w:rPr>
          <w:rFonts w:hint="eastAsia" w:ascii="Times New Roman" w:hAnsi="Times New Roman" w:eastAsia="黑体"/>
          <w:sz w:val="21"/>
          <w:szCs w:val="21"/>
        </w:rPr>
        <w:t>图1</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蓝莓酸奶</w:t>
      </w:r>
      <w:r>
        <w:rPr>
          <w:rFonts w:hint="eastAsia" w:ascii="Times New Roman" w:hAnsi="Times New Roman" w:eastAsia="黑体"/>
          <w:sz w:val="21"/>
          <w:szCs w:val="21"/>
        </w:rPr>
        <w:t>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2.3.2 蓝莓酸奶生产操作要点</w:t>
      </w:r>
      <w:bookmarkStart w:id="16" w:name="_Toc168404169"/>
      <w:bookmarkStart w:id="17" w:name="_Toc1307"/>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蓝莓汁制备：将去梗、清洗</w:t>
      </w:r>
      <w:r>
        <w:rPr>
          <w:rFonts w:hint="eastAsia" w:cs="宋体"/>
          <w:b w:val="0"/>
          <w:color w:val="000000" w:themeColor="text1"/>
          <w:sz w:val="24"/>
          <w:szCs w:val="24"/>
          <w:lang w:val="en-US" w:eastAsia="zh-CN"/>
          <w14:textFill>
            <w14:solidFill>
              <w14:schemeClr w14:val="tx1"/>
            </w14:solidFill>
          </w14:textFill>
        </w:rPr>
        <w:t>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榨汁并添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w:t>
      </w:r>
      <w:bookmarkStart w:id="110" w:name="_GoBack"/>
      <w:bookmarkEnd w:id="110"/>
      <w:r>
        <w:rPr>
          <w:rFonts w:hint="eastAsia" w:ascii="Times New Roman" w:hAnsi="Times New Roman" w:eastAsia="宋体" w:cs="宋体"/>
          <w:b w:val="0"/>
          <w:color w:val="000000" w:themeColor="text1"/>
          <w:sz w:val="24"/>
          <w:szCs w:val="24"/>
          <w:lang w:val="en-US" w:eastAsia="zh-CN"/>
          <w14:textFill>
            <w14:solidFill>
              <w14:schemeClr w14:val="tx1"/>
            </w14:solidFill>
          </w14:textFill>
        </w:rPr>
        <w:t>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（2）原料乳查验：挑选符合GB19302规定的生鲜牛乳，通过感官、理化以及微生物检测｡ 在进行生产之前，把鲜乳的标准调整为脂肪含量≥2.5%、蛋白质含量≥2.3%</w:t>
      </w:r>
      <w:r>
        <w:rPr>
          <w:rFonts w:hint="eastAsia"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_Ref7062 \r \h  \* MERGEFORMAT</w:instrText>
      </w:r>
      <w:r>
        <w:rPr>
          <w:rFonts w:hint="eastAsia" w:cs="宋体"/>
          <w:b w:val="0"/>
          <w:color w:val="000000" w:themeColor="text1"/>
          <w:sz w:val="24"/>
          <w:szCs w:val="24"/>
          <w:vertAlign w:val="superscript"/>
          <w:lang w:val="en-US" w:eastAsia="zh-CN"/>
          <w14:textFill>
            <w14:solidFill>
              <w14:schemeClr w14:val="tx1"/>
            </w14:solidFill>
          </w14:textFill>
        </w:rPr>
        <w:fldChar w:fldCharType="separate"/>
      </w:r>
      <w:r>
        <w:rPr>
          <w:rFonts w:hint="eastAsia" w:cs="宋体"/>
          <w:b w:val="0"/>
          <w:color w:val="000000" w:themeColor="text1"/>
          <w:sz w:val="24"/>
          <w:szCs w:val="24"/>
          <w:vertAlign w:val="superscript"/>
          <w:lang w:val="en-US" w:eastAsia="zh-CN"/>
          <w14:textFill>
            <w14:solidFill>
              <w14:schemeClr w14:val="tx1"/>
            </w14:solidFill>
          </w14:textFill>
        </w:rPr>
        <w:t>[17]</w:t>
      </w:r>
      <w:r>
        <w:rPr>
          <w:rFonts w:hint="eastAsia"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57C723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杀菌与冷却：把经过标准化处理的鲜乳杀菌</w:t>
      </w:r>
      <w:r>
        <w:rPr>
          <w:rFonts w:hint="eastAsia" w:cs="宋体"/>
          <w:b w:val="0"/>
          <w:color w:val="000000" w:themeColor="text1"/>
          <w:sz w:val="24"/>
          <w:szCs w:val="24"/>
          <w:lang w:val="en-US" w:eastAsia="zh-CN"/>
          <w14:textFill>
            <w14:solidFill>
              <w14:schemeClr w14:val="tx1"/>
            </w14:solidFill>
          </w14:textFill>
        </w:rPr>
        <w:t>杀菌</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，同时促使乳清蛋白适度发生变性</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灭菌后快速冷却到42</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至43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操作</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鲜乳</w:t>
      </w:r>
      <w:r>
        <w:rPr>
          <w:rFonts w:hint="eastAsia" w:cs="宋体"/>
          <w:b w:val="0"/>
          <w:color w:val="000000" w:themeColor="text1"/>
          <w:sz w:val="24"/>
          <w:szCs w:val="24"/>
          <w:lang w:val="en-US" w:eastAsia="zh-CN"/>
          <w14:textFill>
            <w14:solidFill>
              <w14:schemeClr w14:val="tx1"/>
            </w14:solidFill>
          </w14:textFill>
        </w:rPr>
        <w:t>并</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6EFAF3B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w:t>
      </w:r>
      <w:r>
        <w:rPr>
          <w:rFonts w:hint="eastAsia" w:cs="宋体"/>
          <w:b w:val="0"/>
          <w:color w:val="000000" w:themeColor="text1"/>
          <w:sz w:val="24"/>
          <w:szCs w:val="24"/>
          <w:lang w:val="en-US" w:eastAsia="zh-CN"/>
          <w14:textFill>
            <w14:solidFill>
              <w14:schemeClr w14:val="tx1"/>
            </w14:solidFill>
          </w14:textFill>
        </w:rPr>
        <w:t>处理：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把接种完成后的料液放在42-43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的恒温环境中发酵大概6小时，终点的酸度要控制在70-75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T或者pH值处于4.5-4.6，发酵到凝乳均匀且没有乳清析出时结束</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w:t>
      </w:r>
      <w:r>
        <w:rPr>
          <w:rFonts w:hint="eastAsia" w:cs="宋体"/>
          <w:b w:val="0"/>
          <w:color w:val="000000" w:themeColor="text1"/>
          <w:sz w:val="24"/>
          <w:szCs w:val="24"/>
          <w:lang w:val="en-US" w:eastAsia="zh-CN"/>
          <w14:textFill>
            <w14:solidFill>
              <w14:schemeClr w14:val="tx1"/>
            </w14:solidFill>
          </w14:textFill>
        </w:rPr>
        <w:t>马上</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w:t>
      </w:r>
      <w:r>
        <w:rPr>
          <w:rFonts w:hint="eastAsia" w:cs="宋体"/>
          <w:b w:val="0"/>
          <w:color w:val="000000" w:themeColor="text1"/>
          <w:sz w:val="24"/>
          <w:szCs w:val="24"/>
          <w:lang w:val="en-US" w:eastAsia="zh-CN"/>
          <w14:textFill>
            <w14:solidFill>
              <w14:schemeClr w14:val="tx1"/>
            </w14:solidFill>
          </w14:textFill>
        </w:rPr>
        <w:t>流</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搅拌均匀：将预先制备好并已冷却的蓝莓汁按配方比例加入冷却后的酸奶基料中，搅拌均匀，使蓝莓汁与酸奶充分混合，产品呈均匀一致的蓝紫色。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w:t>
      </w:r>
    </w:p>
    <w:p w14:paraId="74DB6BA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1E0D274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p>
    <w:p w14:paraId="15BDB67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18" w:name="_Toc10108"/>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4 </w:t>
      </w:r>
      <w:r>
        <w:rPr>
          <w:rFonts w:hint="eastAsia" w:ascii="Times New Roman" w:hAnsi="Times New Roman" w:eastAsia="黑体" w:cs="黑体"/>
          <w:b w:val="0"/>
          <w:bCs w:val="0"/>
          <w:sz w:val="24"/>
          <w:szCs w:val="24"/>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Times New Roman" w:hAnsi="Times New Roman" w:eastAsia="黑体" w:cs="Times New Roman"/>
          <w:sz w:val="21"/>
          <w:lang w:val="en-US" w:eastAsia="zh-CN"/>
        </w:rPr>
      </w:pPr>
      <w:r>
        <w:rPr>
          <w:rFonts w:hint="eastAsia" w:ascii="Times New Roman" w:hAnsi="Times New Roman" w:eastAsia="黑体" w:cs="Times New Roman"/>
          <w:sz w:val="21"/>
          <w:szCs w:val="21"/>
        </w:rPr>
        <w:t>表</w:t>
      </w:r>
      <w:r>
        <w:rPr>
          <w:rFonts w:hint="eastAsia" w:ascii="Times New Roman" w:hAnsi="Times New Roman" w:eastAsia="黑体" w:cs="Times New Roman"/>
          <w:sz w:val="21"/>
          <w:szCs w:val="21"/>
          <w:lang w:val="en-US" w:eastAsia="zh-CN"/>
        </w:rPr>
        <w:t>5</w:t>
      </w:r>
      <w:r>
        <w:rPr>
          <w:rFonts w:ascii="Times New Roman" w:hAnsi="Times New Roman" w:eastAsia="黑体" w:cs="Times New Roman"/>
          <w:sz w:val="21"/>
          <w:szCs w:val="21"/>
        </w:rPr>
        <w:t xml:space="preserve"> </w:t>
      </w:r>
      <w:r>
        <w:rPr>
          <w:rFonts w:hint="eastAsia" w:ascii="Times New Roman" w:hAnsi="Times New Roman" w:eastAsia="黑体" w:cs="Times New Roman"/>
          <w:sz w:val="21"/>
          <w:szCs w:val="21"/>
        </w:rPr>
        <w:t>工艺损耗</w:t>
      </w:r>
      <w:r>
        <w:rPr>
          <w:rFonts w:hint="eastAsia" w:ascii="Times New Roman" w:hAnsi="Times New Roman" w:eastAsia="黑体" w:cs="Times New Roman"/>
          <w:sz w:val="21"/>
          <w:szCs w:val="21"/>
          <w:lang w:val="en-US" w:eastAsia="zh-CN"/>
        </w:rPr>
        <w:t>率</w:t>
      </w:r>
      <w:r>
        <w:rPr>
          <w:rFonts w:hint="eastAsia" w:ascii="Times New Roman" w:hAnsi="Times New Roman" w:eastAsia="黑体" w:cs="Times New Roman"/>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2862.3</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2848.0</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2833.7</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2819.5</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2793.9</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2765.0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蓝莓汁制备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25.0</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471.4</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6</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2862.3</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858.7</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471.4</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141.4</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Times New Roman"/>
          <w:b w:val="0"/>
          <w:bCs w:val="0"/>
          <w:sz w:val="24"/>
          <w:szCs w:val="24"/>
          <w:lang w:val="en-US" w:eastAsia="zh-CN"/>
        </w:rPr>
      </w:pPr>
      <w:r>
        <w:rPr>
          <w:rFonts w:hint="eastAsia" w:ascii="Times New Roman" w:hAnsi="Times New Roman" w:eastAsia="黑体" w:cs="Times New Roman"/>
          <w:b w:val="0"/>
          <w:bCs w:val="0"/>
          <w:sz w:val="24"/>
          <w:szCs w:val="24"/>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 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 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sz w:val="21"/>
                <w:szCs w:val="21"/>
              </w:rPr>
            </w:pPr>
            <w:r>
              <w:rPr>
                <w:rFonts w:hint="eastAsia"/>
                <w:sz w:val="21"/>
                <w:szCs w:val="21"/>
              </w:rPr>
              <w:t>每班需要量</w:t>
            </w:r>
          </w:p>
        </w:tc>
        <w:tc>
          <w:tcPr>
            <w:tcW w:w="1955" w:type="pct"/>
            <w:tcBorders>
              <w:top w:val="single" w:color="auto" w:sz="12" w:space="0"/>
              <w:bottom w:val="single" w:color="auto" w:sz="4" w:space="0"/>
            </w:tcBorders>
            <w:vAlign w:val="center"/>
          </w:tcPr>
          <w:p w14:paraId="235CCA2E">
            <w:pPr>
              <w:spacing w:line="400" w:lineRule="exact"/>
              <w:jc w:val="center"/>
              <w:rPr>
                <w:sz w:val="21"/>
                <w:szCs w:val="21"/>
              </w:rPr>
            </w:pPr>
            <w:r>
              <w:rPr>
                <w:rFonts w:hint="eastAsia"/>
                <w:sz w:val="21"/>
                <w:szCs w:val="21"/>
              </w:rPr>
              <w:t>全年需要量</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1" w:name="_Toc22887"/>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5 </w:t>
      </w:r>
      <w:r>
        <w:rPr>
          <w:rFonts w:hint="eastAsia" w:ascii="Times New Roman" w:hAnsi="Times New Roman" w:eastAsia="黑体" w:cs="黑体"/>
          <w:b w:val="0"/>
          <w:bCs w:val="0"/>
          <w:sz w:val="24"/>
          <w:szCs w:val="24"/>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2.5.1 选型原则</w:t>
      </w:r>
    </w:p>
    <w:p w14:paraId="154B7F8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设备的选型要严格根据日班产3.5吨的中小规模乳品生产特性</w:t>
      </w:r>
      <w:r>
        <w:rPr>
          <w:rFonts w:hint="eastAsia" w:cs="宋体"/>
          <w:sz w:val="24"/>
          <w:szCs w:val="24"/>
          <w:lang w:val="en-US" w:eastAsia="zh-CN"/>
        </w:rPr>
        <w:t>。</w:t>
      </w:r>
      <w:r>
        <w:rPr>
          <w:rFonts w:hint="eastAsia" w:ascii="Times New Roman" w:hAnsi="Times New Roman" w:cs="宋体"/>
          <w:sz w:val="24"/>
          <w:szCs w:val="24"/>
          <w:lang w:val="en-US" w:eastAsia="zh-CN"/>
        </w:rPr>
        <w:t>均质机、巴氏杀菌机等前处理单元的额定每小时流量（t/h），要和发酵罐组的周转频率以及后续自动灌装线的产能节奏紧密匹配</w:t>
      </w:r>
      <w:r>
        <w:rPr>
          <w:rFonts w:hint="eastAsia" w:cs="宋体"/>
          <w:sz w:val="24"/>
          <w:szCs w:val="24"/>
          <w:lang w:val="en-US" w:eastAsia="zh-CN"/>
        </w:rPr>
        <w:t>。</w:t>
      </w:r>
      <w:r>
        <w:rPr>
          <w:rFonts w:hint="eastAsia" w:ascii="Times New Roman" w:hAnsi="Times New Roman" w:cs="宋体"/>
          <w:sz w:val="24"/>
          <w:szCs w:val="24"/>
          <w:lang w:val="en-US" w:eastAsia="zh-CN"/>
        </w:rPr>
        <w:t>考虑到乳品车间的强酸碱腐蚀状况，所有和发酵料液直接接触的管阀以及设备表面，其材质为食品级不锈钢</w:t>
      </w:r>
      <w:r>
        <w:rPr>
          <w:rFonts w:hint="eastAsia" w:cs="宋体"/>
          <w:sz w:val="24"/>
          <w:szCs w:val="24"/>
          <w:lang w:val="en-US" w:eastAsia="zh-CN"/>
        </w:rPr>
        <w:t>。</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2.5.2 设备概述</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在收奶与基料前处理阶段，进厂的生鲜乳由离心乳泵送入过滤器脱除杂质并打入室外不锈钢储奶罐，维持4</w:t>
      </w:r>
      <w:r>
        <w:rPr>
          <w:rFonts w:hint="default" w:ascii="Times New Roman" w:hAnsi="Times New Roman" w:cs="Times New Roman"/>
          <w:lang w:val="en-US" w:eastAsia="zh-CN"/>
        </w:rPr>
        <w:t>℃</w:t>
      </w:r>
      <w:r>
        <w:rPr>
          <w:rFonts w:hint="eastAsia"/>
          <w:lang w:val="en-US" w:eastAsia="zh-CN"/>
        </w:rPr>
        <w:t>以下暂存。基料的均质与杀菌选用高压均质机。料液在18~20 MPa压力下进行双级均质。随后，料液进入板式换热器，在90~95</w:t>
      </w:r>
      <w:r>
        <w:rPr>
          <w:rFonts w:hint="default" w:ascii="Times New Roman" w:hAnsi="Times New Roman" w:cs="Times New Roman"/>
          <w:lang w:val="en-US" w:eastAsia="zh-CN"/>
        </w:rPr>
        <w:t>℃</w:t>
      </w:r>
      <w:r>
        <w:rPr>
          <w:rFonts w:hint="eastAsia"/>
          <w:lang w:val="en-US" w:eastAsia="zh-CN"/>
        </w:rPr>
        <w:t>下维持5~10 min热处理，再逆流冷却至42~43</w:t>
      </w:r>
      <w:r>
        <w:rPr>
          <w:rFonts w:hint="default" w:ascii="Times New Roman" w:hAnsi="Times New Roman" w:cs="Times New Roman"/>
          <w:lang w:val="en-US" w:eastAsia="zh-CN"/>
        </w:rPr>
        <w:t>℃</w:t>
      </w:r>
      <w:r>
        <w:rPr>
          <w:rFonts w:hint="eastAsia" w:cs="Times New Roman"/>
          <w:lang w:val="en-US" w:eastAsia="zh-CN"/>
        </w:rPr>
        <w:t>。</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不锈钢发酵罐。该设备需稳定发酵温度，并在达到终点时切换为慢速破乳搅拌。蓝莓鲜果经清洗、机械分选后进行温和破碎与加糖调配，随后通过杀菌机实施无菌化处理，降温后送至混合搅拌罐。在该罐内，酸奶基料与无菌果料进行剪切复合。</w:t>
      </w:r>
    </w:p>
    <w:p w14:paraId="30DDDA35">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在末端灌装与公用辅助工程方面，成品料液泵至全自动灌装封口一体机。灌装头处于洁净罩内，实施灌装并成型。</w:t>
      </w:r>
    </w:p>
    <w:p w14:paraId="47BB96B7">
      <w:pPr>
        <w:rPr>
          <w:rFonts w:hint="eastAsia"/>
          <w:lang w:val="en-US" w:eastAsia="zh-CN"/>
        </w:rPr>
      </w:pPr>
      <w:r>
        <w:rPr>
          <w:rFonts w:hint="eastAsia"/>
          <w:lang w:val="en-US" w:eastAsia="zh-CN"/>
        </w:rPr>
        <w:br w:type="page"/>
      </w:r>
    </w:p>
    <w:p w14:paraId="64AA863A">
      <w:pPr>
        <w:spacing w:line="440" w:lineRule="exact"/>
        <w:ind w:firstLine="480" w:firstLineChars="200"/>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40" w:lineRule="exact"/>
        <w:contextualSpacing/>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8</w:t>
      </w:r>
      <w:r>
        <w:rPr>
          <w:rFonts w:hint="eastAsia" w:ascii="Times New Roman" w:hAnsi="Times New Roman"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599"/>
        <w:gridCol w:w="114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top w:val="single" w:color="auto" w:sz="12" w:space="0"/>
              <w:bottom w:val="single" w:color="auto" w:sz="4" w:space="0"/>
            </w:tcBorders>
            <w:vAlign w:val="center"/>
          </w:tcPr>
          <w:p w14:paraId="7CC2122E">
            <w:pPr>
              <w:spacing w:line="400" w:lineRule="exact"/>
              <w:jc w:val="center"/>
              <w:rPr>
                <w:sz w:val="21"/>
                <w:szCs w:val="21"/>
              </w:rPr>
            </w:pPr>
            <w:r>
              <w:rPr>
                <w:rFonts w:hint="eastAsia"/>
                <w:sz w:val="21"/>
                <w:szCs w:val="21"/>
              </w:rPr>
              <w:t>设备名称</w:t>
            </w:r>
          </w:p>
        </w:tc>
        <w:tc>
          <w:tcPr>
            <w:tcW w:w="1599" w:type="dxa"/>
            <w:tcBorders>
              <w:top w:val="single" w:color="auto" w:sz="12" w:space="0"/>
              <w:bottom w:val="single" w:color="auto" w:sz="4" w:space="0"/>
            </w:tcBorders>
            <w:vAlign w:val="center"/>
          </w:tcPr>
          <w:p w14:paraId="3C40706A">
            <w:pPr>
              <w:spacing w:line="400" w:lineRule="exact"/>
              <w:jc w:val="center"/>
              <w:rPr>
                <w:sz w:val="21"/>
                <w:szCs w:val="21"/>
              </w:rPr>
            </w:pPr>
            <w:r>
              <w:rPr>
                <w:rFonts w:hint="eastAsia"/>
                <w:sz w:val="21"/>
                <w:szCs w:val="21"/>
              </w:rPr>
              <w:t>仪器型号</w:t>
            </w:r>
          </w:p>
        </w:tc>
        <w:tc>
          <w:tcPr>
            <w:tcW w:w="1143" w:type="dxa"/>
            <w:tcBorders>
              <w:top w:val="single" w:color="auto" w:sz="12" w:space="0"/>
              <w:bottom w:val="single" w:color="auto" w:sz="4" w:space="0"/>
            </w:tcBorders>
            <w:vAlign w:val="center"/>
          </w:tcPr>
          <w:p w14:paraId="0F25562C">
            <w:pPr>
              <w:spacing w:line="400" w:lineRule="exact"/>
              <w:jc w:val="center"/>
              <w:rPr>
                <w:sz w:val="21"/>
                <w:szCs w:val="21"/>
              </w:rPr>
            </w:pPr>
            <w:r>
              <w:rPr>
                <w:rFonts w:hint="eastAsia"/>
                <w:sz w:val="21"/>
                <w:szCs w:val="21"/>
              </w:rPr>
              <w:t>功率</w:t>
            </w:r>
            <w:r>
              <w:rPr>
                <w:sz w:val="21"/>
                <w:szCs w:val="21"/>
              </w:rPr>
              <w:t xml:space="preserve"> (</w:t>
            </w:r>
            <w:r>
              <w:rPr>
                <w:rFonts w:hint="eastAsia"/>
                <w:sz w:val="21"/>
                <w:szCs w:val="21"/>
              </w:rPr>
              <w:t>k</w:t>
            </w:r>
            <w:r>
              <w:rPr>
                <w:sz w:val="21"/>
                <w:szCs w:val="21"/>
              </w:rPr>
              <w:t>W</w:t>
            </w:r>
            <w:r>
              <w:rPr>
                <w:rFonts w:hint="eastAsia"/>
                <w:sz w:val="21"/>
                <w:szCs w:val="21"/>
              </w:rPr>
              <w:t>/h</w:t>
            </w:r>
            <w:r>
              <w:rPr>
                <w:sz w:val="21"/>
                <w:szCs w:val="21"/>
              </w:rPr>
              <w:t>)</w:t>
            </w:r>
          </w:p>
        </w:tc>
        <w:tc>
          <w:tcPr>
            <w:tcW w:w="1243" w:type="dxa"/>
            <w:tcBorders>
              <w:top w:val="single" w:color="auto" w:sz="12" w:space="0"/>
              <w:bottom w:val="single" w:color="auto" w:sz="4" w:space="0"/>
            </w:tcBorders>
            <w:vAlign w:val="center"/>
          </w:tcPr>
          <w:p w14:paraId="26678A49">
            <w:pPr>
              <w:spacing w:line="400" w:lineRule="exact"/>
              <w:jc w:val="center"/>
              <w:rPr>
                <w:sz w:val="21"/>
                <w:szCs w:val="21"/>
              </w:rPr>
            </w:pPr>
            <w:r>
              <w:rPr>
                <w:rFonts w:hint="eastAsia"/>
                <w:sz w:val="21"/>
                <w:szCs w:val="21"/>
              </w:rPr>
              <w:t>产量</w:t>
            </w:r>
          </w:p>
          <w:p w14:paraId="6D30E41D">
            <w:pPr>
              <w:spacing w:line="400" w:lineRule="exact"/>
              <w:jc w:val="center"/>
              <w:rPr>
                <w:sz w:val="21"/>
                <w:szCs w:val="21"/>
              </w:rPr>
            </w:pPr>
            <w:r>
              <w:rPr>
                <w:rFonts w:hint="eastAsia"/>
                <w:sz w:val="21"/>
                <w:szCs w:val="21"/>
              </w:rPr>
              <w:t>（t/h）</w:t>
            </w:r>
          </w:p>
        </w:tc>
        <w:tc>
          <w:tcPr>
            <w:tcW w:w="1074" w:type="dxa"/>
            <w:tcBorders>
              <w:top w:val="single" w:color="auto" w:sz="12" w:space="0"/>
              <w:bottom w:val="single" w:color="auto" w:sz="4" w:space="0"/>
            </w:tcBorders>
            <w:vAlign w:val="center"/>
          </w:tcPr>
          <w:p w14:paraId="07AC2553">
            <w:pPr>
              <w:spacing w:line="400" w:lineRule="exact"/>
              <w:jc w:val="center"/>
              <w:rPr>
                <w:sz w:val="21"/>
                <w:szCs w:val="21"/>
              </w:rPr>
            </w:pPr>
            <w:r>
              <w:rPr>
                <w:rFonts w:hint="eastAsia"/>
                <w:sz w:val="21"/>
                <w:szCs w:val="21"/>
              </w:rPr>
              <w:t>数量(台)</w:t>
            </w:r>
          </w:p>
        </w:tc>
        <w:tc>
          <w:tcPr>
            <w:tcW w:w="1143" w:type="dxa"/>
            <w:tcBorders>
              <w:top w:val="single" w:color="auto" w:sz="12" w:space="0"/>
              <w:bottom w:val="single" w:color="auto" w:sz="4" w:space="0"/>
            </w:tcBorders>
            <w:vAlign w:val="center"/>
          </w:tcPr>
          <w:p w14:paraId="72208D22">
            <w:pPr>
              <w:spacing w:line="400" w:lineRule="exact"/>
              <w:jc w:val="center"/>
              <w:rPr>
                <w:sz w:val="21"/>
                <w:szCs w:val="21"/>
              </w:rPr>
            </w:pPr>
            <w:r>
              <w:rPr>
                <w:rFonts w:hint="eastAsia"/>
                <w:sz w:val="21"/>
                <w:szCs w:val="21"/>
              </w:rPr>
              <w:t>单价</w:t>
            </w:r>
          </w:p>
          <w:p w14:paraId="65D34317">
            <w:pPr>
              <w:spacing w:line="400" w:lineRule="exact"/>
              <w:jc w:val="center"/>
              <w:rPr>
                <w:color w:val="C00000"/>
                <w:sz w:val="21"/>
                <w:szCs w:val="21"/>
              </w:rPr>
            </w:pPr>
            <w:r>
              <w:rPr>
                <w:rFonts w:hint="eastAsia"/>
                <w:sz w:val="21"/>
                <w:szCs w:val="21"/>
              </w:rPr>
              <w:t>(万)</w:t>
            </w:r>
          </w:p>
        </w:tc>
        <w:tc>
          <w:tcPr>
            <w:tcW w:w="1145" w:type="dxa"/>
            <w:tcBorders>
              <w:top w:val="single" w:color="auto" w:sz="12" w:space="0"/>
              <w:bottom w:val="single" w:color="auto" w:sz="4" w:space="0"/>
            </w:tcBorders>
            <w:vAlign w:val="center"/>
          </w:tcPr>
          <w:p w14:paraId="74C1BF5D">
            <w:pPr>
              <w:spacing w:line="400" w:lineRule="exact"/>
              <w:jc w:val="center"/>
              <w:rPr>
                <w:sz w:val="21"/>
                <w:szCs w:val="21"/>
              </w:rPr>
            </w:pPr>
            <w:r>
              <w:rPr>
                <w:rFonts w:hint="eastAsia"/>
                <w:sz w:val="21"/>
                <w:szCs w:val="21"/>
              </w:rPr>
              <w:t>总价</w:t>
            </w:r>
          </w:p>
          <w:p w14:paraId="47D75636">
            <w:pPr>
              <w:spacing w:line="400" w:lineRule="exact"/>
              <w:jc w:val="center"/>
              <w:rPr>
                <w:color w:val="C00000"/>
                <w:sz w:val="21"/>
                <w:szCs w:val="21"/>
              </w:rPr>
            </w:pPr>
            <w:r>
              <w:rPr>
                <w:rFonts w:hint="eastAsia"/>
                <w:sz w:val="21"/>
                <w:szCs w:val="21"/>
              </w:rPr>
              <w:t>(万)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single" w:color="auto" w:sz="4" w:space="0"/>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599" w:type="dxa"/>
            <w:tcBorders>
              <w:top w:val="single" w:color="auto" w:sz="4" w:space="0"/>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143" w:type="dxa"/>
            <w:tcBorders>
              <w:top w:val="single" w:color="auto" w:sz="4" w:space="0"/>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3" w:type="dxa"/>
            <w:tcBorders>
              <w:top w:val="single" w:color="auto" w:sz="4" w:space="0"/>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4" w:type="dxa"/>
            <w:tcBorders>
              <w:top w:val="single" w:color="auto" w:sz="4" w:space="0"/>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3" w:type="dxa"/>
            <w:tcBorders>
              <w:top w:val="single" w:color="auto" w:sz="4" w:space="0"/>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5" w:type="dxa"/>
            <w:tcBorders>
              <w:top w:val="single" w:color="auto" w:sz="4" w:space="0"/>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599"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143"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3"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5C386E54">
            <w:pPr>
              <w:spacing w:line="400" w:lineRule="exact"/>
              <w:jc w:val="center"/>
              <w:rPr>
                <w:color w:val="000000"/>
                <w:sz w:val="21"/>
                <w:szCs w:val="21"/>
              </w:rPr>
            </w:pPr>
            <w:r>
              <w:rPr>
                <w:color w:val="000000"/>
                <w:sz w:val="21"/>
                <w:szCs w:val="21"/>
              </w:rPr>
              <w:t>1</w:t>
            </w:r>
          </w:p>
        </w:tc>
        <w:tc>
          <w:tcPr>
            <w:tcW w:w="1143"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5"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599"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143"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3"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02AEFA57">
            <w:pPr>
              <w:spacing w:line="400" w:lineRule="exact"/>
              <w:jc w:val="center"/>
              <w:rPr>
                <w:color w:val="000000"/>
                <w:sz w:val="21"/>
                <w:szCs w:val="21"/>
              </w:rPr>
            </w:pPr>
            <w:r>
              <w:rPr>
                <w:color w:val="000000"/>
                <w:sz w:val="21"/>
                <w:szCs w:val="21"/>
              </w:rPr>
              <w:t>1</w:t>
            </w:r>
          </w:p>
        </w:tc>
        <w:tc>
          <w:tcPr>
            <w:tcW w:w="1143"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5"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599"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143"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3"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3"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5"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47BD207D">
            <w:pPr>
              <w:spacing w:line="400" w:lineRule="exact"/>
              <w:jc w:val="center"/>
              <w:rPr>
                <w:rFonts w:hint="eastAsia" w:eastAsia="宋体"/>
                <w:sz w:val="21"/>
                <w:lang w:eastAsia="zh-CN"/>
              </w:rPr>
            </w:pPr>
            <w:r>
              <w:rPr>
                <w:rFonts w:hint="eastAsia"/>
                <w:color w:val="000000"/>
                <w:sz w:val="21"/>
                <w:szCs w:val="21"/>
                <w:lang w:val="en-US" w:eastAsia="zh-CN"/>
              </w:rPr>
              <w:t>蓝莓清洗机</w:t>
            </w:r>
          </w:p>
        </w:tc>
        <w:tc>
          <w:tcPr>
            <w:tcW w:w="1599"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143"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4"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shd w:val="clear" w:color="auto" w:fill="auto"/>
            <w:vAlign w:val="center"/>
          </w:tcPr>
          <w:p w14:paraId="1FE2EA58">
            <w:pPr>
              <w:spacing w:line="400" w:lineRule="exact"/>
              <w:jc w:val="center"/>
              <w:rPr>
                <w:rFonts w:hint="default" w:ascii="Times New Roman" w:hAnsi="Times New Roman" w:eastAsia="宋体" w:cs="Times New Roman"/>
                <w:sz w:val="21"/>
                <w:lang w:val="en-US" w:eastAsia="zh-CN" w:bidi="ar-SA"/>
              </w:rPr>
            </w:pPr>
            <w:r>
              <w:rPr>
                <w:rFonts w:hint="eastAsia" w:cs="Times New Roman"/>
                <w:sz w:val="21"/>
                <w:lang w:val="en-US" w:eastAsia="zh-CN" w:bidi="ar-SA"/>
              </w:rPr>
              <w:t>榨汁机</w:t>
            </w:r>
          </w:p>
        </w:tc>
        <w:tc>
          <w:tcPr>
            <w:tcW w:w="1599"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143"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3"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4"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3"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5"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599"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143"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4"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5"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06CDFCC">
            <w:pPr>
              <w:spacing w:line="400" w:lineRule="exact"/>
              <w:jc w:val="center"/>
              <w:rPr>
                <w:rFonts w:hint="default" w:eastAsia="宋体"/>
                <w:sz w:val="21"/>
                <w:lang w:val="en-US" w:eastAsia="zh-CN"/>
              </w:rPr>
            </w:pPr>
            <w:r>
              <w:rPr>
                <w:rFonts w:hint="eastAsia"/>
                <w:sz w:val="21"/>
                <w:szCs w:val="16"/>
                <w:lang w:val="en-US" w:eastAsia="zh-CN"/>
              </w:rPr>
              <w:t>混合搅拌罐</w:t>
            </w:r>
          </w:p>
        </w:tc>
        <w:tc>
          <w:tcPr>
            <w:tcW w:w="1599"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143"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3"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0A0B966C">
            <w:pPr>
              <w:spacing w:line="400" w:lineRule="exact"/>
              <w:jc w:val="center"/>
              <w:rPr>
                <w:color w:val="000000"/>
                <w:sz w:val="21"/>
                <w:szCs w:val="21"/>
              </w:rPr>
            </w:pPr>
            <w:r>
              <w:rPr>
                <w:color w:val="000000"/>
                <w:sz w:val="21"/>
                <w:szCs w:val="21"/>
              </w:rPr>
              <w:t>1</w:t>
            </w:r>
          </w:p>
        </w:tc>
        <w:tc>
          <w:tcPr>
            <w:tcW w:w="1143"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5"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1715D8ED">
            <w:pPr>
              <w:spacing w:line="400" w:lineRule="exact"/>
              <w:jc w:val="center"/>
              <w:rPr>
                <w:sz w:val="21"/>
              </w:rPr>
            </w:pPr>
            <w:r>
              <w:rPr>
                <w:rFonts w:hint="eastAsia"/>
                <w:color w:val="000000"/>
                <w:sz w:val="21"/>
                <w:szCs w:val="21"/>
                <w:lang w:val="en-US" w:eastAsia="zh-CN"/>
              </w:rPr>
              <w:t>瓶装</w:t>
            </w:r>
            <w:r>
              <w:rPr>
                <w:rFonts w:hint="eastAsia"/>
                <w:color w:val="000000"/>
                <w:sz w:val="21"/>
                <w:szCs w:val="21"/>
              </w:rPr>
              <w:t>灌装机</w:t>
            </w:r>
          </w:p>
        </w:tc>
        <w:tc>
          <w:tcPr>
            <w:tcW w:w="1599"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143"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3"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r>
              <w:rPr>
                <w:rFonts w:hint="eastAsia"/>
                <w:color w:val="000000"/>
                <w:sz w:val="21"/>
                <w:szCs w:val="21"/>
              </w:rPr>
              <w:t>）</w:t>
            </w:r>
          </w:p>
        </w:tc>
        <w:tc>
          <w:tcPr>
            <w:tcW w:w="1074"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5"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22FDF03">
            <w:pPr>
              <w:spacing w:line="400" w:lineRule="exact"/>
              <w:jc w:val="center"/>
              <w:rPr>
                <w:rFonts w:hint="default"/>
                <w:sz w:val="21"/>
                <w:lang w:val="en-US"/>
              </w:rPr>
            </w:pPr>
            <w:r>
              <w:rPr>
                <w:rFonts w:hint="eastAsia"/>
                <w:color w:val="000000"/>
                <w:sz w:val="21"/>
                <w:szCs w:val="21"/>
                <w:lang w:val="en-US" w:eastAsia="zh-CN"/>
              </w:rPr>
              <w:t>CIP清洗系统</w:t>
            </w:r>
          </w:p>
        </w:tc>
        <w:tc>
          <w:tcPr>
            <w:tcW w:w="1599"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143"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5"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599"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143"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3"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53A06B88">
            <w:pPr>
              <w:spacing w:line="400" w:lineRule="exact"/>
              <w:jc w:val="center"/>
              <w:rPr>
                <w:color w:val="000000"/>
                <w:sz w:val="21"/>
                <w:szCs w:val="21"/>
              </w:rPr>
            </w:pPr>
            <w:r>
              <w:rPr>
                <w:color w:val="000000"/>
                <w:sz w:val="21"/>
                <w:szCs w:val="21"/>
              </w:rPr>
              <w:t>1</w:t>
            </w:r>
          </w:p>
        </w:tc>
        <w:tc>
          <w:tcPr>
            <w:tcW w:w="1143"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5"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23495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0C7FA809">
            <w:pPr>
              <w:spacing w:line="400" w:lineRule="exact"/>
              <w:jc w:val="center"/>
              <w:rPr>
                <w:rFonts w:hint="default"/>
                <w:color w:val="000000"/>
                <w:sz w:val="21"/>
                <w:szCs w:val="21"/>
                <w:lang w:val="en-US" w:eastAsia="zh-CN"/>
              </w:rPr>
            </w:pPr>
            <w:r>
              <w:rPr>
                <w:rFonts w:hint="eastAsia"/>
                <w:color w:val="000000"/>
                <w:sz w:val="21"/>
                <w:szCs w:val="21"/>
                <w:lang w:val="en-US" w:eastAsia="zh-CN"/>
              </w:rPr>
              <w:t>锅炉</w:t>
            </w:r>
          </w:p>
        </w:tc>
        <w:tc>
          <w:tcPr>
            <w:tcW w:w="1599" w:type="dxa"/>
            <w:vAlign w:val="center"/>
          </w:tcPr>
          <w:p w14:paraId="5DCF7A0D">
            <w:pPr>
              <w:spacing w:line="400" w:lineRule="exact"/>
              <w:jc w:val="center"/>
              <w:rPr>
                <w:rFonts w:hint="default"/>
                <w:color w:val="000000"/>
                <w:sz w:val="21"/>
                <w:szCs w:val="21"/>
                <w:lang w:val="en-US" w:eastAsia="zh-CN"/>
              </w:rPr>
            </w:pPr>
            <w:r>
              <w:rPr>
                <w:rFonts w:hint="eastAsia"/>
                <w:color w:val="000000"/>
                <w:sz w:val="21"/>
                <w:szCs w:val="21"/>
                <w:lang w:val="en-US" w:eastAsia="zh-CN"/>
              </w:rPr>
              <w:t>WNS1-1.0</w:t>
            </w:r>
          </w:p>
        </w:tc>
        <w:tc>
          <w:tcPr>
            <w:tcW w:w="1143" w:type="dxa"/>
            <w:vAlign w:val="center"/>
          </w:tcPr>
          <w:p w14:paraId="4CC4BEE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1C2473B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1t/h</w:t>
            </w:r>
          </w:p>
        </w:tc>
        <w:tc>
          <w:tcPr>
            <w:tcW w:w="1074" w:type="dxa"/>
            <w:vAlign w:val="center"/>
          </w:tcPr>
          <w:p w14:paraId="7CA49D09">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4B427204">
            <w:pPr>
              <w:spacing w:line="400" w:lineRule="exact"/>
              <w:jc w:val="center"/>
              <w:rPr>
                <w:rFonts w:hint="default"/>
                <w:color w:val="000000"/>
                <w:sz w:val="21"/>
                <w:szCs w:val="21"/>
                <w:lang w:val="en-US" w:eastAsia="zh-CN"/>
              </w:rPr>
            </w:pPr>
            <w:r>
              <w:rPr>
                <w:rFonts w:hint="eastAsia"/>
                <w:color w:val="000000"/>
                <w:sz w:val="21"/>
                <w:szCs w:val="21"/>
                <w:lang w:val="en-US" w:eastAsia="zh-CN"/>
              </w:rPr>
              <w:t>6.0</w:t>
            </w:r>
          </w:p>
        </w:tc>
        <w:tc>
          <w:tcPr>
            <w:tcW w:w="1145" w:type="dxa"/>
            <w:vAlign w:val="center"/>
          </w:tcPr>
          <w:p w14:paraId="7CA306C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r>
      <w:tr w14:paraId="50C065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04DEDA7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空气压缩机</w:t>
            </w:r>
          </w:p>
        </w:tc>
        <w:tc>
          <w:tcPr>
            <w:tcW w:w="1599" w:type="dxa"/>
            <w:vAlign w:val="center"/>
          </w:tcPr>
          <w:p w14:paraId="746FC3B2">
            <w:pPr>
              <w:spacing w:line="400" w:lineRule="exact"/>
              <w:jc w:val="center"/>
              <w:rPr>
                <w:rFonts w:hint="default" w:eastAsia="宋体"/>
                <w:sz w:val="21"/>
                <w:lang w:val="en-US" w:eastAsia="zh-CN"/>
              </w:rPr>
            </w:pPr>
            <w:r>
              <w:rPr>
                <w:rFonts w:hint="eastAsia"/>
                <w:sz w:val="21"/>
                <w:lang w:val="en-US" w:eastAsia="zh-CN"/>
              </w:rPr>
              <w:t>KY-3.0</w:t>
            </w:r>
          </w:p>
        </w:tc>
        <w:tc>
          <w:tcPr>
            <w:tcW w:w="1143" w:type="dxa"/>
            <w:vAlign w:val="center"/>
          </w:tcPr>
          <w:p w14:paraId="7EB373E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7.5</w:t>
            </w:r>
          </w:p>
        </w:tc>
        <w:tc>
          <w:tcPr>
            <w:tcW w:w="1243" w:type="dxa"/>
            <w:vAlign w:val="center"/>
          </w:tcPr>
          <w:p w14:paraId="457269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r>
              <w:rPr>
                <w:rFonts w:hint="eastAsia"/>
                <w:color w:val="000000"/>
                <w:sz w:val="21"/>
                <w:szCs w:val="21"/>
                <w:vertAlign w:val="baseline"/>
                <w:lang w:val="en-US" w:eastAsia="zh-CN"/>
              </w:rPr>
              <w:t>/min</w:t>
            </w:r>
          </w:p>
        </w:tc>
        <w:tc>
          <w:tcPr>
            <w:tcW w:w="1074" w:type="dxa"/>
            <w:vAlign w:val="center"/>
          </w:tcPr>
          <w:p w14:paraId="5133A14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44BF376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76BD21A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168404171"/>
            <w:bookmarkStart w:id="23" w:name="_Toc855"/>
            <w:r>
              <w:rPr>
                <w:rFonts w:hint="eastAsia"/>
                <w:color w:val="000000"/>
                <w:sz w:val="21"/>
                <w:szCs w:val="21"/>
                <w:lang w:val="en-US" w:eastAsia="zh-CN"/>
              </w:rPr>
              <w:t>合计</w:t>
            </w:r>
          </w:p>
        </w:tc>
        <w:tc>
          <w:tcPr>
            <w:tcW w:w="1599" w:type="dxa"/>
            <w:tcBorders>
              <w:bottom w:val="single" w:color="auto" w:sz="12" w:space="0"/>
            </w:tcBorders>
            <w:vAlign w:val="center"/>
          </w:tcPr>
          <w:p w14:paraId="30C8C3BD">
            <w:pPr>
              <w:spacing w:line="400" w:lineRule="exact"/>
              <w:jc w:val="center"/>
              <w:rPr>
                <w:rFonts w:hint="default" w:eastAsia="宋体"/>
                <w:sz w:val="21"/>
                <w:lang w:val="en-US" w:eastAsia="zh-CN"/>
              </w:rPr>
            </w:pPr>
            <w:r>
              <w:rPr>
                <w:rFonts w:hint="eastAsia"/>
                <w:sz w:val="21"/>
                <w:lang w:val="en-US" w:eastAsia="zh-CN"/>
              </w:rPr>
              <w:t>/</w:t>
            </w:r>
          </w:p>
        </w:tc>
        <w:tc>
          <w:tcPr>
            <w:tcW w:w="1143"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3"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4"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16</w:t>
            </w:r>
          </w:p>
        </w:tc>
        <w:tc>
          <w:tcPr>
            <w:tcW w:w="1143"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5"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131.65</w:t>
            </w:r>
          </w:p>
        </w:tc>
      </w:tr>
    </w:tbl>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bookmarkStart w:id="24" w:name="_Toc5462"/>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6 </w:t>
      </w:r>
      <w:r>
        <w:rPr>
          <w:rFonts w:hint="eastAsia" w:ascii="Times New Roman" w:hAnsi="Times New Roman" w:eastAsia="黑体" w:cs="黑体"/>
          <w:b w:val="0"/>
          <w:bCs w:val="0"/>
          <w:sz w:val="24"/>
          <w:szCs w:val="24"/>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44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cs="黑体"/>
          <w:sz w:val="21"/>
          <w:szCs w:val="21"/>
        </w:rPr>
      </w:pPr>
      <w:r>
        <w:rPr>
          <w:rFonts w:hint="eastAsia" w:ascii="Times New Roman" w:hAnsi="Times New Roman" w:eastAsia="黑体" w:cs="黑体"/>
          <w:sz w:val="21"/>
          <w:szCs w:val="21"/>
        </w:rPr>
        <w:t>表</w:t>
      </w:r>
      <w:r>
        <w:rPr>
          <w:rFonts w:hint="eastAsia" w:ascii="Times New Roman" w:hAnsi="Times New Roman" w:eastAsia="黑体" w:cs="黑体"/>
          <w:sz w:val="21"/>
          <w:szCs w:val="21"/>
          <w:lang w:val="en-US" w:eastAsia="zh-CN"/>
        </w:rPr>
        <w:t>9</w:t>
      </w:r>
      <w:r>
        <w:rPr>
          <w:rFonts w:ascii="Times New Roman" w:hAnsi="Times New Roman" w:eastAsia="黑体" w:cs="黑体"/>
          <w:sz w:val="21"/>
          <w:szCs w:val="21"/>
        </w:rPr>
        <w:t xml:space="preserve"> </w:t>
      </w:r>
      <w:r>
        <w:rPr>
          <w:rFonts w:hint="eastAsia" w:ascii="Times New Roman" w:hAnsi="Times New Roman" w:eastAsia="黑体" w:cs="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10</w:t>
      </w:r>
      <w:r>
        <w:rPr>
          <w:rFonts w:ascii="Times New Roman" w:hAnsi="Times New Roman" w:eastAsia="黑体"/>
          <w:sz w:val="21"/>
          <w:szCs w:val="21"/>
        </w:rPr>
        <w:t xml:space="preserve"> </w:t>
      </w:r>
      <w:r>
        <w:rPr>
          <w:rFonts w:hint="eastAsia" w:ascii="Times New Roman" w:hAnsi="Times New Roman"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FA8B810">
            <w:pPr>
              <w:spacing w:line="400" w:lineRule="exact"/>
              <w:jc w:val="center"/>
              <w:rPr>
                <w:sz w:val="21"/>
                <w:szCs w:val="21"/>
              </w:rPr>
            </w:pPr>
            <w:r>
              <w:rPr>
                <w:rFonts w:hint="eastAsia"/>
                <w:sz w:val="21"/>
                <w:szCs w:val="21"/>
              </w:rPr>
              <w:t>生产用电</w:t>
            </w:r>
          </w:p>
        </w:tc>
        <w:tc>
          <w:tcPr>
            <w:tcW w:w="1232" w:type="pct"/>
            <w:tcBorders>
              <w:top w:val="single" w:color="auto" w:sz="4" w:space="0"/>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single" w:color="auto" w:sz="4" w:space="0"/>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single" w:color="auto" w:sz="4" w:space="0"/>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single" w:color="auto" w:sz="4" w:space="0"/>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single" w:color="auto" w:sz="4" w:space="0"/>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6EC2C5A">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榨汁机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DE77FD7">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6ABA8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EF04CCA">
            <w:pPr>
              <w:spacing w:line="400" w:lineRule="exact"/>
              <w:ind w:firstLine="420"/>
              <w:jc w:val="center"/>
              <w:rPr>
                <w:sz w:val="21"/>
                <w:szCs w:val="21"/>
              </w:rPr>
            </w:pPr>
          </w:p>
        </w:tc>
        <w:tc>
          <w:tcPr>
            <w:tcW w:w="1232" w:type="pct"/>
            <w:vAlign w:val="center"/>
          </w:tcPr>
          <w:p w14:paraId="0639F84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锅炉</w:t>
            </w:r>
          </w:p>
        </w:tc>
        <w:tc>
          <w:tcPr>
            <w:tcW w:w="612" w:type="pct"/>
            <w:vAlign w:val="center"/>
          </w:tcPr>
          <w:p w14:paraId="5C2993C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531" w:type="pct"/>
            <w:vAlign w:val="center"/>
          </w:tcPr>
          <w:p w14:paraId="786F585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416EEF60">
            <w:pPr>
              <w:spacing w:line="400" w:lineRule="exact"/>
              <w:jc w:val="center"/>
              <w:rPr>
                <w:rFonts w:hint="default"/>
                <w:color w:val="000000"/>
                <w:sz w:val="21"/>
                <w:szCs w:val="21"/>
                <w:lang w:val="en-US" w:eastAsia="zh-CN"/>
              </w:rPr>
            </w:pPr>
            <w:r>
              <w:rPr>
                <w:rFonts w:hint="eastAsia"/>
                <w:color w:val="000000"/>
                <w:sz w:val="21"/>
                <w:szCs w:val="21"/>
                <w:lang w:val="en-US" w:eastAsia="zh-CN"/>
              </w:rPr>
              <w:t>4</w:t>
            </w:r>
          </w:p>
        </w:tc>
        <w:tc>
          <w:tcPr>
            <w:tcW w:w="991" w:type="pct"/>
          </w:tcPr>
          <w:p w14:paraId="443836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1800</w:t>
            </w:r>
          </w:p>
        </w:tc>
      </w:tr>
      <w:tr w14:paraId="389A8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806430B">
            <w:pPr>
              <w:spacing w:line="400" w:lineRule="exact"/>
              <w:ind w:firstLine="420"/>
              <w:jc w:val="center"/>
              <w:rPr>
                <w:sz w:val="21"/>
                <w:szCs w:val="21"/>
              </w:rPr>
            </w:pPr>
          </w:p>
        </w:tc>
        <w:tc>
          <w:tcPr>
            <w:tcW w:w="1232" w:type="pct"/>
            <w:vAlign w:val="center"/>
          </w:tcPr>
          <w:p w14:paraId="0C09FAC4">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空气压缩机</w:t>
            </w:r>
          </w:p>
        </w:tc>
        <w:tc>
          <w:tcPr>
            <w:tcW w:w="612" w:type="pct"/>
            <w:vAlign w:val="center"/>
          </w:tcPr>
          <w:p w14:paraId="01C7EA6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7.5</w:t>
            </w:r>
          </w:p>
        </w:tc>
        <w:tc>
          <w:tcPr>
            <w:tcW w:w="531" w:type="pct"/>
            <w:vAlign w:val="center"/>
          </w:tcPr>
          <w:p w14:paraId="4F45A7C9">
            <w:pPr>
              <w:spacing w:line="400" w:lineRule="exact"/>
              <w:jc w:val="center"/>
              <w:rPr>
                <w:color w:val="000000"/>
                <w:sz w:val="21"/>
                <w:szCs w:val="21"/>
              </w:rPr>
            </w:pPr>
            <w:r>
              <w:rPr>
                <w:rFonts w:eastAsia="等线"/>
                <w:color w:val="000000"/>
                <w:sz w:val="21"/>
                <w:szCs w:val="21"/>
              </w:rPr>
              <w:t>1</w:t>
            </w:r>
          </w:p>
        </w:tc>
        <w:tc>
          <w:tcPr>
            <w:tcW w:w="991" w:type="pct"/>
          </w:tcPr>
          <w:p w14:paraId="688EBC88">
            <w:pPr>
              <w:spacing w:line="400" w:lineRule="exact"/>
              <w:jc w:val="center"/>
              <w:rPr>
                <w:rFonts w:hint="default"/>
                <w:color w:val="000000"/>
                <w:sz w:val="21"/>
                <w:szCs w:val="21"/>
                <w:lang w:val="en-US" w:eastAsia="zh-CN"/>
              </w:rPr>
            </w:pPr>
            <w:r>
              <w:rPr>
                <w:rFonts w:hint="eastAsia"/>
                <w:color w:val="000000"/>
                <w:sz w:val="21"/>
                <w:szCs w:val="21"/>
                <w:lang w:val="en-US" w:eastAsia="zh-CN"/>
              </w:rPr>
              <w:t>6</w:t>
            </w:r>
          </w:p>
        </w:tc>
        <w:tc>
          <w:tcPr>
            <w:tcW w:w="991" w:type="pct"/>
          </w:tcPr>
          <w:p w14:paraId="07D76AB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13500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ind w:firstLine="420"/>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16</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125250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2.6.3 用汽量计算</w:t>
      </w:r>
    </w:p>
    <w:p w14:paraId="7E7CCF67">
      <w:pPr>
        <w:spacing w:line="440" w:lineRule="exact"/>
        <w:ind w:firstLine="480" w:firstLineChars="200"/>
        <w:jc w:val="both"/>
        <w:rPr>
          <w:rFonts w:hint="eastAsia" w:eastAsia="宋体"/>
          <w:lang w:val="en-US" w:eastAsia="zh-CN"/>
        </w:rPr>
      </w:pPr>
      <w:r>
        <w:rPr>
          <w:rFonts w:hint="eastAsia"/>
          <w:lang w:val="en-US" w:eastAsia="zh-CN"/>
        </w:rPr>
        <w:t>根据蓝莓酸奶车间的生产工艺，需要消耗蒸汽的工序主要为巴氏杀菌（鲜乳杀菌）、调配以及CIP清洗系统的热水制备，则年用汽量计算如下表所示。</w:t>
      </w:r>
    </w:p>
    <w:p w14:paraId="128BE50B">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 xml:space="preserve">11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top w:val="single" w:color="auto" w:sz="12" w:space="0"/>
              <w:bottom w:val="single" w:color="auto" w:sz="4" w:space="0"/>
            </w:tcBorders>
            <w:vAlign w:val="center"/>
          </w:tcPr>
          <w:p w14:paraId="796007CE">
            <w:pPr>
              <w:spacing w:line="400" w:lineRule="exact"/>
              <w:jc w:val="center"/>
              <w:rPr>
                <w:rFonts w:eastAsia="宋体"/>
                <w:sz w:val="21"/>
                <w:szCs w:val="21"/>
              </w:rPr>
            </w:pPr>
            <w:r>
              <w:rPr>
                <w:rFonts w:hint="eastAsia" w:eastAsia="宋体"/>
                <w:sz w:val="21"/>
                <w:szCs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rFonts w:eastAsia="宋体"/>
                <w:sz w:val="21"/>
                <w:szCs w:val="21"/>
              </w:rPr>
            </w:pPr>
            <w:r>
              <w:rPr>
                <w:rFonts w:hint="eastAsia" w:eastAsia="宋体"/>
                <w:sz w:val="21"/>
                <w:szCs w:val="21"/>
              </w:rPr>
              <w:t>设备</w:t>
            </w:r>
          </w:p>
        </w:tc>
        <w:tc>
          <w:tcPr>
            <w:tcW w:w="901" w:type="pct"/>
            <w:tcBorders>
              <w:top w:val="single" w:color="auto" w:sz="12" w:space="0"/>
              <w:bottom w:val="single" w:color="auto" w:sz="4" w:space="0"/>
            </w:tcBorders>
          </w:tcPr>
          <w:p w14:paraId="6A837637">
            <w:pPr>
              <w:spacing w:line="400" w:lineRule="exact"/>
              <w:jc w:val="center"/>
              <w:rPr>
                <w:rFonts w:eastAsia="宋体"/>
                <w:sz w:val="21"/>
                <w:szCs w:val="21"/>
              </w:rPr>
            </w:pPr>
            <w:r>
              <w:rPr>
                <w:rFonts w:hint="eastAsia" w:eastAsia="宋体"/>
                <w:sz w:val="21"/>
                <w:szCs w:val="21"/>
              </w:rPr>
              <w:t>数量</w:t>
            </w:r>
          </w:p>
          <w:p w14:paraId="1F3A5EA5">
            <w:pPr>
              <w:spacing w:line="400" w:lineRule="exact"/>
              <w:jc w:val="center"/>
              <w:rPr>
                <w:rFonts w:eastAsia="宋体"/>
                <w:sz w:val="21"/>
                <w:szCs w:val="21"/>
              </w:rPr>
            </w:pPr>
            <w:r>
              <w:rPr>
                <w:rFonts w:hint="eastAsia" w:eastAsia="宋体"/>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rFonts w:eastAsia="宋体"/>
                <w:sz w:val="21"/>
                <w:szCs w:val="21"/>
              </w:rPr>
            </w:pPr>
            <w:r>
              <w:rPr>
                <w:rFonts w:hint="eastAsia" w:eastAsia="宋体"/>
                <w:sz w:val="21"/>
                <w:szCs w:val="21"/>
                <w:lang w:val="en-US" w:eastAsia="zh-CN"/>
              </w:rPr>
              <w:t>日</w:t>
            </w:r>
            <w:r>
              <w:rPr>
                <w:rFonts w:hint="eastAsia" w:eastAsia="宋体"/>
                <w:sz w:val="21"/>
                <w:szCs w:val="21"/>
              </w:rPr>
              <w:t>用汽量（kg）</w:t>
            </w:r>
          </w:p>
        </w:tc>
        <w:tc>
          <w:tcPr>
            <w:tcW w:w="1117" w:type="pct"/>
            <w:tcBorders>
              <w:top w:val="single" w:color="auto" w:sz="12" w:space="0"/>
              <w:bottom w:val="single" w:color="auto" w:sz="4" w:space="0"/>
            </w:tcBorders>
            <w:vAlign w:val="center"/>
          </w:tcPr>
          <w:p w14:paraId="180CF51D">
            <w:pPr>
              <w:spacing w:line="400" w:lineRule="exact"/>
              <w:jc w:val="center"/>
              <w:rPr>
                <w:rFonts w:eastAsia="宋体"/>
                <w:sz w:val="21"/>
                <w:szCs w:val="21"/>
              </w:rPr>
            </w:pPr>
            <w:r>
              <w:rPr>
                <w:rFonts w:hint="eastAsia" w:eastAsia="宋体"/>
                <w:sz w:val="21"/>
                <w:szCs w:val="21"/>
              </w:rPr>
              <w:t>年用汽量</w:t>
            </w:r>
          </w:p>
          <w:p w14:paraId="3A2A9507">
            <w:pPr>
              <w:spacing w:line="400" w:lineRule="exact"/>
              <w:jc w:val="center"/>
              <w:rPr>
                <w:rFonts w:eastAsia="宋体"/>
                <w:sz w:val="21"/>
                <w:szCs w:val="21"/>
              </w:rPr>
            </w:pPr>
            <w:r>
              <w:rPr>
                <w:rFonts w:hint="eastAsia" w:eastAsia="宋体"/>
                <w:sz w:val="21"/>
                <w:szCs w:val="21"/>
              </w:rPr>
              <w:t>（kg）</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szCs w:val="21"/>
                <w:lang w:val="en-US" w:eastAsia="zh-CN"/>
              </w:rPr>
            </w:pPr>
            <w:r>
              <w:rPr>
                <w:rFonts w:hint="eastAsia" w:eastAsia="宋体"/>
                <w:sz w:val="21"/>
                <w:szCs w:val="21"/>
                <w:lang w:val="en-US" w:eastAsia="zh-CN"/>
              </w:rPr>
              <w:t>调配加热</w:t>
            </w:r>
          </w:p>
        </w:tc>
        <w:tc>
          <w:tcPr>
            <w:tcW w:w="1332" w:type="pct"/>
            <w:vAlign w:val="center"/>
          </w:tcPr>
          <w:p w14:paraId="79A2F104">
            <w:pPr>
              <w:spacing w:line="400" w:lineRule="exact"/>
              <w:jc w:val="center"/>
              <w:rPr>
                <w:rFonts w:hint="eastAsia" w:eastAsia="宋体"/>
                <w:sz w:val="21"/>
                <w:szCs w:val="21"/>
                <w:lang w:eastAsia="zh-CN"/>
              </w:rPr>
            </w:pPr>
            <w:r>
              <w:rPr>
                <w:rFonts w:hint="eastAsia" w:eastAsia="宋体"/>
                <w:sz w:val="21"/>
                <w:szCs w:val="21"/>
                <w:lang w:val="en-US" w:eastAsia="zh-CN"/>
              </w:rPr>
              <w:t>调配罐</w:t>
            </w:r>
          </w:p>
        </w:tc>
        <w:tc>
          <w:tcPr>
            <w:tcW w:w="901" w:type="pct"/>
          </w:tcPr>
          <w:p w14:paraId="4F4E218D">
            <w:pPr>
              <w:spacing w:line="400" w:lineRule="exact"/>
              <w:jc w:val="center"/>
              <w:rPr>
                <w:rFonts w:hint="eastAsia" w:eastAsia="宋体"/>
                <w:sz w:val="21"/>
                <w:szCs w:val="21"/>
                <w:lang w:val="en-US" w:eastAsia="zh-CN"/>
              </w:rPr>
            </w:pPr>
            <w:r>
              <w:rPr>
                <w:rFonts w:hint="eastAsia" w:eastAsia="宋体"/>
                <w:sz w:val="21"/>
                <w:szCs w:val="21"/>
                <w:lang w:val="en-US" w:eastAsia="zh-CN"/>
              </w:rPr>
              <w:t>2</w:t>
            </w:r>
          </w:p>
        </w:tc>
        <w:tc>
          <w:tcPr>
            <w:tcW w:w="807" w:type="pct"/>
            <w:vAlign w:val="center"/>
          </w:tcPr>
          <w:p w14:paraId="07FC1E00">
            <w:pPr>
              <w:spacing w:line="400" w:lineRule="exact"/>
              <w:jc w:val="center"/>
              <w:rPr>
                <w:rFonts w:hint="default" w:eastAsia="宋体"/>
                <w:sz w:val="21"/>
                <w:szCs w:val="21"/>
                <w:lang w:val="en-US" w:eastAsia="zh-CN"/>
              </w:rPr>
            </w:pPr>
            <w:r>
              <w:rPr>
                <w:rFonts w:hint="eastAsia" w:eastAsia="宋体"/>
                <w:sz w:val="21"/>
                <w:szCs w:val="21"/>
                <w:lang w:val="en-US" w:eastAsia="zh-CN"/>
              </w:rPr>
              <w:t>86</w:t>
            </w:r>
          </w:p>
        </w:tc>
        <w:tc>
          <w:tcPr>
            <w:tcW w:w="1117" w:type="pct"/>
            <w:vAlign w:val="center"/>
          </w:tcPr>
          <w:p w14:paraId="24AE29C2">
            <w:pPr>
              <w:spacing w:line="400" w:lineRule="exact"/>
              <w:jc w:val="center"/>
              <w:rPr>
                <w:rFonts w:hint="default" w:eastAsia="宋体"/>
                <w:sz w:val="21"/>
                <w:szCs w:val="21"/>
                <w:lang w:val="en-US" w:eastAsia="zh-CN"/>
              </w:rPr>
            </w:pPr>
            <w:r>
              <w:rPr>
                <w:rFonts w:hint="eastAsia" w:eastAsia="宋体"/>
                <w:sz w:val="21"/>
                <w:szCs w:val="21"/>
                <w:lang w:val="en-US" w:eastAsia="zh-CN"/>
              </w:rPr>
              <w:t>25800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szCs w:val="21"/>
                <w:lang w:val="en-US" w:eastAsia="zh-CN"/>
              </w:rPr>
            </w:pPr>
            <w:r>
              <w:rPr>
                <w:rFonts w:hint="eastAsia" w:eastAsia="宋体"/>
                <w:sz w:val="21"/>
                <w:szCs w:val="21"/>
                <w:lang w:val="en-US" w:eastAsia="zh-CN"/>
              </w:rPr>
              <w:t>杀菌</w:t>
            </w:r>
          </w:p>
        </w:tc>
        <w:tc>
          <w:tcPr>
            <w:tcW w:w="1332" w:type="pct"/>
            <w:vAlign w:val="center"/>
          </w:tcPr>
          <w:p w14:paraId="1976C45E">
            <w:pPr>
              <w:spacing w:line="400" w:lineRule="exact"/>
              <w:jc w:val="center"/>
              <w:rPr>
                <w:rFonts w:hint="default" w:eastAsia="宋体"/>
                <w:sz w:val="21"/>
                <w:szCs w:val="21"/>
                <w:lang w:val="en-US"/>
              </w:rPr>
            </w:pPr>
            <w:r>
              <w:rPr>
                <w:rFonts w:hint="eastAsia" w:eastAsia="宋体"/>
                <w:sz w:val="21"/>
                <w:szCs w:val="21"/>
                <w:lang w:val="en-US" w:eastAsia="zh-CN"/>
              </w:rPr>
              <w:t>管式/板式杀菌机</w:t>
            </w:r>
          </w:p>
        </w:tc>
        <w:tc>
          <w:tcPr>
            <w:tcW w:w="901" w:type="pct"/>
          </w:tcPr>
          <w:p w14:paraId="399C77CC">
            <w:pPr>
              <w:spacing w:line="400" w:lineRule="exact"/>
              <w:jc w:val="center"/>
              <w:rPr>
                <w:rFonts w:eastAsia="宋体"/>
                <w:sz w:val="21"/>
                <w:szCs w:val="21"/>
              </w:rPr>
            </w:pPr>
            <w:r>
              <w:rPr>
                <w:rFonts w:hint="eastAsia" w:eastAsia="宋体"/>
                <w:sz w:val="21"/>
                <w:szCs w:val="21"/>
              </w:rPr>
              <w:t>1</w:t>
            </w:r>
          </w:p>
        </w:tc>
        <w:tc>
          <w:tcPr>
            <w:tcW w:w="807" w:type="pct"/>
            <w:vAlign w:val="center"/>
          </w:tcPr>
          <w:p w14:paraId="7B36CF13">
            <w:pPr>
              <w:spacing w:line="400" w:lineRule="exact"/>
              <w:jc w:val="center"/>
              <w:rPr>
                <w:rFonts w:hint="default" w:eastAsia="宋体"/>
                <w:sz w:val="21"/>
                <w:szCs w:val="21"/>
                <w:lang w:val="en-US" w:eastAsia="zh-CN"/>
              </w:rPr>
            </w:pPr>
            <w:r>
              <w:rPr>
                <w:rFonts w:hint="eastAsia" w:eastAsia="宋体"/>
                <w:sz w:val="21"/>
                <w:szCs w:val="21"/>
                <w:lang w:val="en-US" w:eastAsia="zh-CN"/>
              </w:rPr>
              <w:t>208</w:t>
            </w:r>
          </w:p>
        </w:tc>
        <w:tc>
          <w:tcPr>
            <w:tcW w:w="1117" w:type="pct"/>
            <w:vAlign w:val="center"/>
          </w:tcPr>
          <w:p w14:paraId="03B23287">
            <w:pPr>
              <w:spacing w:line="400" w:lineRule="exact"/>
              <w:jc w:val="center"/>
              <w:rPr>
                <w:rFonts w:hint="default" w:eastAsia="宋体"/>
                <w:sz w:val="21"/>
                <w:szCs w:val="21"/>
                <w:lang w:val="en-US" w:eastAsia="zh-CN"/>
              </w:rPr>
            </w:pPr>
            <w:r>
              <w:rPr>
                <w:rFonts w:hint="eastAsia" w:eastAsia="宋体"/>
                <w:sz w:val="21"/>
                <w:szCs w:val="21"/>
                <w:lang w:val="en-US" w:eastAsia="zh-CN"/>
              </w:rPr>
              <w:t>62400</w:t>
            </w:r>
          </w:p>
        </w:tc>
      </w:tr>
      <w:tr w14:paraId="70DC6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54393C05">
            <w:pPr>
              <w:spacing w:line="400" w:lineRule="exact"/>
              <w:jc w:val="center"/>
              <w:rPr>
                <w:rFonts w:hint="eastAsia" w:eastAsia="宋体"/>
                <w:sz w:val="21"/>
                <w:szCs w:val="21"/>
                <w:lang w:eastAsia="zh-CN"/>
              </w:rPr>
            </w:pPr>
            <w:r>
              <w:rPr>
                <w:rFonts w:hint="eastAsia" w:eastAsia="宋体"/>
                <w:sz w:val="21"/>
                <w:szCs w:val="21"/>
                <w:lang w:val="en-US" w:eastAsia="zh-CN"/>
              </w:rPr>
              <w:t>发酵保温</w:t>
            </w:r>
          </w:p>
        </w:tc>
        <w:tc>
          <w:tcPr>
            <w:tcW w:w="1332" w:type="pct"/>
            <w:vAlign w:val="center"/>
          </w:tcPr>
          <w:p w14:paraId="3E1B6D9D">
            <w:pPr>
              <w:spacing w:line="400" w:lineRule="exact"/>
              <w:jc w:val="center"/>
              <w:rPr>
                <w:rFonts w:hint="eastAsia" w:eastAsia="宋体"/>
                <w:sz w:val="21"/>
                <w:szCs w:val="21"/>
                <w:lang w:val="en-US" w:eastAsia="zh-CN"/>
              </w:rPr>
            </w:pPr>
            <w:r>
              <w:rPr>
                <w:rFonts w:hint="eastAsia" w:eastAsia="宋体"/>
                <w:sz w:val="21"/>
                <w:szCs w:val="21"/>
                <w:lang w:val="en-US" w:eastAsia="zh-CN"/>
              </w:rPr>
              <w:t>发酵罐</w:t>
            </w:r>
          </w:p>
        </w:tc>
        <w:tc>
          <w:tcPr>
            <w:tcW w:w="901" w:type="pct"/>
          </w:tcPr>
          <w:p w14:paraId="458ACF2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3</w:t>
            </w:r>
          </w:p>
        </w:tc>
        <w:tc>
          <w:tcPr>
            <w:tcW w:w="807" w:type="pct"/>
            <w:vAlign w:val="center"/>
          </w:tcPr>
          <w:p w14:paraId="3B619AD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100</w:t>
            </w:r>
          </w:p>
        </w:tc>
        <w:tc>
          <w:tcPr>
            <w:tcW w:w="1117" w:type="pct"/>
            <w:vAlign w:val="center"/>
          </w:tcPr>
          <w:p w14:paraId="1BC7ECC8">
            <w:pPr>
              <w:spacing w:line="400" w:lineRule="exact"/>
              <w:jc w:val="center"/>
              <w:rPr>
                <w:rFonts w:hint="default" w:eastAsia="宋体"/>
                <w:sz w:val="21"/>
                <w:szCs w:val="21"/>
                <w:lang w:val="en-US" w:eastAsia="zh-CN"/>
              </w:rPr>
            </w:pPr>
            <w:r>
              <w:rPr>
                <w:rFonts w:hint="eastAsia" w:eastAsia="宋体"/>
                <w:sz w:val="21"/>
                <w:szCs w:val="21"/>
                <w:lang w:val="en-US" w:eastAsia="zh-CN"/>
              </w:rPr>
              <w:t>3000</w:t>
            </w:r>
          </w:p>
        </w:tc>
      </w:tr>
      <w:tr w14:paraId="59015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7419E6F0">
            <w:pPr>
              <w:spacing w:line="400" w:lineRule="exact"/>
              <w:jc w:val="center"/>
              <w:rPr>
                <w:rFonts w:hint="eastAsia" w:eastAsia="宋体"/>
                <w:sz w:val="21"/>
                <w:szCs w:val="21"/>
                <w:lang w:val="en-US" w:eastAsia="zh-CN"/>
              </w:rPr>
            </w:pPr>
            <w:bookmarkStart w:id="25" w:name="_Toc3004"/>
            <w:bookmarkStart w:id="26" w:name="_Toc168404172"/>
            <w:r>
              <w:rPr>
                <w:rFonts w:hint="eastAsia" w:eastAsia="宋体"/>
                <w:sz w:val="21"/>
                <w:szCs w:val="21"/>
                <w:lang w:val="en-US" w:eastAsia="zh-CN"/>
              </w:rPr>
              <w:t>清洗</w:t>
            </w:r>
          </w:p>
        </w:tc>
        <w:tc>
          <w:tcPr>
            <w:tcW w:w="1332" w:type="pct"/>
            <w:vAlign w:val="center"/>
          </w:tcPr>
          <w:p w14:paraId="50A7976D">
            <w:pPr>
              <w:spacing w:line="400" w:lineRule="exact"/>
              <w:jc w:val="center"/>
              <w:rPr>
                <w:rFonts w:hint="default" w:eastAsia="宋体"/>
                <w:sz w:val="21"/>
                <w:szCs w:val="21"/>
                <w:lang w:val="en-US" w:eastAsia="zh-CN"/>
              </w:rPr>
            </w:pPr>
            <w:r>
              <w:rPr>
                <w:rFonts w:hint="eastAsia" w:eastAsia="宋体"/>
                <w:sz w:val="21"/>
                <w:szCs w:val="21"/>
                <w:lang w:val="en-US" w:eastAsia="zh-CN"/>
              </w:rPr>
              <w:t>CIP系统</w:t>
            </w:r>
          </w:p>
        </w:tc>
        <w:tc>
          <w:tcPr>
            <w:tcW w:w="901" w:type="pct"/>
          </w:tcPr>
          <w:p w14:paraId="3B396787">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1</w:t>
            </w:r>
          </w:p>
        </w:tc>
        <w:tc>
          <w:tcPr>
            <w:tcW w:w="807" w:type="pct"/>
            <w:vAlign w:val="center"/>
          </w:tcPr>
          <w:p w14:paraId="5385D684">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150</w:t>
            </w:r>
          </w:p>
        </w:tc>
        <w:tc>
          <w:tcPr>
            <w:tcW w:w="1117" w:type="pct"/>
            <w:vAlign w:val="center"/>
          </w:tcPr>
          <w:p w14:paraId="375CDF1F">
            <w:pPr>
              <w:spacing w:line="400" w:lineRule="exact"/>
              <w:jc w:val="center"/>
              <w:rPr>
                <w:rFonts w:hint="default" w:eastAsia="宋体"/>
                <w:sz w:val="21"/>
                <w:szCs w:val="21"/>
                <w:lang w:val="en-US" w:eastAsia="zh-CN"/>
              </w:rPr>
            </w:pPr>
            <w:r>
              <w:rPr>
                <w:rFonts w:hint="eastAsia" w:eastAsia="宋体"/>
                <w:sz w:val="21"/>
                <w:szCs w:val="21"/>
                <w:lang w:val="en-US" w:eastAsia="zh-CN"/>
              </w:rPr>
              <w:t>45000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eastAsia="宋体"/>
                <w:sz w:val="21"/>
                <w:szCs w:val="21"/>
                <w:lang w:val="en-US" w:eastAsia="zh-CN"/>
              </w:rPr>
            </w:pPr>
            <w:r>
              <w:rPr>
                <w:rFonts w:hint="eastAsia" w:eastAsia="宋体"/>
                <w:sz w:val="21"/>
                <w:szCs w:val="21"/>
                <w:lang w:val="en-US" w:eastAsia="zh-CN"/>
              </w:rPr>
              <w:t>总计</w:t>
            </w:r>
          </w:p>
        </w:tc>
        <w:tc>
          <w:tcPr>
            <w:tcW w:w="1332" w:type="pct"/>
            <w:tcBorders>
              <w:bottom w:val="single" w:color="auto" w:sz="12" w:space="0"/>
            </w:tcBorders>
            <w:vAlign w:val="center"/>
          </w:tcPr>
          <w:p w14:paraId="498BF2E0">
            <w:pPr>
              <w:spacing w:line="400" w:lineRule="exact"/>
              <w:jc w:val="center"/>
              <w:rPr>
                <w:rFonts w:eastAsia="宋体"/>
                <w:sz w:val="21"/>
                <w:szCs w:val="21"/>
              </w:rPr>
            </w:pPr>
          </w:p>
        </w:tc>
        <w:tc>
          <w:tcPr>
            <w:tcW w:w="901" w:type="pct"/>
            <w:tcBorders>
              <w:bottom w:val="single" w:color="auto" w:sz="12" w:space="0"/>
            </w:tcBorders>
          </w:tcPr>
          <w:p w14:paraId="1CC4027E">
            <w:pPr>
              <w:widowControl/>
              <w:jc w:val="center"/>
              <w:rPr>
                <w:rFonts w:hint="eastAsia" w:eastAsia="宋体"/>
                <w:color w:val="000000"/>
                <w:sz w:val="21"/>
                <w:szCs w:val="21"/>
                <w:lang w:val="en-US" w:eastAsia="zh-CN"/>
              </w:rPr>
            </w:pPr>
          </w:p>
        </w:tc>
        <w:tc>
          <w:tcPr>
            <w:tcW w:w="807" w:type="pct"/>
            <w:tcBorders>
              <w:bottom w:val="single" w:color="auto" w:sz="12" w:space="0"/>
            </w:tcBorders>
            <w:vAlign w:val="center"/>
          </w:tcPr>
          <w:p w14:paraId="6391334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eastAsia="宋体"/>
                <w:sz w:val="21"/>
                <w:szCs w:val="21"/>
                <w:lang w:val="en-US" w:eastAsia="zh-CN"/>
              </w:rPr>
            </w:pPr>
            <w:r>
              <w:rPr>
                <w:rFonts w:hint="eastAsia" w:eastAsia="宋体"/>
                <w:sz w:val="21"/>
                <w:szCs w:val="21"/>
                <w:lang w:val="en-US" w:eastAsia="zh-CN"/>
              </w:rPr>
              <w:t>163200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7" w:name="_Toc20073"/>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7 </w:t>
      </w:r>
      <w:r>
        <w:rPr>
          <w:rFonts w:hint="eastAsia" w:ascii="Times New Roman" w:hAnsi="Times New Roman" w:eastAsia="黑体" w:cs="黑体"/>
          <w:b w:val="0"/>
          <w:bCs w:val="0"/>
          <w:sz w:val="24"/>
          <w:szCs w:val="24"/>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2.7.1 车间工艺布置原则</w:t>
      </w:r>
    </w:p>
    <w:p w14:paraId="7E51B0FB">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原料乳接收、蓝莓果料进行无菌调配、基料配料均匀混合</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处理，与中段的高压均质以及末尾的自动灌装紧密连接</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在规划</w:t>
      </w:r>
      <w:r>
        <w:rPr>
          <w:rFonts w:hint="eastAsia" w:cs="Times New Roman"/>
          <w:b w:val="0"/>
          <w:sz w:val="24"/>
          <w:lang w:val="en-US" w:eastAsia="zh-CN" w:bidi="ar-SA"/>
        </w:rPr>
        <w:t>里</w:t>
      </w:r>
      <w:r>
        <w:rPr>
          <w:rFonts w:hint="eastAsia" w:ascii="Times New Roman" w:hAnsi="Times New Roman" w:eastAsia="宋体" w:cs="Times New Roman"/>
          <w:b w:val="0"/>
          <w:sz w:val="24"/>
          <w:lang w:val="en-US" w:eastAsia="zh-CN" w:bidi="ar-SA"/>
        </w:rPr>
        <w:t>，厂房内部的人员流动路径和工艺物料的管道输送被彻底分开</w:t>
      </w:r>
      <w:r>
        <w:rPr>
          <w:rFonts w:hint="eastAsia" w:cs="Times New Roman"/>
          <w:b w:val="0"/>
          <w:sz w:val="24"/>
          <w:lang w:val="en-US" w:eastAsia="zh-CN" w:bidi="ar-SA"/>
        </w:rPr>
        <w:t>。</w:t>
      </w:r>
    </w:p>
    <w:p w14:paraId="0D1AB153">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各生产工段开展温湿度和空气洁净度控制</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灌装区域，会通过安装净化罩、通过对外的正压梯度来阻隔外界杂菌｡ 整个厂房都可承受高频率的化学侵蚀</w:t>
      </w:r>
      <w:r>
        <w:rPr>
          <w:rFonts w:hint="eastAsia" w:cs="Times New Roman"/>
          <w:b w:val="0"/>
          <w:sz w:val="24"/>
          <w:lang w:val="en-US" w:eastAsia="zh-CN" w:bidi="ar-SA"/>
        </w:rPr>
        <w:t>。</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2.7.2 车间工艺布置设计</w:t>
      </w:r>
    </w:p>
    <w:p w14:paraId="3ED788C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bookmarkStart w:id="28" w:name="_Toc12242"/>
      <w:bookmarkStart w:id="29" w:name="_Toc168404173"/>
      <w:bookmarkStart w:id="30" w:name="_Toc30398"/>
      <w:r>
        <w:rPr>
          <w:rFonts w:hint="eastAsia"/>
          <w:sz w:val="24"/>
          <w:szCs w:val="24"/>
        </w:rPr>
        <w:t>该车间建筑总面积为864</w:t>
      </w:r>
      <w:r>
        <w:rPr>
          <w:rFonts w:hint="default" w:ascii="Times New Roman" w:hAnsi="Times New Roman" w:cs="Times New Roman"/>
          <w:sz w:val="24"/>
          <w:szCs w:val="24"/>
        </w:rPr>
        <w:t>m²</w:t>
      </w:r>
      <w:r>
        <w:rPr>
          <w:rFonts w:hint="eastAsia" w:cs="Times New Roman"/>
          <w:sz w:val="24"/>
          <w:szCs w:val="24"/>
          <w:lang w:eastAsia="zh-CN"/>
        </w:rPr>
        <w:t>。</w:t>
      </w:r>
      <w:r>
        <w:rPr>
          <w:rFonts w:hint="eastAsia"/>
          <w:sz w:val="24"/>
          <w:szCs w:val="24"/>
        </w:rPr>
        <w:t>厂房布局把空间横向拆解</w:t>
      </w:r>
      <w:r>
        <w:rPr>
          <w:rFonts w:hint="eastAsia"/>
          <w:sz w:val="24"/>
          <w:szCs w:val="24"/>
          <w:lang w:eastAsia="zh-CN"/>
        </w:rPr>
        <w:t>，</w:t>
      </w:r>
      <w:r>
        <w:rPr>
          <w:rFonts w:hint="eastAsia"/>
          <w:sz w:val="24"/>
          <w:szCs w:val="24"/>
        </w:rPr>
        <w:t>彼此独立且紧密相连，具体排列情况可查看附录</w:t>
      </w:r>
      <w:r>
        <w:rPr>
          <w:rFonts w:hint="eastAsia"/>
          <w:sz w:val="24"/>
          <w:szCs w:val="24"/>
          <w:lang w:eastAsia="zh-CN"/>
        </w:rPr>
        <w:t>。</w:t>
      </w:r>
      <w:r>
        <w:rPr>
          <w:rFonts w:hint="eastAsia"/>
          <w:sz w:val="24"/>
          <w:szCs w:val="24"/>
        </w:rPr>
        <w:t>各区边界采用实体隔断实施物理分隔</w:t>
      </w:r>
      <w:r>
        <w:rPr>
          <w:rFonts w:hint="eastAsia"/>
          <w:sz w:val="24"/>
          <w:szCs w:val="24"/>
          <w:lang w:eastAsia="zh-CN"/>
        </w:rPr>
        <w:t>。</w:t>
      </w:r>
    </w:p>
    <w:p w14:paraId="1A903DC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r>
        <w:rPr>
          <w:rFonts w:hint="eastAsia"/>
          <w:sz w:val="24"/>
          <w:szCs w:val="24"/>
        </w:rPr>
        <w:t>在靠近车间入口处设置原辅料接收和暂存库</w:t>
      </w:r>
      <w:r>
        <w:rPr>
          <w:rFonts w:hint="eastAsia"/>
          <w:sz w:val="24"/>
          <w:szCs w:val="24"/>
          <w:lang w:eastAsia="zh-CN"/>
        </w:rPr>
        <w:t>。</w:t>
      </w:r>
      <w:r>
        <w:rPr>
          <w:rFonts w:hint="eastAsia"/>
          <w:sz w:val="24"/>
          <w:szCs w:val="24"/>
        </w:rPr>
        <w:t>生乳运</w:t>
      </w:r>
      <w:r>
        <w:rPr>
          <w:rFonts w:hint="eastAsia"/>
          <w:sz w:val="24"/>
          <w:szCs w:val="24"/>
          <w:lang w:val="en-US" w:eastAsia="zh-CN"/>
        </w:rPr>
        <w:t>输</w:t>
      </w:r>
      <w:r>
        <w:rPr>
          <w:rFonts w:hint="eastAsia"/>
          <w:sz w:val="24"/>
          <w:szCs w:val="24"/>
        </w:rPr>
        <w:t>罐保持2</w:t>
      </w:r>
      <w:r>
        <w:rPr>
          <w:rFonts w:hint="default" w:ascii="Times New Roman" w:hAnsi="Times New Roman" w:cs="Times New Roman"/>
          <w:sz w:val="24"/>
          <w:szCs w:val="24"/>
          <w:lang w:val="en-US" w:eastAsia="zh-CN"/>
        </w:rPr>
        <w:t>℃</w:t>
      </w:r>
      <w:r>
        <w:rPr>
          <w:rFonts w:hint="eastAsia"/>
          <w:sz w:val="24"/>
          <w:szCs w:val="24"/>
        </w:rPr>
        <w:t>至6</w:t>
      </w:r>
      <w:r>
        <w:rPr>
          <w:rFonts w:hint="default" w:ascii="Times New Roman" w:hAnsi="Times New Roman" w:cs="Times New Roman"/>
          <w:sz w:val="24"/>
          <w:szCs w:val="24"/>
        </w:rPr>
        <w:t>℃</w:t>
      </w:r>
      <w:r>
        <w:rPr>
          <w:rFonts w:hint="eastAsia"/>
          <w:sz w:val="24"/>
          <w:szCs w:val="24"/>
        </w:rPr>
        <w:t>冷藏，蓝莓鲜果依靠0</w:t>
      </w:r>
      <w:r>
        <w:rPr>
          <w:rFonts w:hint="default" w:ascii="Times New Roman" w:hAnsi="Times New Roman" w:cs="Times New Roman"/>
          <w:sz w:val="24"/>
          <w:szCs w:val="24"/>
          <w:lang w:val="en-US" w:eastAsia="zh-CN"/>
        </w:rPr>
        <w:t>℃</w:t>
      </w:r>
      <w:r>
        <w:rPr>
          <w:rFonts w:hint="eastAsia"/>
          <w:sz w:val="24"/>
          <w:szCs w:val="24"/>
        </w:rPr>
        <w:t>到4</w:t>
      </w:r>
      <w:r>
        <w:rPr>
          <w:rFonts w:hint="default" w:ascii="Times New Roman" w:hAnsi="Times New Roman" w:cs="Times New Roman"/>
          <w:sz w:val="24"/>
          <w:szCs w:val="24"/>
        </w:rPr>
        <w:t>℃</w:t>
      </w:r>
      <w:r>
        <w:rPr>
          <w:rFonts w:hint="eastAsia"/>
          <w:sz w:val="24"/>
          <w:szCs w:val="24"/>
        </w:rPr>
        <w:t>的保鲜库保鲜</w:t>
      </w:r>
      <w:r>
        <w:rPr>
          <w:rFonts w:hint="eastAsia"/>
          <w:sz w:val="24"/>
          <w:szCs w:val="24"/>
          <w:lang w:eastAsia="zh-CN"/>
        </w:rPr>
        <w:t>。</w:t>
      </w:r>
      <w:r>
        <w:rPr>
          <w:rFonts w:hint="eastAsia"/>
          <w:sz w:val="24"/>
          <w:szCs w:val="24"/>
        </w:rPr>
        <w:t>与其相邻的预处理区域，承担蓝莓的筛选、清洗工作，以及原料乳的离心净化与预热操作</w:t>
      </w:r>
      <w:r>
        <w:rPr>
          <w:rFonts w:hint="eastAsia"/>
          <w:sz w:val="24"/>
          <w:szCs w:val="24"/>
          <w:lang w:eastAsia="zh-CN"/>
        </w:rPr>
        <w:t>。</w:t>
      </w:r>
    </w:p>
    <w:p w14:paraId="206A9D1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在中段部分，加工区域整合高压均质、板式杀菌群组</w:t>
      </w:r>
      <w:r>
        <w:rPr>
          <w:rFonts w:hint="eastAsia"/>
          <w:sz w:val="24"/>
          <w:szCs w:val="24"/>
          <w:lang w:eastAsia="zh-CN"/>
        </w:rPr>
        <w:t>。</w:t>
      </w:r>
      <w:r>
        <w:rPr>
          <w:rFonts w:hint="eastAsia"/>
          <w:sz w:val="24"/>
          <w:szCs w:val="24"/>
        </w:rPr>
        <w:t>基乳和果料于密闭管道里混合，经过均质以及板式热处理之后，降低温度接入发酵剂；发酵罐保持动态响应，达到终点时破乳并冷却</w:t>
      </w:r>
      <w:r>
        <w:rPr>
          <w:rFonts w:hint="eastAsia"/>
          <w:sz w:val="24"/>
          <w:szCs w:val="24"/>
          <w:lang w:eastAsia="zh-CN"/>
        </w:rPr>
        <w:t>。</w:t>
      </w:r>
      <w:r>
        <w:rPr>
          <w:rFonts w:hint="eastAsia"/>
          <w:sz w:val="24"/>
          <w:szCs w:val="24"/>
        </w:rPr>
        <w:t>灌装工序实施微环境管控，包装容器</w:t>
      </w:r>
      <w:r>
        <w:rPr>
          <w:rFonts w:hint="eastAsia"/>
          <w:sz w:val="24"/>
          <w:szCs w:val="24"/>
          <w:lang w:val="en-US" w:eastAsia="zh-CN"/>
        </w:rPr>
        <w:t>须</w:t>
      </w:r>
      <w:r>
        <w:rPr>
          <w:rFonts w:hint="eastAsia"/>
          <w:sz w:val="24"/>
          <w:szCs w:val="24"/>
        </w:rPr>
        <w:t>经杀菌处理</w:t>
      </w:r>
      <w:r>
        <w:rPr>
          <w:rFonts w:hint="eastAsia"/>
          <w:sz w:val="24"/>
          <w:szCs w:val="24"/>
          <w:lang w:val="en-US" w:eastAsia="zh-CN"/>
        </w:rPr>
        <w:t>。</w:t>
      </w:r>
    </w:p>
    <w:p w14:paraId="12C10564">
      <w:pPr>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2.8 车间劳动定员</w:t>
      </w:r>
      <w:bookmarkEnd w:id="28"/>
      <w:bookmarkEnd w:id="29"/>
      <w:bookmarkEnd w:id="30"/>
    </w:p>
    <w:p w14:paraId="3AC6BF2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lang w:eastAsia="zh-CN"/>
        </w:rPr>
      </w:pPr>
      <w:r>
        <w:rPr>
          <w:rFonts w:hint="eastAsia"/>
          <w:lang w:val="en-US" w:eastAsia="zh-CN"/>
        </w:rPr>
        <w:t>车间操作工岗位及人员配置如下表所示。</w:t>
      </w:r>
    </w:p>
    <w:p w14:paraId="46A609B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12</w:t>
      </w:r>
      <w:r>
        <w:rPr>
          <w:rFonts w:ascii="Times New Roman" w:hAnsi="Times New Roman" w:eastAsia="黑体"/>
          <w:sz w:val="21"/>
          <w:szCs w:val="21"/>
        </w:rPr>
        <w:t xml:space="preserve"> </w:t>
      </w:r>
      <w:r>
        <w:rPr>
          <w:rFonts w:hint="eastAsia" w:ascii="Times New Roman" w:hAnsi="Times New Roman" w:eastAsia="黑体"/>
          <w:sz w:val="21"/>
          <w:szCs w:val="21"/>
        </w:rPr>
        <w:t>车间</w:t>
      </w:r>
      <w:r>
        <w:rPr>
          <w:rFonts w:hint="eastAsia" w:ascii="Times New Roman" w:hAnsi="Times New Roman" w:eastAsia="黑体"/>
          <w:sz w:val="21"/>
          <w:szCs w:val="21"/>
          <w:lang w:val="en-US" w:eastAsia="zh-CN"/>
        </w:rPr>
        <w:t>劳动定员</w:t>
      </w:r>
      <w:r>
        <w:rPr>
          <w:rFonts w:hint="eastAsia" w:ascii="Times New Roman" w:hAnsi="Times New Roman"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蓝莓解冻（或鲜果分选）、清洗、榨汁/打浆</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1" w:name="_Toc8437"/>
            <w:bookmarkStart w:id="32" w:name="_Toc168404174"/>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center"/>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val="0"/>
          <w:sz w:val="24"/>
          <w:szCs w:val="24"/>
          <w:lang w:val="en-US" w:eastAsia="zh-CN"/>
        </w:rPr>
      </w:pPr>
      <w:bookmarkStart w:id="33" w:name="_Toc29830"/>
      <w:r>
        <w:rPr>
          <w:rFonts w:hint="eastAsia" w:ascii="Times New Roman" w:hAnsi="Times New Roman" w:eastAsia="黑体" w:cs="黑体"/>
          <w:b w:val="0"/>
          <w:bCs w:val="0"/>
          <w:sz w:val="24"/>
          <w:szCs w:val="24"/>
          <w:lang w:val="en-US" w:eastAsia="zh-CN"/>
        </w:rPr>
        <w:t>3 非工艺设计</w:t>
      </w:r>
      <w:bookmarkEnd w:id="31"/>
      <w:bookmarkEnd w:id="32"/>
      <w:bookmarkEnd w:id="33"/>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34" w:name="_Toc168404175"/>
      <w:bookmarkStart w:id="35" w:name="_Toc13771"/>
      <w:bookmarkStart w:id="36" w:name="_Toc647"/>
      <w:r>
        <w:rPr>
          <w:rFonts w:hint="eastAsia" w:ascii="Times New Roman" w:hAnsi="Times New Roman" w:eastAsia="黑体" w:cs="黑体"/>
          <w:b w:val="0"/>
          <w:bCs/>
          <w:sz w:val="24"/>
          <w:szCs w:val="16"/>
          <w:lang w:val="en-US" w:eastAsia="zh-CN"/>
        </w:rPr>
        <w:t>3.1 门窗、地面、墙面及顶棚</w:t>
      </w:r>
      <w:bookmarkEnd w:id="34"/>
      <w:bookmarkEnd w:id="35"/>
      <w:bookmarkEnd w:id="36"/>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b w:val="0"/>
          <w:sz w:val="24"/>
          <w:lang w:val="en-US" w:eastAsia="zh-CN"/>
        </w:rPr>
      </w:pPr>
      <w:r>
        <w:rPr>
          <w:rFonts w:hint="eastAsia" w:ascii="Times New Roman" w:hAnsi="Times New Roman" w:eastAsia="黑体" w:cs="黑体"/>
          <w:b w:val="0"/>
          <w:bCs/>
          <w:sz w:val="24"/>
          <w:szCs w:val="16"/>
          <w:lang w:val="en-US" w:eastAsia="zh-CN"/>
        </w:rPr>
        <w:t>3.1.1 门窗</w:t>
      </w:r>
    </w:p>
    <w:p w14:paraId="6C6DAC7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车间门体选择高气密性防护</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通道统一双开门设计，其净宽和净高分别规定在1.5m和2.2m以上</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同时建立防鼠防虫的屏障，门体要配备自动闭门装置，从硬件方面避免冷热空气的无效对流</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在发酵工序与灌装区域，增添气闸门体系，当作阻隔空气交叉污染的物理屏障</w:t>
      </w:r>
      <w:r>
        <w:rPr>
          <w:rFonts w:hint="eastAsia" w:cs="Times New Roman"/>
          <w:b w:val="0"/>
          <w:sz w:val="24"/>
          <w:lang w:val="en-US" w:eastAsia="zh-CN" w:bidi="ar-SA"/>
        </w:rPr>
        <w:t>。</w:t>
      </w:r>
    </w:p>
    <w:p w14:paraId="182AB00C">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本方案选用双层固定密闭窗</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厂房在确保有充足自然光线的基础上，把窗台统一设计成与内墙面平齐的无缝构造</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对于有避光需求的发酵区域以及低温冷库，外窗部分选用磨砂工艺玻璃</w:t>
      </w:r>
      <w:r>
        <w:rPr>
          <w:rFonts w:hint="eastAsia" w:cs="Times New Roman"/>
          <w:b w:val="0"/>
          <w:sz w:val="24"/>
          <w:lang w:val="en-US" w:eastAsia="zh-CN" w:bidi="ar-SA"/>
        </w:rPr>
        <w:t>。</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3.1.2 地面</w:t>
      </w:r>
    </w:p>
    <w:p w14:paraId="2CD46A6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调配和发酵工段在生产过程中频繁遭遇乳酸溢流以及化学侵蚀，此方案于发酵与无菌灌装区域，规定铺设无缝地面</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对于原料和成品仓储区域，采用具有高膜厚</w:t>
      </w:r>
      <w:r>
        <w:rPr>
          <w:rFonts w:hint="eastAsia" w:cs="Times New Roman"/>
          <w:b w:val="0"/>
          <w:sz w:val="24"/>
          <w:lang w:val="en-US" w:eastAsia="zh-CN" w:bidi="ar-SA"/>
        </w:rPr>
        <w:t>和</w:t>
      </w:r>
      <w:r>
        <w:rPr>
          <w:rFonts w:hint="eastAsia" w:ascii="Times New Roman" w:hAnsi="Times New Roman" w:eastAsia="宋体" w:cs="Times New Roman"/>
          <w:b w:val="0"/>
          <w:sz w:val="24"/>
          <w:lang w:val="en-US" w:eastAsia="zh-CN" w:bidi="ar-SA"/>
        </w:rPr>
        <w:t>抗冲击韧性的地坪</w:t>
      </w:r>
      <w:r>
        <w:rPr>
          <w:rFonts w:hint="eastAsia" w:cs="Times New Roman"/>
          <w:b w:val="0"/>
          <w:sz w:val="24"/>
          <w:lang w:val="en-US" w:eastAsia="zh-CN" w:bidi="ar-SA"/>
        </w:rPr>
        <w:t>。</w:t>
      </w:r>
    </w:p>
    <w:p w14:paraId="28E3AAC6">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面层材料要开展纹理粗糙化操作，从而提高湿态摩擦系数</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在地面构造和卫生防疫方面，设计把低孔隙率以及不透湿性当作杜绝杂菌滋生的硬件标准</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整个厂区地面建立≥2%的整体排水坡度，合理确定地漏的分布密度</w:t>
      </w:r>
      <w:r>
        <w:rPr>
          <w:rFonts w:hint="eastAsia" w:cs="Times New Roman"/>
          <w:b w:val="0"/>
          <w:sz w:val="24"/>
          <w:lang w:val="en-US" w:eastAsia="zh-CN" w:bidi="ar-SA"/>
        </w:rPr>
        <w:t>。</w:t>
      </w: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3.1.3 墙面</w:t>
      </w:r>
    </w:p>
    <w:p w14:paraId="1875D156">
      <w:pPr>
        <w:pStyle w:val="3"/>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1"/>
        <w:rPr>
          <w:rFonts w:hint="eastAsia" w:ascii="Times New Roman" w:hAnsi="Times New Roman" w:eastAsia="宋体" w:cs="Times New Roman"/>
          <w:b w:val="0"/>
          <w:sz w:val="24"/>
          <w:lang w:val="en-US" w:eastAsia="zh-CN" w:bidi="ar-SA"/>
        </w:rPr>
      </w:pPr>
      <w:bookmarkStart w:id="37" w:name="_Toc32057"/>
      <w:bookmarkStart w:id="38" w:name="_Toc168404176"/>
      <w:r>
        <w:rPr>
          <w:rFonts w:hint="eastAsia" w:ascii="Times New Roman" w:hAnsi="Times New Roman" w:eastAsia="宋体" w:cs="Times New Roman"/>
          <w:b w:val="0"/>
          <w:sz w:val="24"/>
          <w:lang w:val="en-US" w:eastAsia="zh-CN" w:bidi="ar-SA"/>
        </w:rPr>
        <w:t>车间统一规划高度不低于2.0m的瓷砖墙裙。在冷热变换的生产环境当中，墙体的热阻和构造设计直接关系到工艺温度的稳定。考虑到车间内部同时存在高温发酵区域和低温熟化冷库，在墙体内部增设夹层，以此消除冷桥现象并抑制表面冷凝水产生结露。</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车间卫生及安全设计</w:t>
      </w:r>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3.2.1 车间卫生设计</w:t>
      </w:r>
    </w:p>
    <w:p w14:paraId="67EC36F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车间严格落实清洁规范，针对设备、管道、工具以及工作场所定期开展全面清洗｡入口处设置消毒区域</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 xml:space="preserve">定时检验空气微生物的含量，装设空气净化设备并强化通风｡各功能区域分开设置，配备专门的废物收集容器，废弃物存放处与生产区保持距离，定时进行无害化处置，避免交叉污染｡ </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6413"/>
      <w:bookmarkStart w:id="40" w:name="_Toc168404177"/>
      <w:r>
        <w:rPr>
          <w:rFonts w:hint="eastAsia" w:ascii="Times New Roman" w:hAnsi="Times New Roman" w:eastAsia="宋体" w:cs="Times New Roman"/>
          <w:b w:val="0"/>
          <w:sz w:val="24"/>
          <w:lang w:val="en-US" w:eastAsia="zh-CN" w:bidi="ar-SA"/>
        </w:rPr>
        <w:t>车间安全设计以预防为主，布局合理，</w:t>
      </w:r>
      <w:r>
        <w:rPr>
          <w:rFonts w:hint="eastAsia" w:cs="Times New Roman"/>
          <w:b w:val="0"/>
          <w:sz w:val="24"/>
          <w:lang w:val="en-US" w:eastAsia="zh-CN" w:bidi="ar-SA"/>
        </w:rPr>
        <w:t>避免拥堵。</w:t>
      </w:r>
      <w:r>
        <w:rPr>
          <w:rFonts w:hint="eastAsia" w:ascii="Times New Roman" w:hAnsi="Times New Roman" w:eastAsia="宋体" w:cs="Times New Roman"/>
          <w:b w:val="0"/>
          <w:sz w:val="24"/>
          <w:lang w:val="en-US" w:eastAsia="zh-CN" w:bidi="ar-SA"/>
        </w:rPr>
        <w:t>车间配备消防设备、烟雾报警器、应急照明及疏散标志，定期组织演练。设专职安全管理人员，每日巡查，排查隐患。</w:t>
      </w: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w:t>
      </w: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41" w:name="_Toc16230"/>
      <w:r>
        <w:rPr>
          <w:rFonts w:hint="eastAsia" w:ascii="Times New Roman" w:hAnsi="Times New Roman" w:eastAsia="黑体" w:cs="黑体"/>
          <w:b w:val="0"/>
          <w:bCs/>
          <w:sz w:val="24"/>
          <w:szCs w:val="16"/>
          <w:lang w:val="en-US" w:eastAsia="zh-CN"/>
        </w:rPr>
        <w:t>3.3</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3.3.1 原料仓库</w:t>
      </w:r>
    </w:p>
    <w:p w14:paraId="10C232F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原料仓库的面积进行科学规划，预留出叉车和设备的操作通道</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仓库里设置独立分区</w:t>
      </w:r>
      <w:r>
        <w:rPr>
          <w:rFonts w:hint="eastAsia" w:cs="Times New Roman"/>
          <w:b w:val="0"/>
          <w:sz w:val="24"/>
          <w:lang w:val="en-US" w:eastAsia="zh-CN" w:bidi="ar-SA"/>
        </w:rPr>
        <w:t>如</w:t>
      </w:r>
      <w:r>
        <w:rPr>
          <w:rFonts w:hint="eastAsia" w:ascii="Times New Roman" w:hAnsi="Times New Roman" w:eastAsia="宋体" w:cs="Times New Roman"/>
          <w:b w:val="0"/>
          <w:sz w:val="24"/>
          <w:lang w:val="en-US" w:eastAsia="zh-CN" w:bidi="ar-SA"/>
        </w:rPr>
        <w:t>原料乳低温冷藏区、蓝莓保鲜存储区</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配置具备恒温功能的冷库、温湿度监测系统以及自动报警设备，湿度调控根据物料需求进行调整</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安装具备良好性能的通风与除湿设备，避免出现结露霉变情况</w:t>
      </w:r>
      <w:r>
        <w:rPr>
          <w:rFonts w:hint="eastAsia" w:cs="Times New Roman"/>
          <w:b w:val="0"/>
          <w:sz w:val="24"/>
          <w:lang w:val="en-US" w:eastAsia="zh-CN" w:bidi="ar-SA"/>
        </w:rPr>
        <w:t>。</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3.3.2 产品仓库</w:t>
      </w:r>
    </w:p>
    <w:p w14:paraId="1AA3E8B9">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2" w:name="_Toc7510"/>
      <w:bookmarkStart w:id="43" w:name="_Toc9060"/>
      <w:bookmarkStart w:id="44" w:name="_Toc168404178"/>
      <w:r>
        <w:rPr>
          <w:rFonts w:hint="eastAsia" w:ascii="Times New Roman" w:hAnsi="Times New Roman" w:eastAsia="宋体" w:cs="Times New Roman"/>
          <w:b w:val="0"/>
          <w:kern w:val="0"/>
          <w:sz w:val="24"/>
          <w:lang w:val="en-US" w:eastAsia="zh-CN" w:bidi="ar-SA"/>
        </w:rPr>
        <w:t>产品仓库设立成品冷藏区、包装材料区以及发货区域，各个区域标识明确，通道保持畅通</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库房配备恒温制冷装置与温湿度自动监测系统，温度把控在2</w:t>
      </w:r>
      <w:r>
        <w:rPr>
          <w:rFonts w:hint="default" w:ascii="Times New Roman" w:hAnsi="Times New Roman"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至6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，湿度不超过75%</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包装材料区域需维持通风与干燥，配备除湿装置</w:t>
      </w:r>
      <w:r>
        <w:rPr>
          <w:rFonts w:hint="eastAsia" w:cs="Times New Roman"/>
          <w:b w:val="0"/>
          <w:kern w:val="0"/>
          <w:sz w:val="24"/>
          <w:lang w:val="en-US" w:eastAsia="zh-CN" w:bidi="ar-SA"/>
        </w:rPr>
        <w:t>。</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Times New Roman"/>
          <w:b w:val="0"/>
          <w:bCs/>
          <w:sz w:val="24"/>
          <w:szCs w:val="11"/>
          <w:lang w:val="en-US" w:eastAsia="zh-CN"/>
        </w:rPr>
      </w:pPr>
      <w:r>
        <w:rPr>
          <w:rFonts w:hint="eastAsia" w:ascii="Times New Roman" w:hAnsi="Times New Roman" w:eastAsia="黑体" w:cs="Times New Roman"/>
          <w:b w:val="0"/>
          <w:bCs/>
          <w:sz w:val="24"/>
          <w:szCs w:val="11"/>
          <w:lang w:val="en-US" w:eastAsia="zh-CN"/>
        </w:rPr>
        <w:t>4 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bookmarkStart w:id="45" w:name="_Toc168404179"/>
      <w:bookmarkStart w:id="46" w:name="_Toc3673"/>
      <w:bookmarkStart w:id="47" w:name="_Toc10829"/>
      <w:r>
        <w:rPr>
          <w:rFonts w:hint="eastAsia" w:ascii="Times New Roman" w:hAnsi="Times New Roman" w:eastAsia="黑体" w:cs="Times New Roman"/>
          <w:b w:val="0"/>
          <w:bCs/>
          <w:sz w:val="24"/>
          <w:szCs w:val="16"/>
          <w:lang w:val="en-US" w:eastAsia="zh-CN"/>
        </w:rPr>
        <w:t>4.1</w:t>
      </w:r>
      <w:r>
        <w:rPr>
          <w:rFonts w:hint="eastAsia" w:ascii="Times New Roman" w:hAnsi="Times New Roman" w:cs="Times New Roman"/>
          <w:b w:val="0"/>
          <w:bCs/>
          <w:sz w:val="24"/>
          <w:szCs w:val="16"/>
          <w:lang w:val="en-US" w:eastAsia="zh-CN"/>
        </w:rPr>
        <w:t xml:space="preserve"> </w:t>
      </w:r>
      <w:r>
        <w:rPr>
          <w:rFonts w:hint="eastAsia" w:ascii="Times New Roman" w:hAnsi="Times New Roman" w:eastAsia="黑体" w:cs="Times New Roman"/>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r>
        <w:rPr>
          <w:rFonts w:hint="eastAsia" w:ascii="Times New Roman" w:hAnsi="Times New Roman" w:eastAsia="黑体" w:cs="Times New Roman"/>
          <w:b w:val="0"/>
          <w:bCs/>
          <w:sz w:val="24"/>
          <w:szCs w:val="16"/>
          <w:lang w:val="en-US" w:eastAsia="zh-CN"/>
        </w:rPr>
        <w:t>4.1.1 废水的处理</w:t>
      </w:r>
    </w:p>
    <w:p w14:paraId="1DB8EBE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cs="Times New Roman"/>
          <w:b w:val="0"/>
          <w:kern w:val="0"/>
          <w:sz w:val="24"/>
          <w:lang w:val="en-US" w:eastAsia="zh-CN" w:bidi="ar-SA"/>
        </w:rPr>
        <w:t>产品</w:t>
      </w:r>
      <w:r>
        <w:rPr>
          <w:rFonts w:hint="eastAsia" w:ascii="Times New Roman" w:hAnsi="Times New Roman" w:eastAsia="宋体" w:cs="Times New Roman"/>
          <w:b w:val="0"/>
          <w:kern w:val="0"/>
          <w:sz w:val="24"/>
          <w:lang w:val="en-US" w:eastAsia="zh-CN" w:bidi="ar-SA"/>
        </w:rPr>
        <w:t>制作流程里产生的污水主要源于设备清洁、地面冲刷、原料预先处理以及发酵罐清洗等，包含</w:t>
      </w:r>
      <w:r>
        <w:rPr>
          <w:rFonts w:hint="eastAsia" w:cs="Times New Roman"/>
          <w:b w:val="0"/>
          <w:kern w:val="0"/>
          <w:sz w:val="24"/>
          <w:lang w:val="en-US" w:eastAsia="zh-CN" w:bidi="ar-SA"/>
        </w:rPr>
        <w:t>多种</w:t>
      </w:r>
      <w:r>
        <w:rPr>
          <w:rFonts w:hint="eastAsia" w:ascii="Times New Roman" w:hAnsi="Times New Roman" w:eastAsia="宋体" w:cs="Times New Roman"/>
          <w:b w:val="0"/>
          <w:kern w:val="0"/>
          <w:sz w:val="24"/>
          <w:lang w:val="en-US" w:eastAsia="zh-CN" w:bidi="ar-SA"/>
        </w:rPr>
        <w:t>有机物质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要严格根据规范开展处理</w:t>
      </w:r>
      <w:r>
        <w:rPr>
          <w:rFonts w:hint="default" w:ascii="Times New Roman" w:hAnsi="Times New Roman" w:cs="Times New Roman"/>
          <w:b w:val="0"/>
          <w:kern w:val="0"/>
          <w:sz w:val="24"/>
          <w:lang w:val="en-US" w:eastAsia="zh-CN" w:bidi="ar-SA"/>
        </w:rPr>
        <w:t>。</w:t>
      </w:r>
    </w:p>
    <w:p w14:paraId="6B9C34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从起始端降低废水生成，对CIP清洗流程进行优化，运用分区式清洗方式、回收酸碱清洗溶液</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处理后的清水能够回用于地面清洁、设备初步清洗或者厂区的绿化工作，实现水资源的循环使用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定时开展排放水质监测工作，保证实现达标排放</w:t>
      </w:r>
      <w:r>
        <w:rPr>
          <w:rFonts w:hint="eastAsia" w:cs="Times New Roman"/>
          <w:b w:val="0"/>
          <w:kern w:val="0"/>
          <w:sz w:val="24"/>
          <w:lang w:val="en-US" w:eastAsia="zh-CN" w:bidi="ar-SA"/>
        </w:rPr>
        <w:t>。</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24"/>
          <w:lang w:val="en-US" w:eastAsia="zh-CN"/>
        </w:rPr>
      </w:pPr>
      <w:r>
        <w:rPr>
          <w:rFonts w:hint="eastAsia" w:ascii="Times New Roman" w:hAnsi="Times New Roman" w:eastAsia="黑体" w:cs="黑体"/>
          <w:b w:val="0"/>
          <w:bCs/>
          <w:sz w:val="24"/>
          <w:szCs w:val="24"/>
          <w:lang w:val="en-US" w:eastAsia="zh-CN"/>
        </w:rPr>
        <w:t>4.1.2 废气的处理</w:t>
      </w:r>
    </w:p>
    <w:p w14:paraId="777CDCED">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本设计针对发酵环节以及车间配套的废水处理池开展定向源头管控</w:t>
      </w:r>
      <w:r>
        <w:rPr>
          <w:rFonts w:hint="eastAsia" w:cs="Times New Roman"/>
          <w:b w:val="0"/>
          <w:kern w:val="0"/>
          <w:sz w:val="24"/>
          <w:lang w:val="en-US" w:eastAsia="zh-CN" w:bidi="ar-SA"/>
        </w:rPr>
        <w:t>并</w:t>
      </w:r>
      <w:r>
        <w:rPr>
          <w:rFonts w:hint="eastAsia" w:ascii="Times New Roman" w:hAnsi="Times New Roman" w:eastAsia="宋体" w:cs="Times New Roman"/>
          <w:b w:val="0"/>
          <w:kern w:val="0"/>
          <w:sz w:val="24"/>
          <w:lang w:val="en-US" w:eastAsia="zh-CN" w:bidi="ar-SA"/>
        </w:rPr>
        <w:t>确定密闭负压收集</w:t>
      </w:r>
      <w:r>
        <w:rPr>
          <w:rFonts w:hint="eastAsia" w:cs="Times New Roman"/>
          <w:b w:val="0"/>
          <w:kern w:val="0"/>
          <w:sz w:val="24"/>
          <w:lang w:val="en-US" w:eastAsia="zh-CN" w:bidi="ar-SA"/>
        </w:rPr>
        <w:t>及</w:t>
      </w:r>
      <w:r>
        <w:rPr>
          <w:rFonts w:hint="eastAsia" w:ascii="Times New Roman" w:hAnsi="Times New Roman" w:eastAsia="宋体" w:cs="Times New Roman"/>
          <w:b w:val="0"/>
          <w:kern w:val="0"/>
          <w:sz w:val="24"/>
          <w:lang w:val="en-US" w:eastAsia="zh-CN" w:bidi="ar-SA"/>
        </w:rPr>
        <w:t>活性炭吸附的协同治理路径</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针对氨气、硫化氢</w:t>
      </w:r>
      <w:r>
        <w:rPr>
          <w:rFonts w:hint="eastAsia" w:cs="Times New Roman"/>
          <w:b w:val="0"/>
          <w:kern w:val="0"/>
          <w:sz w:val="24"/>
          <w:lang w:val="en-US" w:eastAsia="zh-CN" w:bidi="ar-SA"/>
        </w:rPr>
        <w:t>等恶臭气体</w:t>
      </w:r>
      <w:r>
        <w:rPr>
          <w:rFonts w:hint="eastAsia" w:ascii="Times New Roman" w:hAnsi="Times New Roman" w:eastAsia="宋体" w:cs="Times New Roman"/>
          <w:b w:val="0"/>
          <w:kern w:val="0"/>
          <w:sz w:val="24"/>
          <w:lang w:val="en-US" w:eastAsia="zh-CN" w:bidi="ar-SA"/>
        </w:rPr>
        <w:t>，通过填充高碘值活性炭的吸附阵列实施物理拦截</w:t>
      </w:r>
      <w:r>
        <w:rPr>
          <w:rFonts w:hint="eastAsia" w:cs="Times New Roman"/>
          <w:b w:val="0"/>
          <w:kern w:val="0"/>
          <w:sz w:val="24"/>
          <w:lang w:val="en-US" w:eastAsia="zh-CN" w:bidi="ar-SA"/>
        </w:rPr>
        <w:t>。</w:t>
      </w:r>
    </w:p>
    <w:p w14:paraId="66F42935">
      <w:pPr>
        <w:rPr>
          <w:rFonts w:hint="eastAsia" w:cs="Times New Roman"/>
          <w:b w:val="0"/>
          <w:kern w:val="0"/>
          <w:sz w:val="24"/>
          <w:lang w:val="en-US" w:eastAsia="zh-CN" w:bidi="ar-SA"/>
        </w:rPr>
      </w:pPr>
      <w:r>
        <w:rPr>
          <w:rFonts w:hint="eastAsia" w:cs="Times New Roman"/>
          <w:b w:val="0"/>
          <w:kern w:val="0"/>
          <w:sz w:val="24"/>
          <w:lang w:val="en-US" w:eastAsia="zh-CN" w:bidi="ar-SA"/>
        </w:rPr>
        <w:br w:type="page"/>
      </w:r>
    </w:p>
    <w:p w14:paraId="64C2594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4.1.3 废渣的处理</w:t>
      </w:r>
    </w:p>
    <w:p w14:paraId="0A6CDDA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68404180"/>
      <w:bookmarkStart w:id="49" w:name="_Toc1342"/>
      <w:bookmarkStart w:id="50" w:name="_Toc8648"/>
      <w:r>
        <w:rPr>
          <w:rFonts w:hint="eastAsia" w:cs="Times New Roman"/>
          <w:b w:val="0"/>
          <w:kern w:val="0"/>
          <w:sz w:val="24"/>
          <w:lang w:val="en-US" w:eastAsia="zh-CN" w:bidi="ar-SA"/>
        </w:rPr>
        <w:t>生产中</w:t>
      </w:r>
      <w:r>
        <w:rPr>
          <w:rFonts w:hint="eastAsia" w:ascii="Times New Roman" w:hAnsi="Times New Roman" w:eastAsia="宋体" w:cs="Times New Roman"/>
          <w:b w:val="0"/>
          <w:kern w:val="0"/>
          <w:sz w:val="24"/>
          <w:lang w:val="en-US" w:eastAsia="zh-CN" w:bidi="ar-SA"/>
        </w:rPr>
        <w:t>的废渣主要有蓝莓果渣、不符合标准的产品以及污泥等</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蓝莓果渣中含有丰富的膳食纤维与花青素，能够提取果胶、多酚，也能加工成饲料添加剂，实现高值化利用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对难以利用的废渣开展无害化处置，例如通过堆肥发酵来制备有机肥料</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污泥完成脱水后与废渣一同进行处置，防止二次污染</w:t>
      </w:r>
      <w:r>
        <w:rPr>
          <w:rFonts w:hint="eastAsia" w:cs="Times New Roman"/>
          <w:b w:val="0"/>
          <w:kern w:val="0"/>
          <w:sz w:val="24"/>
          <w:lang w:val="en-US" w:eastAsia="zh-CN" w:bidi="ar-SA"/>
        </w:rPr>
        <w:t>。</w:t>
      </w:r>
    </w:p>
    <w:p w14:paraId="5E989618">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shd w:val="clear" w:color="auto" w:fill="auto"/>
          <w:lang w:val="en-US" w:eastAsia="zh-CN"/>
        </w:rPr>
      </w:pPr>
      <w:r>
        <w:rPr>
          <w:rFonts w:hint="eastAsia" w:ascii="Times New Roman" w:hAnsi="Times New Roman" w:eastAsia="黑体" w:cs="黑体"/>
          <w:b w:val="0"/>
          <w:bCs/>
          <w:sz w:val="24"/>
          <w:szCs w:val="16"/>
          <w:shd w:val="clear" w:color="auto" w:fill="auto"/>
          <w:lang w:val="en-US" w:eastAsia="zh-CN"/>
        </w:rPr>
        <w:t>4.2</w:t>
      </w:r>
      <w:r>
        <w:rPr>
          <w:rFonts w:hint="eastAsia" w:ascii="Times New Roman" w:hAnsi="Times New Roman" w:cs="黑体"/>
          <w:b w:val="0"/>
          <w:bCs/>
          <w:sz w:val="24"/>
          <w:szCs w:val="16"/>
          <w:shd w:val="clear" w:color="auto" w:fill="auto"/>
          <w:lang w:val="en-US" w:eastAsia="zh-CN"/>
        </w:rPr>
        <w:t xml:space="preserve"> </w:t>
      </w:r>
      <w:r>
        <w:rPr>
          <w:rFonts w:hint="eastAsia" w:ascii="Times New Roman" w:hAnsi="Times New Roman" w:eastAsia="黑体" w:cs="黑体"/>
          <w:b w:val="0"/>
          <w:bCs/>
          <w:sz w:val="24"/>
          <w:szCs w:val="16"/>
          <w:shd w:val="clear" w:color="auto" w:fill="auto"/>
          <w:lang w:val="en-US" w:eastAsia="zh-CN"/>
        </w:rPr>
        <w:t>噪声的控制</w:t>
      </w:r>
      <w:bookmarkEnd w:id="48"/>
      <w:bookmarkEnd w:id="49"/>
      <w:bookmarkEnd w:id="50"/>
    </w:p>
    <w:p w14:paraId="59E4FD73">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黑体" w:hAnsi="黑体" w:eastAsia="黑体" w:cs="黑体"/>
          <w:b w:val="0"/>
          <w:bCs/>
          <w:kern w:val="44"/>
          <w:sz w:val="24"/>
          <w:szCs w:val="11"/>
          <w:lang w:val="en-US" w:eastAsia="zh-CN" w:bidi="ar-SA"/>
        </w:rPr>
      </w:pPr>
      <w:bookmarkStart w:id="51" w:name="_Toc168404181"/>
      <w:bookmarkStart w:id="52" w:name="_Toc14390"/>
      <w:bookmarkStart w:id="53" w:name="_Toc26659"/>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车间里的噪声主要源自均质机、灌装机、制冷机组等装置</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高噪音设备集中安置于车间的中心地带，通过墙体、隔音板以及吸声材料来阻断传播</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车间的门窗运用密封隔音构造，降低噪声向外泄漏</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定时运用噪声检测仪开展监测工作，保证昼间噪声数值与标准相符</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作业人员佩戴耳塞，维护职业健康｡</w:t>
      </w:r>
    </w:p>
    <w:p w14:paraId="5160D948">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outlineLvl w:val="0"/>
        <w:rPr>
          <w:rFonts w:hint="eastAsia" w:ascii="Times New Roman" w:hAnsi="Times New Roman" w:eastAsia="黑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黑体" w:cs="黑体"/>
          <w:b w:val="0"/>
          <w:bCs/>
          <w:kern w:val="44"/>
          <w:sz w:val="24"/>
          <w:szCs w:val="11"/>
          <w:lang w:val="en-US" w:eastAsia="zh-CN" w:bidi="ar-SA"/>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4" w:name="_Toc14047"/>
      <w:bookmarkStart w:id="55" w:name="_Toc23431"/>
      <w:bookmarkStart w:id="56" w:name="_Toc168404182"/>
      <w:r>
        <w:rPr>
          <w:rFonts w:hint="eastAsia" w:ascii="Times New Roman" w:hAnsi="Times New Roman"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13每班原辅料</w:t>
      </w:r>
      <w:r>
        <w:rPr>
          <w:rFonts w:hint="eastAsia" w:ascii="Times New Roman" w:hAnsi="Times New Roman"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2800</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15400</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蓝莓果浆</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700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15400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白砂糖</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245</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1470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复配稳定剂</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14</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420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直投式发酵剂</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200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0.35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70</w:t>
            </w:r>
          </w:p>
        </w:tc>
      </w:tr>
      <w:tr w14:paraId="65571F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5509733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柠檬酸</w:t>
            </w:r>
          </w:p>
        </w:tc>
        <w:tc>
          <w:tcPr>
            <w:tcW w:w="1185" w:type="pct"/>
            <w:vAlign w:val="center"/>
          </w:tcPr>
          <w:p w14:paraId="2CD3B4B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10</w:t>
            </w:r>
          </w:p>
        </w:tc>
        <w:tc>
          <w:tcPr>
            <w:tcW w:w="1426" w:type="pct"/>
            <w:vAlign w:val="center"/>
          </w:tcPr>
          <w:p w14:paraId="7278C7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7</w:t>
            </w:r>
          </w:p>
        </w:tc>
        <w:tc>
          <w:tcPr>
            <w:tcW w:w="1426" w:type="pct"/>
            <w:vAlign w:val="center"/>
          </w:tcPr>
          <w:p w14:paraId="3E7040D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70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32830</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年原辅料总成本=32830元/班×300班=9849000元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5.1.2 包材成本</w:t>
      </w:r>
    </w:p>
    <w:p w14:paraId="1FCC7F0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14</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013B423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一年的总包材成本为264.57万元。</w:t>
      </w:r>
    </w:p>
    <w:p w14:paraId="7B41740C">
      <w:pPr>
        <w:rPr>
          <w:rFonts w:hint="eastAsia" w:cs="Times New Roman"/>
          <w:sz w:val="24"/>
          <w:lang w:val="en-US" w:eastAsia="zh-CN" w:bidi="ar-SA"/>
        </w:rPr>
      </w:pPr>
      <w:r>
        <w:rPr>
          <w:rFonts w:hint="eastAsia" w:cs="Times New Roman"/>
          <w:sz w:val="24"/>
          <w:lang w:val="en-US" w:eastAsia="zh-CN" w:bidi="ar-SA"/>
        </w:rPr>
        <w:br w:type="page"/>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5.1.3 水电汽成本</w:t>
      </w:r>
    </w:p>
    <w:p w14:paraId="44814DB4">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15</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水电</w:t>
      </w:r>
      <w:r>
        <w:rPr>
          <w:rFonts w:hint="eastAsia" w:ascii="Times New Roman" w:hAnsi="Times New Roman" w:eastAsia="黑体"/>
          <w:sz w:val="21"/>
          <w:szCs w:val="21"/>
          <w:lang w:val="en-US" w:eastAsia="zh-CN"/>
        </w:rPr>
        <w:t>汽</w:t>
      </w:r>
      <w:r>
        <w:rPr>
          <w:rFonts w:hint="eastAsia" w:ascii="Times New Roman" w:hAnsi="Times New Roman"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单价</w:t>
            </w:r>
            <w:r>
              <w:rPr>
                <w:rFonts w:hint="eastAsia"/>
                <w:sz w:val="21"/>
                <w:lang w:eastAsia="zh-CN"/>
              </w:rPr>
              <w:t>（</w:t>
            </w:r>
            <w:r>
              <w:rPr>
                <w:rFonts w:hint="eastAsia"/>
                <w:sz w:val="21"/>
                <w:lang w:val="en-US" w:eastAsia="zh-CN"/>
              </w:rPr>
              <w:t>含税）</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125250</w:t>
            </w:r>
            <w:r>
              <w:rPr>
                <w:sz w:val="21"/>
              </w:rPr>
              <w:t>kW‧h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 xml:space="preserve"> 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7.77</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163200kg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4.08</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14.89</w:t>
            </w:r>
          </w:p>
        </w:tc>
      </w:tr>
    </w:tbl>
    <w:p w14:paraId="6E2EB36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cs="黑体"/>
          <w:b w:val="0"/>
          <w:bCs/>
          <w:sz w:val="24"/>
          <w:szCs w:val="16"/>
          <w:lang w:val="en-US" w:eastAsia="zh-CN"/>
        </w:rPr>
      </w:pPr>
      <w:r>
        <w:rPr>
          <w:rFonts w:hint="eastAsia" w:ascii="宋体" w:hAnsi="宋体" w:cs="宋体"/>
          <w:sz w:val="24"/>
          <w:lang w:val="en-US" w:eastAsia="zh-CN" w:bidi="ar-SA"/>
        </w:rPr>
        <w:t>则蓝莓酸奶车间</w:t>
      </w:r>
      <w:r>
        <w:rPr>
          <w:rFonts w:hint="eastAsia" w:cs="Times New Roman"/>
          <w:sz w:val="24"/>
          <w:lang w:val="en-US" w:eastAsia="zh-CN" w:bidi="ar-SA"/>
        </w:rPr>
        <w:t>一年的总水电汽成本为14.89万元。</w:t>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表1</w:t>
      </w:r>
      <w:r>
        <w:rPr>
          <w:rFonts w:hint="eastAsia" w:ascii="Times New Roman" w:hAnsi="Times New Roman" w:eastAsia="黑体"/>
          <w:sz w:val="21"/>
          <w:szCs w:val="21"/>
          <w:lang w:val="en-US" w:eastAsia="zh-CN"/>
        </w:rPr>
        <w:t>6</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w:t>
      </w:r>
      <w:r>
        <w:rPr>
          <w:rFonts w:hint="eastAsia" w:ascii="Times New Roman" w:hAnsi="Times New Roman"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Times New Roman"/>
          <w:b w:val="0"/>
          <w:bCs/>
          <w:sz w:val="24"/>
          <w:szCs w:val="16"/>
          <w:lang w:val="en-US" w:eastAsia="zh-CN"/>
        </w:rPr>
      </w:pPr>
      <w:r>
        <w:rPr>
          <w:rFonts w:hint="eastAsia" w:ascii="Times New Roman" w:hAnsi="Times New Roman" w:eastAsia="宋体" w:cs="Times New Roman"/>
          <w:sz w:val="24"/>
          <w:lang w:val="en-US" w:eastAsia="zh-CN" w:bidi="ar-SA"/>
        </w:rPr>
        <w:t>蓝莓酸奶车间劳动定员共26人，一年的总人力成本为180万元。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生产设备投资为131.65万元，折旧年限10年，年折旧额为131.65÷10=13.165万元；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年维修费用=（建筑年折旧+设备年折旧）×8%=（16.128+13.165）×0.08=2.34344万元；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合计年折旧费用与维修费用=16.128+13.165+2.34344=31.63644万元；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5.1.6 车间场地费用</w:t>
      </w:r>
    </w:p>
    <w:p w14:paraId="49130CB5">
      <w:pPr>
        <w:spacing w:line="440" w:lineRule="exact"/>
        <w:ind w:firstLine="480" w:firstLineChars="200"/>
        <w:rPr>
          <w:rFonts w:hint="eastAsia" w:ascii="黑体" w:hAnsi="黑体" w:eastAsia="黑体" w:cs="黑体"/>
          <w:b w:val="0"/>
          <w:bCs/>
          <w:sz w:val="24"/>
          <w:szCs w:val="16"/>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bookmarkStart w:id="58" w:name="_Toc29524"/>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9" w:name="_Toc11449"/>
      <w:r>
        <w:rPr>
          <w:rFonts w:hint="eastAsia" w:ascii="Times New Roman" w:hAnsi="Times New Roman" w:eastAsia="黑体" w:cs="黑体"/>
          <w:b w:val="0"/>
          <w:bCs/>
          <w:sz w:val="24"/>
          <w:szCs w:val="16"/>
          <w:lang w:val="en-US" w:eastAsia="zh-CN"/>
        </w:rPr>
        <w:t>5.</w:t>
      </w:r>
      <w:r>
        <w:rPr>
          <w:rFonts w:hint="eastAsia" w:ascii="Times New Roman" w:hAnsi="Times New Roman" w:cs="黑体"/>
          <w:b w:val="0"/>
          <w:bCs/>
          <w:sz w:val="24"/>
          <w:szCs w:val="16"/>
          <w:lang w:val="en-US" w:eastAsia="zh-CN"/>
        </w:rPr>
        <w:t>2</w:t>
      </w:r>
      <w:r>
        <w:rPr>
          <w:rFonts w:hint="eastAsia" w:ascii="Times New Roman" w:hAnsi="Times New Roman"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Times New Roman" w:hAnsi="Times New Roman" w:eastAsia="黑体"/>
          <w:sz w:val="21"/>
          <w:szCs w:val="21"/>
          <w:lang w:val="en-US" w:eastAsia="zh-CN"/>
        </w:rPr>
      </w:pPr>
      <w:r>
        <w:rPr>
          <w:rFonts w:hint="eastAsia" w:ascii="Times New Roman" w:hAnsi="Times New Roman" w:eastAsia="黑体"/>
          <w:sz w:val="21"/>
          <w:szCs w:val="21"/>
        </w:rPr>
        <w:t>表</w:t>
      </w:r>
      <w:r>
        <w:rPr>
          <w:rFonts w:ascii="Times New Roman" w:hAnsi="Times New Roman" w:eastAsia="黑体"/>
          <w:sz w:val="21"/>
          <w:szCs w:val="21"/>
        </w:rPr>
        <w:t>1</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车间年总</w:t>
      </w:r>
      <w:r>
        <w:rPr>
          <w:rFonts w:hint="eastAsia" w:ascii="Times New Roman" w:hAnsi="Times New Roman" w:eastAsia="黑体"/>
          <w:sz w:val="21"/>
          <w:szCs w:val="21"/>
        </w:rPr>
        <w:t>成本</w:t>
      </w:r>
      <w:r>
        <w:rPr>
          <w:rFonts w:hint="eastAsia" w:ascii="Times New Roman" w:hAnsi="Times New Roman"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tcPr>
          <w:p w14:paraId="169A55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1666" w:type="pct"/>
            <w:tcBorders>
              <w:top w:val="single" w:color="auto" w:sz="4" w:space="0"/>
              <w:bottom w:val="nil"/>
            </w:tcBorders>
          </w:tcPr>
          <w:p w14:paraId="44C16E5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color w:val="000000"/>
                <w:sz w:val="21"/>
                <w:szCs w:val="21"/>
                <w:lang w:val="en-US" w:eastAsia="zh-CN"/>
              </w:rPr>
            </w:pPr>
            <w:r>
              <w:rPr>
                <w:rFonts w:hint="eastAsia"/>
                <w:sz w:val="21"/>
                <w:szCs w:val="16"/>
                <w:lang w:val="en-US" w:eastAsia="zh-CN"/>
              </w:rPr>
              <w:t>984.9</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tcPr>
          <w:p w14:paraId="2652BE3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2</w:t>
            </w:r>
          </w:p>
        </w:tc>
        <w:tc>
          <w:tcPr>
            <w:tcW w:w="1666" w:type="pct"/>
            <w:tcBorders>
              <w:top w:val="nil"/>
            </w:tcBorders>
          </w:tcPr>
          <w:p w14:paraId="32E4CE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313EDD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3</w:t>
            </w:r>
          </w:p>
        </w:tc>
        <w:tc>
          <w:tcPr>
            <w:tcW w:w="1666" w:type="pct"/>
          </w:tcPr>
          <w:p w14:paraId="2C040A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14.89</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7A0B2F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4</w:t>
            </w:r>
          </w:p>
        </w:tc>
        <w:tc>
          <w:tcPr>
            <w:tcW w:w="1666" w:type="pct"/>
          </w:tcPr>
          <w:p w14:paraId="67869B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246F63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5</w:t>
            </w:r>
          </w:p>
        </w:tc>
        <w:tc>
          <w:tcPr>
            <w:tcW w:w="1666" w:type="pct"/>
          </w:tcPr>
          <w:p w14:paraId="1A52C2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31.64</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0C5E535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6</w:t>
            </w:r>
          </w:p>
        </w:tc>
        <w:tc>
          <w:tcPr>
            <w:tcW w:w="1666" w:type="pct"/>
          </w:tcPr>
          <w:p w14:paraId="6742FA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tcPr>
          <w:p w14:paraId="3AE90B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tcPr>
          <w:p w14:paraId="2740EAA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1483.57</w:t>
            </w:r>
          </w:p>
        </w:tc>
      </w:tr>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1483.57万元。每瓶蓝莓酸奶重量为0.25kg，则理论年产量为1000000kg÷0.25kg=4000000瓶。平均每瓶酸奶的成本为1483.57万元÷400万瓶≈3.71元/瓶，出厂价定为5元/瓶，年利润为（5-3.71）元×400万瓶=516万元，回本周期为1483.57万元÷516万元≈2.88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4"/>
          <w:szCs w:val="11"/>
          <w:lang w:val="en-US" w:eastAsia="zh-CN"/>
        </w:rPr>
      </w:pPr>
      <w:bookmarkStart w:id="60" w:name="_Toc168404185"/>
      <w:bookmarkStart w:id="61" w:name="_Toc3757"/>
      <w:bookmarkStart w:id="62" w:name="_Toc17246"/>
      <w:r>
        <w:rPr>
          <w:rFonts w:hint="eastAsia" w:ascii="Times New Roman" w:hAnsi="Times New Roman"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每班消耗鲜牛乳2800kg、蓝莓果浆700kg、蔗糖245kg等原辅料，原辅料成本3.28万元/班；年总成本1483.57万元，折合每瓶（250g）成本3.71元。产品出厂价定为5元/瓶，年利润516万元，投资回收期为两到三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center"/>
        <w:outlineLvl w:val="0"/>
        <w:rPr>
          <w:rFonts w:hint="eastAsia" w:ascii="黑体" w:hAnsi="Times New Roman" w:eastAsia="黑体" w:cs="微软雅黑"/>
          <w:bCs/>
          <w:kern w:val="2"/>
          <w:sz w:val="28"/>
          <w:szCs w:val="28"/>
          <w:lang w:val="en-US" w:eastAsia="zh-CN" w:bidi="ar-SA"/>
        </w:rPr>
      </w:pPr>
      <w:bookmarkStart w:id="63" w:name="_Toc30428"/>
      <w:bookmarkStart w:id="64" w:name="_Toc168404186"/>
      <w:bookmarkStart w:id="65" w:name="_Toc8502"/>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周倩,王海波,邓金玲,等.蓝莓产业发展现状、加工瓶颈及可持续发展路径研究[J/OL].吉林农业大学学报,1-8[2026-05-05].</w:t>
      </w:r>
      <w:bookmarkEnd w:id="66"/>
    </w:p>
    <w:p w14:paraId="25D1C63A">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宫元彤,杜相宇,王玲玲.我国蓝莓产业绿色发展路径探索[J].中国果树,2026,(02):139-145.</w:t>
      </w:r>
      <w:bookmarkEnd w:id="67"/>
    </w:p>
    <w:bookmarkEnd w:id="68"/>
    <w:p w14:paraId="01F5F84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徐艺格,王兴东,刘有春,等.蓝莓产业现状及技术发展趋势分析与展望[J].北方园艺,2024,(08):130-136.</w:t>
      </w:r>
      <w:bookmarkEnd w:id="69"/>
    </w:p>
    <w:bookmarkEnd w:id="70"/>
    <w:p w14:paraId="460FEF6A">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刘庆忠,崔冬冬,朱东姿.世界及中国蓝莓产业现状[J].落叶果树,2024,56(04):1-7+107.</w:t>
      </w:r>
      <w:bookmarkEnd w:id="71"/>
    </w:p>
    <w:bookmarkEnd w:id="72"/>
    <w:p w14:paraId="673029D5">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冯奕煊,李亚男,王颖,等.全球蓝莓贸易趋势与市场动态分析[J].中国果树,2025,(07):124-130.</w:t>
      </w:r>
      <w:bookmarkEnd w:id="73"/>
    </w:p>
    <w:bookmarkEnd w:id="74"/>
    <w:p w14:paraId="65314AC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 ,Zuyan H ,Laping H , et al.Effect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[J].Fermentation,2022,8(10):489-489.</w:t>
      </w:r>
      <w:bookmarkEnd w:id="75"/>
    </w:p>
    <w:bookmarkEnd w:id="76"/>
    <w:p w14:paraId="0BEC6D43">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723"/>
      <w:r>
        <w:rPr>
          <w:rFonts w:hint="default" w:ascii="Times New Roman" w:hAnsi="Times New Roman" w:cs="Times New Roman"/>
          <w:sz w:val="21"/>
          <w:szCs w:val="16"/>
          <w:lang w:val="en-US" w:eastAsia="zh-CN"/>
        </w:rPr>
        <w:t>桂亚,唐果,马栎,等.发酵乳中风味物质研究进展[J].现代食品,2023,29(18):29-31.</w:t>
      </w:r>
      <w:bookmarkEnd w:id="77"/>
    </w:p>
    <w:p w14:paraId="4897966A">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8" w:name="_Ref3985"/>
      <w:bookmarkStart w:id="79" w:name="_Ref27835"/>
      <w:r>
        <w:rPr>
          <w:rFonts w:hint="default" w:ascii="Times New Roman" w:hAnsi="Times New Roman" w:cs="Times New Roman"/>
          <w:sz w:val="21"/>
          <w:szCs w:val="16"/>
          <w:lang w:val="en-US" w:eastAsia="zh-CN"/>
        </w:rPr>
        <w:t>李斌,谢旭,孙希云,等.国内外蓝莓加工技术与功能性成分研究进展[J].食品科学技术学报,2019,37(05):16-22.</w:t>
      </w:r>
      <w:bookmarkEnd w:id="78"/>
    </w:p>
    <w:bookmarkEnd w:id="79"/>
    <w:p w14:paraId="7B95D9FD">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0" w:name="_Ref7582"/>
      <w:bookmarkStart w:id="81" w:name="_Ref5240"/>
      <w:r>
        <w:rPr>
          <w:rFonts w:hint="default" w:ascii="Times New Roman" w:hAnsi="Times New Roman" w:cs="Times New Roman"/>
          <w:sz w:val="21"/>
          <w:szCs w:val="16"/>
          <w:lang w:val="en-US" w:eastAsia="zh-CN"/>
        </w:rPr>
        <w:t>李金华.蓝莓的营养保健功能及其开发利用[J].新农业,2019,(15):38-39.</w:t>
      </w:r>
      <w:bookmarkEnd w:id="80"/>
    </w:p>
    <w:bookmarkEnd w:id="81"/>
    <w:p w14:paraId="20E4FF14">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2" w:name="_Ref26107"/>
      <w:bookmarkStart w:id="83" w:name="_Ref27913"/>
      <w:r>
        <w:rPr>
          <w:rFonts w:hint="default" w:ascii="Times New Roman" w:hAnsi="Times New Roman" w:cs="Times New Roman"/>
          <w:sz w:val="21"/>
          <w:szCs w:val="16"/>
          <w:lang w:val="en-US" w:eastAsia="zh-CN"/>
        </w:rPr>
        <w:t>周继芬,兰武,王军,等.蓝莓营养及独特保健功能研究[J].北方园艺,2020,(21):138-145.</w:t>
      </w:r>
      <w:bookmarkEnd w:id="82"/>
    </w:p>
    <w:bookmarkEnd w:id="83"/>
    <w:p w14:paraId="376AA89B">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4" w:name="_Ref563"/>
      <w:bookmarkStart w:id="85" w:name="_Ref27978"/>
      <w:r>
        <w:rPr>
          <w:rFonts w:hint="default" w:ascii="Times New Roman" w:hAnsi="Times New Roman" w:cs="Times New Roman"/>
          <w:sz w:val="21"/>
          <w:szCs w:val="16"/>
          <w:lang w:val="en-US" w:eastAsia="zh-CN"/>
        </w:rPr>
        <w:t>刘军波,邹礼根,赵芸.蓝莓花青素加工特性及功能活性研究进展[J].饮料工业,2017,20(06):56-60.</w:t>
      </w:r>
      <w:bookmarkEnd w:id="84"/>
    </w:p>
    <w:bookmarkEnd w:id="85"/>
    <w:p w14:paraId="75AB0E85">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6" w:name="_Ref1147"/>
      <w:bookmarkStart w:id="87" w:name="_Ref28037"/>
      <w:r>
        <w:rPr>
          <w:rFonts w:hint="default" w:ascii="Times New Roman" w:hAnsi="Times New Roman" w:cs="Times New Roman"/>
          <w:sz w:val="21"/>
          <w:szCs w:val="16"/>
          <w:lang w:val="en-US" w:eastAsia="zh-CN"/>
        </w:rPr>
        <w:t>许文静.蓝莓花青素的提取、纯化与特性研究及其在食品工业中的应用[D].四川大学,2023.</w:t>
      </w:r>
      <w:bookmarkEnd w:id="86"/>
    </w:p>
    <w:bookmarkEnd w:id="87"/>
    <w:p w14:paraId="0009F08A">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8" w:name="_Ref2271"/>
      <w:bookmarkStart w:id="89" w:name="_Ref28249"/>
      <w:r>
        <w:rPr>
          <w:rFonts w:hint="default" w:ascii="Times New Roman" w:hAnsi="Times New Roman" w:cs="Times New Roman"/>
          <w:sz w:val="21"/>
          <w:szCs w:val="16"/>
          <w:lang w:val="en-US" w:eastAsia="zh-CN"/>
        </w:rPr>
        <w:t>潘美华,程哲灏.蓝莓的营养成分及其保健功能的研究进展[J].食品安全导刊,2022,(22):107-109.</w:t>
      </w:r>
      <w:bookmarkEnd w:id="88"/>
    </w:p>
    <w:bookmarkEnd w:id="89"/>
    <w:p w14:paraId="7D1EA8A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0" w:name="_Ref2277"/>
      <w:bookmarkStart w:id="91" w:name="_Ref28331"/>
      <w:r>
        <w:rPr>
          <w:rFonts w:hint="default" w:ascii="Times New Roman" w:hAnsi="Times New Roman" w:cs="Times New Roman"/>
          <w:sz w:val="21"/>
          <w:szCs w:val="16"/>
          <w:lang w:val="en-US" w:eastAsia="zh-CN"/>
        </w:rPr>
        <w:t>姚佳宇,李志坚.蓝莓花青素在眼科疾病的研究进展[J].国际眼科杂志,2016,16(12):2234-2236.</w:t>
      </w:r>
      <w:bookmarkEnd w:id="90"/>
    </w:p>
    <w:bookmarkEnd w:id="91"/>
    <w:p w14:paraId="4DB40E68">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2" w:name="_Ref2280"/>
      <w:bookmarkStart w:id="93" w:name="_Ref5723"/>
      <w:r>
        <w:rPr>
          <w:rFonts w:hint="default" w:ascii="Times New Roman" w:hAnsi="Times New Roman" w:cs="Times New Roman"/>
          <w:sz w:val="21"/>
          <w:szCs w:val="16"/>
          <w:lang w:val="en-US" w:eastAsia="zh-CN"/>
        </w:rPr>
        <w:t>姜洞彬.蓝莓花青素对高侵袭性人肝癌LM3细胞株的抑制及组蛋白乙酰化修饰水平的研究[D].贵州医科大学,2023.</w:t>
      </w:r>
      <w:bookmarkEnd w:id="92"/>
    </w:p>
    <w:bookmarkEnd w:id="93"/>
    <w:p w14:paraId="3C49AFAA">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4" w:name="_Ref28403"/>
      <w:r>
        <w:rPr>
          <w:rFonts w:hint="default" w:ascii="Times New Roman" w:hAnsi="Times New Roman" w:cs="Times New Roman"/>
          <w:sz w:val="21"/>
          <w:szCs w:val="16"/>
          <w:lang w:val="en-US" w:eastAsia="zh-CN"/>
        </w:rPr>
        <w:t>成堃,马延新,王小霞,等.蓝莓枸杞风味酸奶的研制[J].中国酿造,2018,37(01):185-189.</w:t>
      </w:r>
      <w:bookmarkEnd w:id="94"/>
      <w:bookmarkStart w:id="95" w:name="_Ref13426"/>
      <w:bookmarkStart w:id="96" w:name="_Ref28452"/>
      <w:bookmarkStart w:id="97" w:name="_Ref28511"/>
    </w:p>
    <w:p w14:paraId="18CBAF2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7062"/>
      <w:r>
        <w:rPr>
          <w:rFonts w:hint="default" w:ascii="Times New Roman" w:hAnsi="Times New Roman" w:cs="Times New Roman"/>
          <w:sz w:val="21"/>
          <w:szCs w:val="16"/>
          <w:lang w:val="en-US" w:eastAsia="zh-CN"/>
        </w:rPr>
        <w:t>张军,张冬雪,刘玉峰,等.蓝莓山羊酸奶的研制[J].中国酿造,2015,34(11):171-174.</w:t>
      </w:r>
      <w:bookmarkEnd w:id="95"/>
      <w:bookmarkEnd w:id="98"/>
    </w:p>
    <w:bookmarkEnd w:id="96"/>
    <w:p w14:paraId="63E9144C">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9" w:name="_Ref14856"/>
      <w:bookmarkStart w:id="100" w:name="_Ref5890"/>
      <w:r>
        <w:rPr>
          <w:rFonts w:hint="default" w:ascii="Times New Roman" w:hAnsi="Times New Roman" w:cs="Times New Roman"/>
          <w:sz w:val="21"/>
          <w:szCs w:val="16"/>
          <w:lang w:val="en-US" w:eastAsia="zh-CN"/>
        </w:rPr>
        <w:t>梅玉立,童彬,于素凤,等.蓝莓酸奶的生产工艺研究[J].价值工程,2019,38(03):132-136.</w:t>
      </w:r>
      <w:bookmarkEnd w:id="99"/>
    </w:p>
    <w:p w14:paraId="5AC18D8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1" w:name="_Ref14863"/>
      <w:r>
        <w:rPr>
          <w:rFonts w:hint="default" w:ascii="Times New Roman" w:hAnsi="Times New Roman" w:cs="Times New Roman"/>
          <w:sz w:val="21"/>
          <w:szCs w:val="16"/>
          <w:lang w:val="en-US" w:eastAsia="zh-CN"/>
        </w:rPr>
        <w:t>Aslani R ,Mazaheri Y ,Jafari M , et al.Implementation of hazard analysis and critical control point (HACCP) in yogurt production.[J].The Journal of dairy research,2024,91(1):11-11.</w:t>
      </w:r>
      <w:bookmarkEnd w:id="101"/>
    </w:p>
    <w:bookmarkEnd w:id="97"/>
    <w:bookmarkEnd w:id="100"/>
    <w:p w14:paraId="1D2329F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2" w:name="_Ref28566"/>
      <w:r>
        <w:rPr>
          <w:rFonts w:hint="default" w:ascii="Times New Roman" w:hAnsi="Times New Roman" w:cs="Times New Roman"/>
          <w:sz w:val="21"/>
          <w:szCs w:val="16"/>
          <w:lang w:val="en-US" w:eastAsia="zh-CN"/>
        </w:rPr>
        <w:t>何祖艳.马铃薯蓝莓酸奶的制备关键技术及其应用研究[D].贵州大学,2021.</w:t>
      </w:r>
      <w:bookmarkEnd w:id="102"/>
    </w:p>
    <w:p w14:paraId="67B708A0">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3" w:name="_Ref15153"/>
      <w:r>
        <w:rPr>
          <w:rFonts w:hint="eastAsia" w:ascii="Times New Roman" w:hAnsi="Times New Roman" w:cs="Times New Roman"/>
          <w:sz w:val="21"/>
          <w:szCs w:val="16"/>
          <w:lang w:val="en-US" w:eastAsia="zh-CN"/>
        </w:rPr>
        <w:t>Ichimura T .Yogurt Production.[J].Methods in molecular biology (Clifton, N.J.), 2024,285163-74.</w:t>
      </w:r>
      <w:bookmarkEnd w:id="103"/>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4"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5" w:name="_Toc30624"/>
      <w:bookmarkStart w:id="106" w:name="_Toc15125"/>
      <w:r>
        <w:rPr>
          <w:rFonts w:hint="eastAsia" w:ascii="黑体" w:hAnsi="黑体" w:eastAsia="黑体" w:cs="黑体"/>
          <w:b w:val="0"/>
          <w:bCs/>
          <w:sz w:val="28"/>
          <w:szCs w:val="13"/>
          <w:lang w:val="en-US" w:eastAsia="zh-CN"/>
        </w:rPr>
        <w:t>致 谢</w:t>
      </w:r>
      <w:bookmarkEnd w:id="104"/>
      <w:bookmarkEnd w:id="105"/>
      <w:bookmarkEnd w:id="106"/>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69F6AE2D">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p w14:paraId="2854856C">
      <w:pPr>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br w:type="page"/>
      </w:r>
    </w:p>
    <w:p w14:paraId="7BCBA77B">
      <w:pPr>
        <w:keepNext w:val="0"/>
        <w:keepLines w:val="0"/>
        <w:pageBreakBefore w:val="0"/>
        <w:widowControl/>
        <w:kinsoku/>
        <w:wordWrap/>
        <w:overflowPunct/>
        <w:topLinePunct w:val="0"/>
        <w:autoSpaceDE/>
        <w:autoSpaceDN/>
        <w:bidi w:val="0"/>
        <w:adjustRightInd/>
        <w:snapToGrid/>
        <w:spacing w:line="440" w:lineRule="exact"/>
        <w:jc w:val="both"/>
        <w:textAlignment w:val="auto"/>
        <w:outlineLvl w:val="0"/>
        <w:rPr>
          <w:rFonts w:hint="eastAsia" w:ascii="黑体" w:hAnsi="黑体" w:eastAsia="黑体" w:cs="黑体"/>
          <w:b w:val="0"/>
          <w:bCs/>
          <w:sz w:val="28"/>
          <w:szCs w:val="13"/>
          <w:lang w:val="en-US" w:eastAsia="zh-CN"/>
        </w:rPr>
        <w:sectPr>
          <w:footerReference r:id="rId7" w:type="default"/>
          <w:pgSz w:w="11906" w:h="16838"/>
          <w:pgMar w:top="1701" w:right="1134" w:bottom="1417" w:left="1984" w:header="680" w:footer="680" w:gutter="0"/>
          <w:pgBorders>
            <w:top w:val="none" w:sz="0" w:space="0"/>
            <w:left w:val="none" w:sz="0" w:space="0"/>
            <w:bottom w:val="none" w:sz="0" w:space="0"/>
            <w:right w:val="none" w:sz="0" w:space="0"/>
          </w:pgBorders>
          <w:pgNumType w:fmt="decimal" w:start="1"/>
          <w:cols w:space="425" w:num="1"/>
          <w:docGrid w:type="lines" w:linePitch="312" w:charSpace="0"/>
        </w:sectPr>
      </w:pPr>
      <w:bookmarkStart w:id="107" w:name="_Toc28768"/>
      <w:bookmarkStart w:id="108" w:name="_Toc7734"/>
      <w:bookmarkStart w:id="109" w:name="_Toc25798"/>
      <w:r>
        <w:rPr>
          <w:rFonts w:hint="eastAsia" w:ascii="Times New Roman" w:hAnsi="Times New Roman" w:eastAsia="宋体" w:cs="宋体"/>
          <w:b w:val="0"/>
          <w:bCs w:val="0"/>
          <w:sz w:val="24"/>
          <w:szCs w:val="24"/>
          <w:lang w:val="en-US" w:eastAsia="zh-CN"/>
        </w:rPr>
        <w:drawing>
          <wp:anchor distT="0" distB="0" distL="114300" distR="114300" simplePos="0" relativeHeight="251661312" behindDoc="0" locked="0" layoutInCell="1" allowOverlap="1">
            <wp:simplePos x="0" y="0"/>
            <wp:positionH relativeFrom="column">
              <wp:posOffset>-360045</wp:posOffset>
            </wp:positionH>
            <wp:positionV relativeFrom="paragraph">
              <wp:posOffset>503555</wp:posOffset>
            </wp:positionV>
            <wp:extent cx="5578475" cy="7890510"/>
            <wp:effectExtent l="0" t="0" r="14605" b="3810"/>
            <wp:wrapNone/>
            <wp:docPr id="3" name="图片 3" descr="附录-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附录-1"/>
                    <pic:cNvPicPr>
                      <a:picLocks noChangeAspect="1"/>
                    </pic:cNvPicPr>
                  </pic:nvPicPr>
                  <pic:blipFill>
                    <a:blip r:embed="rId11"/>
                    <a:stretch>
                      <a:fillRect/>
                    </a:stretch>
                  </pic:blipFill>
                  <pic:spPr>
                    <a:xfrm>
                      <a:off x="0" y="0"/>
                      <a:ext cx="5578475" cy="7890510"/>
                    </a:xfrm>
                    <a:prstGeom prst="rect">
                      <a:avLst/>
                    </a:prstGeom>
                  </pic:spPr>
                </pic:pic>
              </a:graphicData>
            </a:graphic>
          </wp:anchor>
        </w:drawing>
      </w:r>
      <w:r>
        <w:rPr>
          <w:rFonts w:hint="eastAsia" w:ascii="黑体" w:hAnsi="黑体" w:eastAsia="黑体" w:cs="黑体"/>
          <w:b w:val="0"/>
          <w:bCs/>
          <w:sz w:val="28"/>
          <w:szCs w:val="13"/>
          <w:lang w:val="en-US" w:eastAsia="zh-CN"/>
        </w:rPr>
        <w:t>附录 工程图</w:t>
      </w:r>
      <w:bookmarkEnd w:id="107"/>
      <w:bookmarkEnd w:id="108"/>
      <w:r>
        <w:rPr>
          <w:rFonts w:hint="eastAsia" w:ascii="黑体" w:hAnsi="黑体" w:eastAsia="黑体" w:cs="黑体"/>
          <w:b w:val="0"/>
          <w:bCs/>
          <w:sz w:val="28"/>
          <w:szCs w:val="13"/>
          <w:lang w:val="en-US" w:eastAsia="zh-CN"/>
        </w:rPr>
        <w:t>纸</w:t>
      </w:r>
      <w:bookmarkEnd w:id="109"/>
    </w:p>
    <w:p w14:paraId="50F7B28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ascii="黑体" w:hAnsi="黑体" w:eastAsia="黑体" w:cs="黑体"/>
          <w:b w:val="0"/>
          <w:bCs/>
          <w:sz w:val="28"/>
          <w:szCs w:val="13"/>
          <w:lang w:val="en-US" w:eastAsia="zh-CN"/>
        </w:rPr>
        <w:drawing>
          <wp:anchor distT="0" distB="0" distL="114300" distR="114300" simplePos="0" relativeHeight="251663360" behindDoc="0" locked="0" layoutInCell="1" allowOverlap="1">
            <wp:simplePos x="0" y="0"/>
            <wp:positionH relativeFrom="column">
              <wp:posOffset>-268605</wp:posOffset>
            </wp:positionH>
            <wp:positionV relativeFrom="paragraph">
              <wp:posOffset>320675</wp:posOffset>
            </wp:positionV>
            <wp:extent cx="5578475" cy="7890510"/>
            <wp:effectExtent l="0" t="0" r="14605" b="3810"/>
            <wp:wrapNone/>
            <wp:docPr id="6" name="图片 6" descr="车间平面布局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车间平面布局 Model (1)"/>
                    <pic:cNvPicPr>
                      <a:picLocks noChangeAspect="1"/>
                    </pic:cNvPicPr>
                  </pic:nvPicPr>
                  <pic:blipFill>
                    <a:blip r:embed="rId12"/>
                    <a:stretch>
                      <a:fillRect/>
                    </a:stretch>
                  </pic:blipFill>
                  <pic:spPr>
                    <a:xfrm rot="10800000">
                      <a:off x="0" y="0"/>
                      <a:ext cx="5578475" cy="7890510"/>
                    </a:xfrm>
                    <a:prstGeom prst="rect">
                      <a:avLst/>
                    </a:prstGeom>
                  </pic:spPr>
                </pic:pic>
              </a:graphicData>
            </a:graphic>
          </wp:anchor>
        </w:drawing>
      </w:r>
    </w:p>
    <w:p w14:paraId="03276F9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pPr>
      <w:r>
        <w:rPr>
          <w:rFonts w:hint="eastAsia" w:ascii="黑体" w:hAnsi="黑体" w:eastAsia="黑体" w:cs="黑体"/>
          <w:b w:val="0"/>
          <w:bCs/>
          <w:sz w:val="28"/>
          <w:szCs w:val="13"/>
          <w:lang w:val="en-US" w:eastAsia="zh-CN"/>
        </w:rPr>
        <w:drawing>
          <wp:anchor distT="0" distB="0" distL="114300" distR="114300" simplePos="0" relativeHeight="251662336" behindDoc="0" locked="0" layoutInCell="1" allowOverlap="1">
            <wp:simplePos x="0" y="0"/>
            <wp:positionH relativeFrom="column">
              <wp:posOffset>-268605</wp:posOffset>
            </wp:positionH>
            <wp:positionV relativeFrom="paragraph">
              <wp:posOffset>320675</wp:posOffset>
            </wp:positionV>
            <wp:extent cx="5578475" cy="7890510"/>
            <wp:effectExtent l="0" t="0" r="14605" b="3810"/>
            <wp:wrapTopAndBottom/>
            <wp:docPr id="7" name="图片 7" descr="C:/Users/Texer/Desktop/毕设/CAD/主要设备三视图 Model (1).png主要设备三视图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Texer/Desktop/毕设/CAD/主要设备三视图 Model (1).png主要设备三视图 Model (1)"/>
                    <pic:cNvPicPr>
                      <a:picLocks noChangeAspect="1"/>
                    </pic:cNvPicPr>
                  </pic:nvPicPr>
                  <pic:blipFill>
                    <a:blip r:embed="rId13"/>
                    <a:srcRect t="6" b="6"/>
                    <a:stretch>
                      <a:fillRect/>
                    </a:stretch>
                  </pic:blipFill>
                  <pic:spPr>
                    <a:xfrm>
                      <a:off x="0" y="0"/>
                      <a:ext cx="5578475" cy="7890510"/>
                    </a:xfrm>
                    <a:prstGeom prst="rect">
                      <a:avLst/>
                    </a:prstGeom>
                  </pic:spPr>
                </pic:pic>
              </a:graphicData>
            </a:graphic>
          </wp:anchor>
        </w:drawing>
      </w:r>
    </w:p>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682E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D5584A">
                          <w:pPr>
                            <w:pStyle w:val="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5D5584A">
                    <w:pPr>
                      <w:pStyle w:val="7"/>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E70EE51E"/>
    <w:multiLevelType w:val="singleLevel"/>
    <w:tmpl w:val="E70EE51E"/>
    <w:lvl w:ilvl="0" w:tentative="0">
      <w:start w:val="1"/>
      <w:numFmt w:val="decimal"/>
      <w:lvlText w:val="[%1] "/>
      <w:lvlJc w:val="left"/>
      <w:pPr>
        <w:tabs>
          <w:tab w:val="left" w:pos="0"/>
        </w:tabs>
        <w:ind w:left="0" w:leftChars="0" w:firstLine="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3E2476"/>
    <w:rsid w:val="00533BFA"/>
    <w:rsid w:val="0055574E"/>
    <w:rsid w:val="007856D0"/>
    <w:rsid w:val="0090207B"/>
    <w:rsid w:val="00952E84"/>
    <w:rsid w:val="009D404E"/>
    <w:rsid w:val="009F092F"/>
    <w:rsid w:val="00D305B2"/>
    <w:rsid w:val="01214A9D"/>
    <w:rsid w:val="014717F5"/>
    <w:rsid w:val="01620D9F"/>
    <w:rsid w:val="018239F6"/>
    <w:rsid w:val="019341D5"/>
    <w:rsid w:val="01B31FD7"/>
    <w:rsid w:val="01C84669"/>
    <w:rsid w:val="01CD2B81"/>
    <w:rsid w:val="02217E97"/>
    <w:rsid w:val="027E7FF8"/>
    <w:rsid w:val="02C2223C"/>
    <w:rsid w:val="03065668"/>
    <w:rsid w:val="03227C2F"/>
    <w:rsid w:val="032B023F"/>
    <w:rsid w:val="033C2BF5"/>
    <w:rsid w:val="03744E73"/>
    <w:rsid w:val="038B765F"/>
    <w:rsid w:val="038F67FF"/>
    <w:rsid w:val="03CA4CE9"/>
    <w:rsid w:val="03D40514"/>
    <w:rsid w:val="03E272F9"/>
    <w:rsid w:val="03E70DB3"/>
    <w:rsid w:val="03FB564F"/>
    <w:rsid w:val="040A59AF"/>
    <w:rsid w:val="04117BDE"/>
    <w:rsid w:val="042042C5"/>
    <w:rsid w:val="04307DED"/>
    <w:rsid w:val="045532DC"/>
    <w:rsid w:val="047C599F"/>
    <w:rsid w:val="049F343C"/>
    <w:rsid w:val="04CF4159"/>
    <w:rsid w:val="04D22822"/>
    <w:rsid w:val="051200B1"/>
    <w:rsid w:val="052135A4"/>
    <w:rsid w:val="0524626C"/>
    <w:rsid w:val="05510153"/>
    <w:rsid w:val="056A1DE3"/>
    <w:rsid w:val="056D1E95"/>
    <w:rsid w:val="05700779"/>
    <w:rsid w:val="0597643A"/>
    <w:rsid w:val="05B13500"/>
    <w:rsid w:val="05BC001D"/>
    <w:rsid w:val="0627649A"/>
    <w:rsid w:val="06451A56"/>
    <w:rsid w:val="06844FB8"/>
    <w:rsid w:val="068766B9"/>
    <w:rsid w:val="068834BD"/>
    <w:rsid w:val="06A64F55"/>
    <w:rsid w:val="06C76A96"/>
    <w:rsid w:val="06D223B7"/>
    <w:rsid w:val="06E25D2C"/>
    <w:rsid w:val="07470DB9"/>
    <w:rsid w:val="074F1551"/>
    <w:rsid w:val="07585815"/>
    <w:rsid w:val="07717CC3"/>
    <w:rsid w:val="078735B9"/>
    <w:rsid w:val="07947660"/>
    <w:rsid w:val="07C37CC9"/>
    <w:rsid w:val="07D102E3"/>
    <w:rsid w:val="07DD473F"/>
    <w:rsid w:val="08206641"/>
    <w:rsid w:val="08255752"/>
    <w:rsid w:val="08510831"/>
    <w:rsid w:val="086C5D2B"/>
    <w:rsid w:val="087307FD"/>
    <w:rsid w:val="08976440"/>
    <w:rsid w:val="08A2174C"/>
    <w:rsid w:val="08B170DB"/>
    <w:rsid w:val="09735AA3"/>
    <w:rsid w:val="099F5D69"/>
    <w:rsid w:val="09EE212D"/>
    <w:rsid w:val="09FC6E56"/>
    <w:rsid w:val="0A7B662E"/>
    <w:rsid w:val="0A9F717D"/>
    <w:rsid w:val="0AA305CC"/>
    <w:rsid w:val="0AC84167"/>
    <w:rsid w:val="0AD310EE"/>
    <w:rsid w:val="0AE65372"/>
    <w:rsid w:val="0B03317D"/>
    <w:rsid w:val="0B040552"/>
    <w:rsid w:val="0B436A10"/>
    <w:rsid w:val="0B514A22"/>
    <w:rsid w:val="0B5575E3"/>
    <w:rsid w:val="0B754E1B"/>
    <w:rsid w:val="0BA0772C"/>
    <w:rsid w:val="0C1C2F3E"/>
    <w:rsid w:val="0C2A0BF5"/>
    <w:rsid w:val="0C2D2C04"/>
    <w:rsid w:val="0C48260B"/>
    <w:rsid w:val="0C872834"/>
    <w:rsid w:val="0CAA2ACE"/>
    <w:rsid w:val="0CAB4813"/>
    <w:rsid w:val="0CD97D8C"/>
    <w:rsid w:val="0D295F98"/>
    <w:rsid w:val="0D7B7E36"/>
    <w:rsid w:val="0DA64F33"/>
    <w:rsid w:val="0DBE5BCC"/>
    <w:rsid w:val="0DC51F28"/>
    <w:rsid w:val="0DC64C17"/>
    <w:rsid w:val="0DD10C05"/>
    <w:rsid w:val="0E270CC8"/>
    <w:rsid w:val="0E3336AB"/>
    <w:rsid w:val="0E3D63EB"/>
    <w:rsid w:val="0E9631E0"/>
    <w:rsid w:val="0EA2194C"/>
    <w:rsid w:val="0EA37FCC"/>
    <w:rsid w:val="0EC263D3"/>
    <w:rsid w:val="0EC266A4"/>
    <w:rsid w:val="0F204B8F"/>
    <w:rsid w:val="0F4751BE"/>
    <w:rsid w:val="0F542633"/>
    <w:rsid w:val="0F652790"/>
    <w:rsid w:val="0F771777"/>
    <w:rsid w:val="0F954AE1"/>
    <w:rsid w:val="0FD71350"/>
    <w:rsid w:val="0FED6CEB"/>
    <w:rsid w:val="0FEF74F0"/>
    <w:rsid w:val="0FF94348"/>
    <w:rsid w:val="0FFE305D"/>
    <w:rsid w:val="100006CE"/>
    <w:rsid w:val="10563548"/>
    <w:rsid w:val="10AD196B"/>
    <w:rsid w:val="10CA6EC1"/>
    <w:rsid w:val="10F23C6F"/>
    <w:rsid w:val="1102722C"/>
    <w:rsid w:val="11202258"/>
    <w:rsid w:val="11D52002"/>
    <w:rsid w:val="11D60187"/>
    <w:rsid w:val="12027A1E"/>
    <w:rsid w:val="126F12EF"/>
    <w:rsid w:val="12B603BF"/>
    <w:rsid w:val="12BE6EB0"/>
    <w:rsid w:val="12D678D9"/>
    <w:rsid w:val="12FE6C66"/>
    <w:rsid w:val="132C5202"/>
    <w:rsid w:val="132D4308"/>
    <w:rsid w:val="134358DA"/>
    <w:rsid w:val="134F24D1"/>
    <w:rsid w:val="136E6D46"/>
    <w:rsid w:val="13EB3FA7"/>
    <w:rsid w:val="140E1E82"/>
    <w:rsid w:val="141B6D9E"/>
    <w:rsid w:val="14200B1E"/>
    <w:rsid w:val="143D55B7"/>
    <w:rsid w:val="144349CA"/>
    <w:rsid w:val="14496C80"/>
    <w:rsid w:val="147C2760"/>
    <w:rsid w:val="14943C5A"/>
    <w:rsid w:val="14990ECA"/>
    <w:rsid w:val="15045A5F"/>
    <w:rsid w:val="155E1785"/>
    <w:rsid w:val="15654037"/>
    <w:rsid w:val="15757273"/>
    <w:rsid w:val="15771544"/>
    <w:rsid w:val="15A01A35"/>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31566"/>
    <w:rsid w:val="16CD3E38"/>
    <w:rsid w:val="16CE2F86"/>
    <w:rsid w:val="16D67FD2"/>
    <w:rsid w:val="16F02DC5"/>
    <w:rsid w:val="1707638B"/>
    <w:rsid w:val="170D1BE3"/>
    <w:rsid w:val="170F3BE3"/>
    <w:rsid w:val="173D7937"/>
    <w:rsid w:val="177E4F72"/>
    <w:rsid w:val="179363BB"/>
    <w:rsid w:val="17AA5F28"/>
    <w:rsid w:val="1821451A"/>
    <w:rsid w:val="18511400"/>
    <w:rsid w:val="185479FD"/>
    <w:rsid w:val="18B72C9A"/>
    <w:rsid w:val="18D83C45"/>
    <w:rsid w:val="18E35EF3"/>
    <w:rsid w:val="19216AC6"/>
    <w:rsid w:val="19383D27"/>
    <w:rsid w:val="193C385F"/>
    <w:rsid w:val="19632DB3"/>
    <w:rsid w:val="196842EC"/>
    <w:rsid w:val="19914F2C"/>
    <w:rsid w:val="19A625A3"/>
    <w:rsid w:val="19A80E4C"/>
    <w:rsid w:val="19DD2A7D"/>
    <w:rsid w:val="19E5261E"/>
    <w:rsid w:val="1A134258"/>
    <w:rsid w:val="1A501737"/>
    <w:rsid w:val="1A587B60"/>
    <w:rsid w:val="1A661FA5"/>
    <w:rsid w:val="1A6A1B16"/>
    <w:rsid w:val="1A7343D2"/>
    <w:rsid w:val="1A9236C2"/>
    <w:rsid w:val="1A9966B3"/>
    <w:rsid w:val="1ABC3B1B"/>
    <w:rsid w:val="1AE97737"/>
    <w:rsid w:val="1B0C6C17"/>
    <w:rsid w:val="1B1060FE"/>
    <w:rsid w:val="1B216501"/>
    <w:rsid w:val="1B24060C"/>
    <w:rsid w:val="1B3C01E5"/>
    <w:rsid w:val="1B455F02"/>
    <w:rsid w:val="1B682381"/>
    <w:rsid w:val="1BB543B0"/>
    <w:rsid w:val="1BC62263"/>
    <w:rsid w:val="1BD0092E"/>
    <w:rsid w:val="1BD21EF1"/>
    <w:rsid w:val="1C5C4446"/>
    <w:rsid w:val="1C6B0537"/>
    <w:rsid w:val="1C8B444C"/>
    <w:rsid w:val="1C8E0291"/>
    <w:rsid w:val="1C963239"/>
    <w:rsid w:val="1C9706F7"/>
    <w:rsid w:val="1CA04BFE"/>
    <w:rsid w:val="1CB27013"/>
    <w:rsid w:val="1CC93F94"/>
    <w:rsid w:val="1D22539B"/>
    <w:rsid w:val="1DAE3F03"/>
    <w:rsid w:val="1DB02674"/>
    <w:rsid w:val="1DE640FF"/>
    <w:rsid w:val="1DF32B31"/>
    <w:rsid w:val="1E1430E7"/>
    <w:rsid w:val="1E3824DF"/>
    <w:rsid w:val="1E403142"/>
    <w:rsid w:val="1E5F585E"/>
    <w:rsid w:val="1E73714A"/>
    <w:rsid w:val="1E7E2B16"/>
    <w:rsid w:val="1EF54576"/>
    <w:rsid w:val="1F3048DC"/>
    <w:rsid w:val="1F48677A"/>
    <w:rsid w:val="1F4F6B54"/>
    <w:rsid w:val="1F7E03C6"/>
    <w:rsid w:val="1F81583C"/>
    <w:rsid w:val="1F8F1673"/>
    <w:rsid w:val="1FAE7B32"/>
    <w:rsid w:val="1FBC154B"/>
    <w:rsid w:val="1FBC47A1"/>
    <w:rsid w:val="1FBD34A2"/>
    <w:rsid w:val="1FE750F6"/>
    <w:rsid w:val="1FE872EE"/>
    <w:rsid w:val="1FF73C9F"/>
    <w:rsid w:val="20126D60"/>
    <w:rsid w:val="20252FDD"/>
    <w:rsid w:val="206C0324"/>
    <w:rsid w:val="20902A30"/>
    <w:rsid w:val="2092077A"/>
    <w:rsid w:val="20AE14FE"/>
    <w:rsid w:val="20CB0635"/>
    <w:rsid w:val="210D0C9A"/>
    <w:rsid w:val="211B682B"/>
    <w:rsid w:val="215D225D"/>
    <w:rsid w:val="21AE0FDC"/>
    <w:rsid w:val="21CA5426"/>
    <w:rsid w:val="21DA4716"/>
    <w:rsid w:val="21DD17F0"/>
    <w:rsid w:val="21F345B0"/>
    <w:rsid w:val="222C075C"/>
    <w:rsid w:val="22483320"/>
    <w:rsid w:val="227E633A"/>
    <w:rsid w:val="22810181"/>
    <w:rsid w:val="22E64F71"/>
    <w:rsid w:val="23387ED6"/>
    <w:rsid w:val="233E161A"/>
    <w:rsid w:val="23420D6C"/>
    <w:rsid w:val="23665B38"/>
    <w:rsid w:val="239D6604"/>
    <w:rsid w:val="239E04F7"/>
    <w:rsid w:val="23BC12D8"/>
    <w:rsid w:val="23C40371"/>
    <w:rsid w:val="24066307"/>
    <w:rsid w:val="240E6C34"/>
    <w:rsid w:val="241A4BC2"/>
    <w:rsid w:val="244D7963"/>
    <w:rsid w:val="244F37F8"/>
    <w:rsid w:val="246508B0"/>
    <w:rsid w:val="24772215"/>
    <w:rsid w:val="248C1C53"/>
    <w:rsid w:val="24B06A21"/>
    <w:rsid w:val="24B86128"/>
    <w:rsid w:val="24DC2E97"/>
    <w:rsid w:val="24E47130"/>
    <w:rsid w:val="25156162"/>
    <w:rsid w:val="254944BC"/>
    <w:rsid w:val="255C3850"/>
    <w:rsid w:val="256F76F4"/>
    <w:rsid w:val="2573204F"/>
    <w:rsid w:val="257B33B0"/>
    <w:rsid w:val="25907C05"/>
    <w:rsid w:val="25A03144"/>
    <w:rsid w:val="25DE1BBE"/>
    <w:rsid w:val="25F637EA"/>
    <w:rsid w:val="25FE49BA"/>
    <w:rsid w:val="266B440B"/>
    <w:rsid w:val="266C581A"/>
    <w:rsid w:val="2674607E"/>
    <w:rsid w:val="2685414B"/>
    <w:rsid w:val="269A4809"/>
    <w:rsid w:val="26DE4854"/>
    <w:rsid w:val="26FE1506"/>
    <w:rsid w:val="272D0945"/>
    <w:rsid w:val="273A2C15"/>
    <w:rsid w:val="27656114"/>
    <w:rsid w:val="276E3494"/>
    <w:rsid w:val="27DF69D9"/>
    <w:rsid w:val="280411C2"/>
    <w:rsid w:val="284A3F39"/>
    <w:rsid w:val="284E0B51"/>
    <w:rsid w:val="285C326E"/>
    <w:rsid w:val="28702875"/>
    <w:rsid w:val="287A4275"/>
    <w:rsid w:val="28EB0FF7"/>
    <w:rsid w:val="28F3736D"/>
    <w:rsid w:val="2904719B"/>
    <w:rsid w:val="290731DA"/>
    <w:rsid w:val="290B1084"/>
    <w:rsid w:val="29A213B7"/>
    <w:rsid w:val="29BA0BA9"/>
    <w:rsid w:val="29BF6978"/>
    <w:rsid w:val="29C67916"/>
    <w:rsid w:val="29CE1F49"/>
    <w:rsid w:val="2A141531"/>
    <w:rsid w:val="2A1903C7"/>
    <w:rsid w:val="2A2153B8"/>
    <w:rsid w:val="2A5218FD"/>
    <w:rsid w:val="2A82464A"/>
    <w:rsid w:val="2A924E16"/>
    <w:rsid w:val="2AB84876"/>
    <w:rsid w:val="2ABC7C90"/>
    <w:rsid w:val="2B2161DA"/>
    <w:rsid w:val="2B362A3B"/>
    <w:rsid w:val="2B503DF1"/>
    <w:rsid w:val="2B6B12F3"/>
    <w:rsid w:val="2B9419FC"/>
    <w:rsid w:val="2B9F5B2C"/>
    <w:rsid w:val="2BC01AD4"/>
    <w:rsid w:val="2BDC2B9B"/>
    <w:rsid w:val="2BE1588C"/>
    <w:rsid w:val="2BE171D6"/>
    <w:rsid w:val="2C09185D"/>
    <w:rsid w:val="2C2C35FC"/>
    <w:rsid w:val="2C2E4ADF"/>
    <w:rsid w:val="2C3F0EDD"/>
    <w:rsid w:val="2C53613E"/>
    <w:rsid w:val="2C8132A3"/>
    <w:rsid w:val="2C825415"/>
    <w:rsid w:val="2C884632"/>
    <w:rsid w:val="2CBF1D70"/>
    <w:rsid w:val="2CC971DC"/>
    <w:rsid w:val="2CD61EB8"/>
    <w:rsid w:val="2CF653D4"/>
    <w:rsid w:val="2D39103A"/>
    <w:rsid w:val="2D397142"/>
    <w:rsid w:val="2D3F6B77"/>
    <w:rsid w:val="2DAB1B97"/>
    <w:rsid w:val="2DEE385D"/>
    <w:rsid w:val="2E0A3B00"/>
    <w:rsid w:val="2E1113A3"/>
    <w:rsid w:val="2E1530F1"/>
    <w:rsid w:val="2E521E0D"/>
    <w:rsid w:val="2E6F393B"/>
    <w:rsid w:val="2EA25C4E"/>
    <w:rsid w:val="2EA339A5"/>
    <w:rsid w:val="2ED026DB"/>
    <w:rsid w:val="2EFE6E2D"/>
    <w:rsid w:val="2F383BDA"/>
    <w:rsid w:val="2F3B4EEB"/>
    <w:rsid w:val="2F417517"/>
    <w:rsid w:val="2F432A1A"/>
    <w:rsid w:val="2F4818DE"/>
    <w:rsid w:val="2F666452"/>
    <w:rsid w:val="2F927DA7"/>
    <w:rsid w:val="2FA8676C"/>
    <w:rsid w:val="2FAA36C3"/>
    <w:rsid w:val="2FB36551"/>
    <w:rsid w:val="2FDC2C0D"/>
    <w:rsid w:val="2FDD4C94"/>
    <w:rsid w:val="2FEC390C"/>
    <w:rsid w:val="2FF365A0"/>
    <w:rsid w:val="2FFE78CA"/>
    <w:rsid w:val="301B2407"/>
    <w:rsid w:val="3034687E"/>
    <w:rsid w:val="30380661"/>
    <w:rsid w:val="306275EE"/>
    <w:rsid w:val="306433FB"/>
    <w:rsid w:val="306E5FB4"/>
    <w:rsid w:val="30923A41"/>
    <w:rsid w:val="30D75B88"/>
    <w:rsid w:val="30DB643E"/>
    <w:rsid w:val="30E15504"/>
    <w:rsid w:val="310959B1"/>
    <w:rsid w:val="311D5E56"/>
    <w:rsid w:val="31725FA9"/>
    <w:rsid w:val="31792ACF"/>
    <w:rsid w:val="318956D7"/>
    <w:rsid w:val="31E40435"/>
    <w:rsid w:val="31F866D8"/>
    <w:rsid w:val="320C3CA9"/>
    <w:rsid w:val="32194741"/>
    <w:rsid w:val="32247147"/>
    <w:rsid w:val="323922EC"/>
    <w:rsid w:val="32722318"/>
    <w:rsid w:val="327360D5"/>
    <w:rsid w:val="32F72511"/>
    <w:rsid w:val="330E09B1"/>
    <w:rsid w:val="331362FA"/>
    <w:rsid w:val="332130EA"/>
    <w:rsid w:val="33483B2E"/>
    <w:rsid w:val="339733AC"/>
    <w:rsid w:val="33BA19FB"/>
    <w:rsid w:val="33D94AF6"/>
    <w:rsid w:val="33E17B56"/>
    <w:rsid w:val="33EF7C18"/>
    <w:rsid w:val="33F7221B"/>
    <w:rsid w:val="34325900"/>
    <w:rsid w:val="349D297D"/>
    <w:rsid w:val="34AB66CA"/>
    <w:rsid w:val="34C825B7"/>
    <w:rsid w:val="34DB2264"/>
    <w:rsid w:val="34DC19C6"/>
    <w:rsid w:val="35137922"/>
    <w:rsid w:val="356815AA"/>
    <w:rsid w:val="356B2D42"/>
    <w:rsid w:val="35973B37"/>
    <w:rsid w:val="3598340C"/>
    <w:rsid w:val="35B35CCE"/>
    <w:rsid w:val="35B53A9E"/>
    <w:rsid w:val="35BC161A"/>
    <w:rsid w:val="35BD126D"/>
    <w:rsid w:val="35C72C49"/>
    <w:rsid w:val="36576CB4"/>
    <w:rsid w:val="368045CB"/>
    <w:rsid w:val="368065EA"/>
    <w:rsid w:val="36987B67"/>
    <w:rsid w:val="36BC2C27"/>
    <w:rsid w:val="36E7289C"/>
    <w:rsid w:val="36EE26AB"/>
    <w:rsid w:val="372F0468"/>
    <w:rsid w:val="3739565E"/>
    <w:rsid w:val="377232B5"/>
    <w:rsid w:val="379A16BD"/>
    <w:rsid w:val="37BA68FC"/>
    <w:rsid w:val="37C163D1"/>
    <w:rsid w:val="37EA047C"/>
    <w:rsid w:val="37F232A7"/>
    <w:rsid w:val="380F0075"/>
    <w:rsid w:val="38305B7D"/>
    <w:rsid w:val="384542BC"/>
    <w:rsid w:val="389A4932"/>
    <w:rsid w:val="389B368F"/>
    <w:rsid w:val="39276A42"/>
    <w:rsid w:val="393022D9"/>
    <w:rsid w:val="393B616F"/>
    <w:rsid w:val="394D7A40"/>
    <w:rsid w:val="396315A3"/>
    <w:rsid w:val="396347B3"/>
    <w:rsid w:val="398B779E"/>
    <w:rsid w:val="39B91941"/>
    <w:rsid w:val="39C77D60"/>
    <w:rsid w:val="39CD30F0"/>
    <w:rsid w:val="3A013C75"/>
    <w:rsid w:val="3A190FBF"/>
    <w:rsid w:val="3A251F05"/>
    <w:rsid w:val="3A4C2B89"/>
    <w:rsid w:val="3AA70C32"/>
    <w:rsid w:val="3ABC194A"/>
    <w:rsid w:val="3AC30266"/>
    <w:rsid w:val="3AF065F0"/>
    <w:rsid w:val="3B111C96"/>
    <w:rsid w:val="3B192DA3"/>
    <w:rsid w:val="3B245404"/>
    <w:rsid w:val="3B4E70C4"/>
    <w:rsid w:val="3B633D30"/>
    <w:rsid w:val="3B6444BC"/>
    <w:rsid w:val="3B7B35B3"/>
    <w:rsid w:val="3B830427"/>
    <w:rsid w:val="3B8763FC"/>
    <w:rsid w:val="3BB30212"/>
    <w:rsid w:val="3BD870BB"/>
    <w:rsid w:val="3BF747E0"/>
    <w:rsid w:val="3C070A0C"/>
    <w:rsid w:val="3C6B45C1"/>
    <w:rsid w:val="3C7341D7"/>
    <w:rsid w:val="3C76700F"/>
    <w:rsid w:val="3C9453DA"/>
    <w:rsid w:val="3C957F32"/>
    <w:rsid w:val="3CD44D29"/>
    <w:rsid w:val="3CDB292A"/>
    <w:rsid w:val="3D2403CA"/>
    <w:rsid w:val="3D741543"/>
    <w:rsid w:val="3D962707"/>
    <w:rsid w:val="3E191DEE"/>
    <w:rsid w:val="3E4D3BD3"/>
    <w:rsid w:val="3E671936"/>
    <w:rsid w:val="3E780848"/>
    <w:rsid w:val="3EEC7BC8"/>
    <w:rsid w:val="3F661A90"/>
    <w:rsid w:val="3F7E0C95"/>
    <w:rsid w:val="3F83579F"/>
    <w:rsid w:val="3FC3761C"/>
    <w:rsid w:val="3FC962B1"/>
    <w:rsid w:val="401A30F6"/>
    <w:rsid w:val="404B28C3"/>
    <w:rsid w:val="407F60FD"/>
    <w:rsid w:val="4092686D"/>
    <w:rsid w:val="40EA6130"/>
    <w:rsid w:val="41004C96"/>
    <w:rsid w:val="4104473A"/>
    <w:rsid w:val="411078CD"/>
    <w:rsid w:val="41272213"/>
    <w:rsid w:val="41474664"/>
    <w:rsid w:val="417138A9"/>
    <w:rsid w:val="41736541"/>
    <w:rsid w:val="417C4D58"/>
    <w:rsid w:val="41AF0FFA"/>
    <w:rsid w:val="41D878E4"/>
    <w:rsid w:val="41DE6648"/>
    <w:rsid w:val="42216661"/>
    <w:rsid w:val="4247721E"/>
    <w:rsid w:val="424E43F8"/>
    <w:rsid w:val="427F7570"/>
    <w:rsid w:val="42876CE2"/>
    <w:rsid w:val="42903005"/>
    <w:rsid w:val="42B8353C"/>
    <w:rsid w:val="430D62CD"/>
    <w:rsid w:val="432F49F0"/>
    <w:rsid w:val="435D4F14"/>
    <w:rsid w:val="43BD1D7C"/>
    <w:rsid w:val="43D57920"/>
    <w:rsid w:val="440856C0"/>
    <w:rsid w:val="440E0B44"/>
    <w:rsid w:val="44224E6B"/>
    <w:rsid w:val="4484172B"/>
    <w:rsid w:val="448B0916"/>
    <w:rsid w:val="44B6296D"/>
    <w:rsid w:val="45064FBE"/>
    <w:rsid w:val="457918C4"/>
    <w:rsid w:val="45F03C17"/>
    <w:rsid w:val="460460EC"/>
    <w:rsid w:val="465E4AF7"/>
    <w:rsid w:val="466C691A"/>
    <w:rsid w:val="46734756"/>
    <w:rsid w:val="467A3EB2"/>
    <w:rsid w:val="467F37CC"/>
    <w:rsid w:val="46BF681F"/>
    <w:rsid w:val="46E516DE"/>
    <w:rsid w:val="46F31C44"/>
    <w:rsid w:val="46F70B49"/>
    <w:rsid w:val="47490DD0"/>
    <w:rsid w:val="475A449F"/>
    <w:rsid w:val="4773248D"/>
    <w:rsid w:val="478B5BE9"/>
    <w:rsid w:val="478E5BF3"/>
    <w:rsid w:val="479308E9"/>
    <w:rsid w:val="47990A9D"/>
    <w:rsid w:val="479E0D55"/>
    <w:rsid w:val="47AD0F98"/>
    <w:rsid w:val="47C441CA"/>
    <w:rsid w:val="480B761B"/>
    <w:rsid w:val="481B23A6"/>
    <w:rsid w:val="48256D81"/>
    <w:rsid w:val="488028A3"/>
    <w:rsid w:val="488C1EEE"/>
    <w:rsid w:val="488E7F11"/>
    <w:rsid w:val="48C5283C"/>
    <w:rsid w:val="48D34A2F"/>
    <w:rsid w:val="48D57DF0"/>
    <w:rsid w:val="48E41F49"/>
    <w:rsid w:val="48E649AE"/>
    <w:rsid w:val="491633B3"/>
    <w:rsid w:val="491F2D26"/>
    <w:rsid w:val="49302DA0"/>
    <w:rsid w:val="493C5CD0"/>
    <w:rsid w:val="49501EAC"/>
    <w:rsid w:val="496B2BA7"/>
    <w:rsid w:val="49A11DCC"/>
    <w:rsid w:val="49B05257"/>
    <w:rsid w:val="49B123F5"/>
    <w:rsid w:val="49C12AD9"/>
    <w:rsid w:val="4A275032"/>
    <w:rsid w:val="4A5971B6"/>
    <w:rsid w:val="4A653807"/>
    <w:rsid w:val="4A66196B"/>
    <w:rsid w:val="4A745E79"/>
    <w:rsid w:val="4A827B39"/>
    <w:rsid w:val="4A9D2228"/>
    <w:rsid w:val="4AB30D1E"/>
    <w:rsid w:val="4AB56AE2"/>
    <w:rsid w:val="4AD33ADA"/>
    <w:rsid w:val="4AD72235"/>
    <w:rsid w:val="4AF16491"/>
    <w:rsid w:val="4B1E4B4A"/>
    <w:rsid w:val="4B7E5E68"/>
    <w:rsid w:val="4BA44BB9"/>
    <w:rsid w:val="4BCB5E91"/>
    <w:rsid w:val="4C230C04"/>
    <w:rsid w:val="4C2D26A8"/>
    <w:rsid w:val="4C5C7A55"/>
    <w:rsid w:val="4C793B3F"/>
    <w:rsid w:val="4C7F4CBE"/>
    <w:rsid w:val="4CAC3328"/>
    <w:rsid w:val="4CC36A5F"/>
    <w:rsid w:val="4CE53C23"/>
    <w:rsid w:val="4CF16FE9"/>
    <w:rsid w:val="4D054AFC"/>
    <w:rsid w:val="4D2A47B7"/>
    <w:rsid w:val="4D7009BD"/>
    <w:rsid w:val="4D9C3E67"/>
    <w:rsid w:val="4D9D3A88"/>
    <w:rsid w:val="4DBC2E94"/>
    <w:rsid w:val="4DCF0F56"/>
    <w:rsid w:val="4E193FF7"/>
    <w:rsid w:val="4E213D88"/>
    <w:rsid w:val="4E453CD9"/>
    <w:rsid w:val="4E514C61"/>
    <w:rsid w:val="4E760C3B"/>
    <w:rsid w:val="4E7E733C"/>
    <w:rsid w:val="4EAF104D"/>
    <w:rsid w:val="4ED77988"/>
    <w:rsid w:val="4EEA6BBA"/>
    <w:rsid w:val="4EF241A3"/>
    <w:rsid w:val="4F0A5E14"/>
    <w:rsid w:val="4F440434"/>
    <w:rsid w:val="4F890607"/>
    <w:rsid w:val="4FC652ED"/>
    <w:rsid w:val="4FC86D44"/>
    <w:rsid w:val="4FF359B6"/>
    <w:rsid w:val="50200540"/>
    <w:rsid w:val="50285660"/>
    <w:rsid w:val="502C5131"/>
    <w:rsid w:val="50342624"/>
    <w:rsid w:val="504D696F"/>
    <w:rsid w:val="5060304C"/>
    <w:rsid w:val="506972BF"/>
    <w:rsid w:val="508A58C1"/>
    <w:rsid w:val="50B37E70"/>
    <w:rsid w:val="50EA6DB9"/>
    <w:rsid w:val="50FC7343"/>
    <w:rsid w:val="51000A73"/>
    <w:rsid w:val="51454191"/>
    <w:rsid w:val="514C620D"/>
    <w:rsid w:val="51514E61"/>
    <w:rsid w:val="519D1BF6"/>
    <w:rsid w:val="51BC1C05"/>
    <w:rsid w:val="51DD0AE1"/>
    <w:rsid w:val="521F2DEA"/>
    <w:rsid w:val="52553BB4"/>
    <w:rsid w:val="52625B2B"/>
    <w:rsid w:val="52882CDF"/>
    <w:rsid w:val="5291221C"/>
    <w:rsid w:val="529E01D6"/>
    <w:rsid w:val="52BF7966"/>
    <w:rsid w:val="52C27F9B"/>
    <w:rsid w:val="530A0D10"/>
    <w:rsid w:val="5330111E"/>
    <w:rsid w:val="53745777"/>
    <w:rsid w:val="537D36C3"/>
    <w:rsid w:val="538318BC"/>
    <w:rsid w:val="53BD0749"/>
    <w:rsid w:val="53E83D39"/>
    <w:rsid w:val="53F85BCC"/>
    <w:rsid w:val="543E18F6"/>
    <w:rsid w:val="54BE47E5"/>
    <w:rsid w:val="550F6EFA"/>
    <w:rsid w:val="55261C80"/>
    <w:rsid w:val="5583158B"/>
    <w:rsid w:val="559144C5"/>
    <w:rsid w:val="55937A20"/>
    <w:rsid w:val="55ED5D80"/>
    <w:rsid w:val="56204B37"/>
    <w:rsid w:val="563441A1"/>
    <w:rsid w:val="565129A9"/>
    <w:rsid w:val="56614D70"/>
    <w:rsid w:val="56C40FAE"/>
    <w:rsid w:val="56D73355"/>
    <w:rsid w:val="56F34E24"/>
    <w:rsid w:val="572032C7"/>
    <w:rsid w:val="573329D7"/>
    <w:rsid w:val="576215A8"/>
    <w:rsid w:val="578A3156"/>
    <w:rsid w:val="57B343A9"/>
    <w:rsid w:val="57B40121"/>
    <w:rsid w:val="58145286"/>
    <w:rsid w:val="582B57B9"/>
    <w:rsid w:val="582F2AD7"/>
    <w:rsid w:val="584410E0"/>
    <w:rsid w:val="585F111F"/>
    <w:rsid w:val="5863030F"/>
    <w:rsid w:val="586E7F1B"/>
    <w:rsid w:val="592D105D"/>
    <w:rsid w:val="593212FE"/>
    <w:rsid w:val="595D3540"/>
    <w:rsid w:val="59623128"/>
    <w:rsid w:val="59747B68"/>
    <w:rsid w:val="59793D78"/>
    <w:rsid w:val="59821302"/>
    <w:rsid w:val="598F1F6F"/>
    <w:rsid w:val="59A41FA0"/>
    <w:rsid w:val="59AA358A"/>
    <w:rsid w:val="5A1738D9"/>
    <w:rsid w:val="5A4E2167"/>
    <w:rsid w:val="5A5D6093"/>
    <w:rsid w:val="5A6574B1"/>
    <w:rsid w:val="5A680661"/>
    <w:rsid w:val="5A9552DA"/>
    <w:rsid w:val="5AA1001F"/>
    <w:rsid w:val="5AA4622B"/>
    <w:rsid w:val="5ABA1C31"/>
    <w:rsid w:val="5AC86D37"/>
    <w:rsid w:val="5B0B2944"/>
    <w:rsid w:val="5B155164"/>
    <w:rsid w:val="5B4812AC"/>
    <w:rsid w:val="5B4F6FAF"/>
    <w:rsid w:val="5B81213C"/>
    <w:rsid w:val="5BA26C70"/>
    <w:rsid w:val="5BE73454"/>
    <w:rsid w:val="5BE84759"/>
    <w:rsid w:val="5BF4553D"/>
    <w:rsid w:val="5C425CFC"/>
    <w:rsid w:val="5C4F4BF7"/>
    <w:rsid w:val="5C643F86"/>
    <w:rsid w:val="5C665539"/>
    <w:rsid w:val="5C7D6786"/>
    <w:rsid w:val="5CFF708F"/>
    <w:rsid w:val="5D477710"/>
    <w:rsid w:val="5D4B2D1B"/>
    <w:rsid w:val="5D5757D7"/>
    <w:rsid w:val="5D892330"/>
    <w:rsid w:val="5D9C5497"/>
    <w:rsid w:val="5DBF512A"/>
    <w:rsid w:val="5DFF19E2"/>
    <w:rsid w:val="5E0F2166"/>
    <w:rsid w:val="5EAB4F7B"/>
    <w:rsid w:val="5EAC7460"/>
    <w:rsid w:val="5EB01642"/>
    <w:rsid w:val="5ED115B9"/>
    <w:rsid w:val="5EF86F14"/>
    <w:rsid w:val="5F0B2CFC"/>
    <w:rsid w:val="5F131BD1"/>
    <w:rsid w:val="5F3F29C6"/>
    <w:rsid w:val="5F3F6C61"/>
    <w:rsid w:val="5F506981"/>
    <w:rsid w:val="5F586842"/>
    <w:rsid w:val="5F610B8F"/>
    <w:rsid w:val="5F8900CD"/>
    <w:rsid w:val="5F8C56A5"/>
    <w:rsid w:val="5F9E7C73"/>
    <w:rsid w:val="5FBB029F"/>
    <w:rsid w:val="5FC937C5"/>
    <w:rsid w:val="5FD72FD7"/>
    <w:rsid w:val="5FE07430"/>
    <w:rsid w:val="600227CA"/>
    <w:rsid w:val="60305ACE"/>
    <w:rsid w:val="6048342C"/>
    <w:rsid w:val="6054524C"/>
    <w:rsid w:val="606409DB"/>
    <w:rsid w:val="60720BE3"/>
    <w:rsid w:val="609B47A1"/>
    <w:rsid w:val="60E34B01"/>
    <w:rsid w:val="61077514"/>
    <w:rsid w:val="610B7637"/>
    <w:rsid w:val="611A0EA3"/>
    <w:rsid w:val="61247BC4"/>
    <w:rsid w:val="612620F2"/>
    <w:rsid w:val="61396F21"/>
    <w:rsid w:val="61563D8A"/>
    <w:rsid w:val="61675A89"/>
    <w:rsid w:val="61E437AA"/>
    <w:rsid w:val="61F538FF"/>
    <w:rsid w:val="62066A55"/>
    <w:rsid w:val="62135ABF"/>
    <w:rsid w:val="621719D8"/>
    <w:rsid w:val="623D18BA"/>
    <w:rsid w:val="6241427D"/>
    <w:rsid w:val="62554D62"/>
    <w:rsid w:val="62674759"/>
    <w:rsid w:val="62935A59"/>
    <w:rsid w:val="62CF4061"/>
    <w:rsid w:val="62E47B0C"/>
    <w:rsid w:val="632E7709"/>
    <w:rsid w:val="63A75D22"/>
    <w:rsid w:val="63B00791"/>
    <w:rsid w:val="63B5357F"/>
    <w:rsid w:val="63BD1004"/>
    <w:rsid w:val="63C705B2"/>
    <w:rsid w:val="63CD15D5"/>
    <w:rsid w:val="63D47B81"/>
    <w:rsid w:val="643207A1"/>
    <w:rsid w:val="6455767C"/>
    <w:rsid w:val="6472185A"/>
    <w:rsid w:val="64994927"/>
    <w:rsid w:val="64BE61B5"/>
    <w:rsid w:val="64C00216"/>
    <w:rsid w:val="64C014F5"/>
    <w:rsid w:val="64CC53EB"/>
    <w:rsid w:val="65033C7C"/>
    <w:rsid w:val="65187A69"/>
    <w:rsid w:val="6545060B"/>
    <w:rsid w:val="65966727"/>
    <w:rsid w:val="659B47BF"/>
    <w:rsid w:val="659E2FB2"/>
    <w:rsid w:val="65B41784"/>
    <w:rsid w:val="65D06126"/>
    <w:rsid w:val="65E36256"/>
    <w:rsid w:val="66007D67"/>
    <w:rsid w:val="66291CDA"/>
    <w:rsid w:val="663E0B6F"/>
    <w:rsid w:val="66500DEB"/>
    <w:rsid w:val="66795D12"/>
    <w:rsid w:val="66B544EF"/>
    <w:rsid w:val="66F71181"/>
    <w:rsid w:val="67466C30"/>
    <w:rsid w:val="6747041E"/>
    <w:rsid w:val="67566AFF"/>
    <w:rsid w:val="675B2A2A"/>
    <w:rsid w:val="675E0579"/>
    <w:rsid w:val="67654F94"/>
    <w:rsid w:val="677F41DA"/>
    <w:rsid w:val="67E542AD"/>
    <w:rsid w:val="67E62A51"/>
    <w:rsid w:val="68107747"/>
    <w:rsid w:val="68120C78"/>
    <w:rsid w:val="68164673"/>
    <w:rsid w:val="681E4308"/>
    <w:rsid w:val="68237975"/>
    <w:rsid w:val="68272865"/>
    <w:rsid w:val="6838670D"/>
    <w:rsid w:val="68757459"/>
    <w:rsid w:val="687E0D52"/>
    <w:rsid w:val="68816686"/>
    <w:rsid w:val="68834BBC"/>
    <w:rsid w:val="68883F0D"/>
    <w:rsid w:val="68C301C4"/>
    <w:rsid w:val="68D128E1"/>
    <w:rsid w:val="68E25001"/>
    <w:rsid w:val="690E1BE8"/>
    <w:rsid w:val="69161412"/>
    <w:rsid w:val="69262B12"/>
    <w:rsid w:val="693D5CD9"/>
    <w:rsid w:val="698C77F2"/>
    <w:rsid w:val="699904A8"/>
    <w:rsid w:val="69B75B4F"/>
    <w:rsid w:val="69CC4101"/>
    <w:rsid w:val="69D12FAB"/>
    <w:rsid w:val="6A116821"/>
    <w:rsid w:val="6A1A2624"/>
    <w:rsid w:val="6A3E7FFD"/>
    <w:rsid w:val="6A580EEF"/>
    <w:rsid w:val="6A90057A"/>
    <w:rsid w:val="6AB86E1B"/>
    <w:rsid w:val="6AC33B77"/>
    <w:rsid w:val="6AFB6BAE"/>
    <w:rsid w:val="6B274B18"/>
    <w:rsid w:val="6B347FBA"/>
    <w:rsid w:val="6B350A62"/>
    <w:rsid w:val="6B5E04F1"/>
    <w:rsid w:val="6B715421"/>
    <w:rsid w:val="6BA45D7F"/>
    <w:rsid w:val="6BEF30F6"/>
    <w:rsid w:val="6BF72930"/>
    <w:rsid w:val="6BFD4457"/>
    <w:rsid w:val="6C1665F5"/>
    <w:rsid w:val="6C3E05AE"/>
    <w:rsid w:val="6C44161C"/>
    <w:rsid w:val="6C4E3430"/>
    <w:rsid w:val="6C67530A"/>
    <w:rsid w:val="6CA01AC4"/>
    <w:rsid w:val="6CC20C29"/>
    <w:rsid w:val="6CCB1BC5"/>
    <w:rsid w:val="6CD646CF"/>
    <w:rsid w:val="6CF92FE3"/>
    <w:rsid w:val="6CFC757E"/>
    <w:rsid w:val="6D245E19"/>
    <w:rsid w:val="6D8B7FE5"/>
    <w:rsid w:val="6DA0107C"/>
    <w:rsid w:val="6DC42A14"/>
    <w:rsid w:val="6DE4548A"/>
    <w:rsid w:val="6DE45822"/>
    <w:rsid w:val="6DE5298B"/>
    <w:rsid w:val="6DE720B2"/>
    <w:rsid w:val="6DF20A14"/>
    <w:rsid w:val="6DF258F4"/>
    <w:rsid w:val="6E1F58A5"/>
    <w:rsid w:val="6E425AE3"/>
    <w:rsid w:val="6E4E7458"/>
    <w:rsid w:val="6E6955A2"/>
    <w:rsid w:val="6E827A5B"/>
    <w:rsid w:val="6EAD4B62"/>
    <w:rsid w:val="6EBB192F"/>
    <w:rsid w:val="6F101C89"/>
    <w:rsid w:val="6F134BAA"/>
    <w:rsid w:val="6F231519"/>
    <w:rsid w:val="6F5E706E"/>
    <w:rsid w:val="6F6E713D"/>
    <w:rsid w:val="6FA37B33"/>
    <w:rsid w:val="6FB645DF"/>
    <w:rsid w:val="6FC55912"/>
    <w:rsid w:val="6FD71C4D"/>
    <w:rsid w:val="6FF75C84"/>
    <w:rsid w:val="703E7787"/>
    <w:rsid w:val="70697080"/>
    <w:rsid w:val="7074043C"/>
    <w:rsid w:val="709829C9"/>
    <w:rsid w:val="70AC019F"/>
    <w:rsid w:val="70C42D2B"/>
    <w:rsid w:val="70F95EE6"/>
    <w:rsid w:val="71070737"/>
    <w:rsid w:val="71241F46"/>
    <w:rsid w:val="713D5823"/>
    <w:rsid w:val="71464106"/>
    <w:rsid w:val="716436FE"/>
    <w:rsid w:val="71643E18"/>
    <w:rsid w:val="716C6225"/>
    <w:rsid w:val="716E0821"/>
    <w:rsid w:val="71755543"/>
    <w:rsid w:val="718957D5"/>
    <w:rsid w:val="719721EE"/>
    <w:rsid w:val="71A52970"/>
    <w:rsid w:val="720362B3"/>
    <w:rsid w:val="720669EB"/>
    <w:rsid w:val="72142791"/>
    <w:rsid w:val="721970A7"/>
    <w:rsid w:val="72247DA8"/>
    <w:rsid w:val="727F5809"/>
    <w:rsid w:val="72C909D3"/>
    <w:rsid w:val="72D36A71"/>
    <w:rsid w:val="72EF558F"/>
    <w:rsid w:val="73233B9B"/>
    <w:rsid w:val="73293BFC"/>
    <w:rsid w:val="732D5122"/>
    <w:rsid w:val="73430029"/>
    <w:rsid w:val="735E37BE"/>
    <w:rsid w:val="739A2A7A"/>
    <w:rsid w:val="73AA1159"/>
    <w:rsid w:val="73AB483C"/>
    <w:rsid w:val="73D62817"/>
    <w:rsid w:val="73DB0AB8"/>
    <w:rsid w:val="74045E4A"/>
    <w:rsid w:val="742A4FF5"/>
    <w:rsid w:val="7445564D"/>
    <w:rsid w:val="744A753D"/>
    <w:rsid w:val="745315CA"/>
    <w:rsid w:val="74563369"/>
    <w:rsid w:val="745E36D6"/>
    <w:rsid w:val="7504558C"/>
    <w:rsid w:val="75225F8C"/>
    <w:rsid w:val="75546F0E"/>
    <w:rsid w:val="757403BC"/>
    <w:rsid w:val="75761242"/>
    <w:rsid w:val="75943B6B"/>
    <w:rsid w:val="75D96EA9"/>
    <w:rsid w:val="7635037C"/>
    <w:rsid w:val="76393286"/>
    <w:rsid w:val="767979DF"/>
    <w:rsid w:val="7687286F"/>
    <w:rsid w:val="76C34768"/>
    <w:rsid w:val="76C360DC"/>
    <w:rsid w:val="76DC5F6F"/>
    <w:rsid w:val="76F55C40"/>
    <w:rsid w:val="77130569"/>
    <w:rsid w:val="773C6D5C"/>
    <w:rsid w:val="773D2DAD"/>
    <w:rsid w:val="77730BDA"/>
    <w:rsid w:val="77E67B45"/>
    <w:rsid w:val="77F42148"/>
    <w:rsid w:val="78390ED2"/>
    <w:rsid w:val="783E61D3"/>
    <w:rsid w:val="787130F8"/>
    <w:rsid w:val="788071FB"/>
    <w:rsid w:val="78833532"/>
    <w:rsid w:val="78B8489E"/>
    <w:rsid w:val="78BD69DE"/>
    <w:rsid w:val="79023C15"/>
    <w:rsid w:val="7914333F"/>
    <w:rsid w:val="793677EC"/>
    <w:rsid w:val="7939786F"/>
    <w:rsid w:val="794D0F04"/>
    <w:rsid w:val="7956519B"/>
    <w:rsid w:val="795B7C31"/>
    <w:rsid w:val="79661644"/>
    <w:rsid w:val="796C53DD"/>
    <w:rsid w:val="796E1A86"/>
    <w:rsid w:val="79815763"/>
    <w:rsid w:val="79990A0D"/>
    <w:rsid w:val="79FF4E7B"/>
    <w:rsid w:val="7A0027B8"/>
    <w:rsid w:val="7A1E0C67"/>
    <w:rsid w:val="7A2D742D"/>
    <w:rsid w:val="7A351AB3"/>
    <w:rsid w:val="7A6A7A61"/>
    <w:rsid w:val="7A7A445B"/>
    <w:rsid w:val="7A8077B2"/>
    <w:rsid w:val="7B44371A"/>
    <w:rsid w:val="7B5937C2"/>
    <w:rsid w:val="7B6A44CF"/>
    <w:rsid w:val="7B8C2698"/>
    <w:rsid w:val="7B93603A"/>
    <w:rsid w:val="7B9859C3"/>
    <w:rsid w:val="7B9B4B89"/>
    <w:rsid w:val="7BA342E6"/>
    <w:rsid w:val="7BB310BF"/>
    <w:rsid w:val="7C1B7D45"/>
    <w:rsid w:val="7C8C4263"/>
    <w:rsid w:val="7C907E45"/>
    <w:rsid w:val="7CA1103B"/>
    <w:rsid w:val="7CAE7D7C"/>
    <w:rsid w:val="7CDF4D92"/>
    <w:rsid w:val="7CFC5110"/>
    <w:rsid w:val="7D0D3028"/>
    <w:rsid w:val="7D2C6D65"/>
    <w:rsid w:val="7D326253"/>
    <w:rsid w:val="7D494637"/>
    <w:rsid w:val="7D6F41B7"/>
    <w:rsid w:val="7D7A4E2B"/>
    <w:rsid w:val="7D89203A"/>
    <w:rsid w:val="7DB35B9C"/>
    <w:rsid w:val="7DC04683"/>
    <w:rsid w:val="7DD049C3"/>
    <w:rsid w:val="7DE47E14"/>
    <w:rsid w:val="7DE62533"/>
    <w:rsid w:val="7E140867"/>
    <w:rsid w:val="7E176B90"/>
    <w:rsid w:val="7E4B4A8C"/>
    <w:rsid w:val="7E4E6457"/>
    <w:rsid w:val="7E501A9F"/>
    <w:rsid w:val="7E7E10FB"/>
    <w:rsid w:val="7E9D320C"/>
    <w:rsid w:val="7EA472AB"/>
    <w:rsid w:val="7EC70F4C"/>
    <w:rsid w:val="7ED71E7C"/>
    <w:rsid w:val="7F046F48"/>
    <w:rsid w:val="7F210094"/>
    <w:rsid w:val="7F2C5AB1"/>
    <w:rsid w:val="7F2E617B"/>
    <w:rsid w:val="7F5D5059"/>
    <w:rsid w:val="7F623382"/>
    <w:rsid w:val="7F664991"/>
    <w:rsid w:val="7F736048"/>
    <w:rsid w:val="7F911B24"/>
    <w:rsid w:val="7F9C2BB9"/>
    <w:rsid w:val="7F9D0D00"/>
    <w:rsid w:val="7FA514BB"/>
    <w:rsid w:val="7FB528C3"/>
    <w:rsid w:val="7FC97C5F"/>
    <w:rsid w:val="7FD0218B"/>
    <w:rsid w:val="7FFB6C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8086</Words>
  <Characters>10673</Characters>
  <Lines>0</Lines>
  <Paragraphs>0</Paragraphs>
  <TotalTime>1</TotalTime>
  <ScaleCrop>false</ScaleCrop>
  <LinksUpToDate>false</LinksUpToDate>
  <CharactersWithSpaces>11394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Chen</dc:creator>
  <cp:lastModifiedBy>…………</cp:lastModifiedBy>
  <dcterms:modified xsi:type="dcterms:W3CDTF">2026-05-20T15:28:42Z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