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bookmarkStart w:id="106" w:name="_GoBack"/>
          <w:bookmarkEnd w:id="106"/>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1E753F1D">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TOC \o "1-2" \h \u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_Toc7053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_Toc7053 \h </w:instrText>
          </w:r>
          <w:r>
            <w:rPr>
              <w:rFonts w:ascii="Times New Roman" w:hAnsi="Times New Roman" w:eastAsia="仿宋" w:cs="Times New Roman"/>
              <w:sz w:val="24"/>
            </w:rPr>
            <w:fldChar w:fldCharType="separate"/>
          </w:r>
          <w:r>
            <w:rPr>
              <w:rFonts w:ascii="Times New Roman" w:hAnsi="Times New Roman" w:eastAsia="仿宋" w:cs="Times New Roman"/>
              <w:sz w:val="24"/>
            </w:rPr>
            <w:t>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8259775">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_Toc7226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_Toc7226 \h </w:instrText>
          </w:r>
          <w:r>
            <w:rPr>
              <w:rFonts w:ascii="Times New Roman" w:hAnsi="Times New Roman" w:eastAsia="仿宋" w:cs="Times New Roman"/>
              <w:sz w:val="24"/>
            </w:rPr>
            <w:fldChar w:fldCharType="separate"/>
          </w:r>
          <w:r>
            <w:rPr>
              <w:rFonts w:ascii="Times New Roman" w:hAnsi="Times New Roman" w:eastAsia="仿宋" w:cs="Times New Roman"/>
              <w:sz w:val="24"/>
            </w:rPr>
            <w:t>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25A7FA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_Toc16726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_Toc16726 \h </w:instrText>
          </w:r>
          <w:r>
            <w:rPr>
              <w:rFonts w:ascii="Times New Roman" w:hAnsi="Times New Roman" w:eastAsia="仿宋" w:cs="Times New Roman"/>
              <w:sz w:val="24"/>
            </w:rPr>
            <w:fldChar w:fldCharType="separate"/>
          </w:r>
          <w:r>
            <w:rPr>
              <w:rFonts w:ascii="Times New Roman" w:hAnsi="Times New Roman" w:eastAsia="仿宋" w:cs="Times New Roman"/>
              <w:sz w:val="24"/>
            </w:rPr>
            <w:t>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BD0AAF5">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_Toc14410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2 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_Toc14410 \h </w:instrText>
          </w:r>
          <w:r>
            <w:rPr>
              <w:rFonts w:ascii="Times New Roman" w:hAnsi="Times New Roman" w:eastAsia="仿宋" w:cs="Times New Roman"/>
              <w:sz w:val="24"/>
            </w:rPr>
            <w:fldChar w:fldCharType="separate"/>
          </w:r>
          <w:r>
            <w:rPr>
              <w:rFonts w:ascii="Times New Roman" w:hAnsi="Times New Roman" w:eastAsia="仿宋" w:cs="Times New Roman"/>
              <w:sz w:val="24"/>
            </w:rPr>
            <w:t>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423C658">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_Toc19850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2.1 产品方案</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_Toc19850 \h </w:instrText>
          </w:r>
          <w:r>
            <w:rPr>
              <w:rFonts w:ascii="Times New Roman" w:hAnsi="Times New Roman" w:eastAsia="仿宋" w:cs="Times New Roman"/>
              <w:sz w:val="24"/>
            </w:rPr>
            <w:fldChar w:fldCharType="separate"/>
          </w:r>
          <w:r>
            <w:rPr>
              <w:rFonts w:ascii="Times New Roman" w:hAnsi="Times New Roman" w:eastAsia="仿宋" w:cs="Times New Roman"/>
              <w:sz w:val="24"/>
            </w:rPr>
            <w:t>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1883512">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_Toc22690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2.2 产品质量要求</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_Toc22690 \h </w:instrText>
          </w:r>
          <w:r>
            <w:rPr>
              <w:rFonts w:ascii="Times New Roman" w:hAnsi="Times New Roman" w:eastAsia="仿宋" w:cs="Times New Roman"/>
              <w:sz w:val="24"/>
            </w:rPr>
            <w:fldChar w:fldCharType="separate"/>
          </w:r>
          <w:r>
            <w:rPr>
              <w:rFonts w:ascii="Times New Roman" w:hAnsi="Times New Roman" w:eastAsia="仿宋" w:cs="Times New Roman"/>
              <w:sz w:val="24"/>
            </w:rPr>
            <w:t>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E73F90F">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_Toc27452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2.3 工艺流程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_Toc27452 \h </w:instrText>
          </w:r>
          <w:r>
            <w:rPr>
              <w:rFonts w:ascii="Times New Roman" w:hAnsi="Times New Roman" w:eastAsia="仿宋" w:cs="Times New Roman"/>
              <w:sz w:val="24"/>
            </w:rPr>
            <w:fldChar w:fldCharType="separate"/>
          </w:r>
          <w:r>
            <w:rPr>
              <w:rFonts w:ascii="Times New Roman" w:hAnsi="Times New Roman" w:eastAsia="仿宋" w:cs="Times New Roman"/>
              <w:sz w:val="24"/>
            </w:rPr>
            <w:t>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450640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_Toc6780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2.4 物料衡算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_Toc6780 \h </w:instrText>
          </w:r>
          <w:r>
            <w:rPr>
              <w:rFonts w:ascii="Times New Roman" w:hAnsi="Times New Roman" w:eastAsia="仿宋" w:cs="Times New Roman"/>
              <w:sz w:val="24"/>
            </w:rPr>
            <w:fldChar w:fldCharType="separate"/>
          </w:r>
          <w:r>
            <w:rPr>
              <w:rFonts w:ascii="Times New Roman" w:hAnsi="Times New Roman" w:eastAsia="仿宋" w:cs="Times New Roman"/>
              <w:sz w:val="24"/>
            </w:rPr>
            <w:t>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A8C2E6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_Toc3971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2.5 设备计算与选型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_Toc3971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85E387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_Toc16455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2.6 水、电、汽计算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_Toc16455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98A58B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_Toc30182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2.7 车间工艺布置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_Toc30182 \h </w:instrText>
          </w:r>
          <w:r>
            <w:rPr>
              <w:rFonts w:ascii="Times New Roman" w:hAnsi="Times New Roman" w:eastAsia="仿宋" w:cs="Times New Roman"/>
              <w:sz w:val="24"/>
            </w:rPr>
            <w:fldChar w:fldCharType="separate"/>
          </w:r>
          <w:r>
            <w:rPr>
              <w:rFonts w:ascii="Times New Roman" w:hAnsi="Times New Roman" w:eastAsia="仿宋" w:cs="Times New Roman"/>
              <w:sz w:val="24"/>
            </w:rPr>
            <w:t>9</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8ED9E91">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_Toc22264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3 非工艺设计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_Toc22264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BB1C4D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_Toc24802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3.1 门窗、地面</w:t>
          </w:r>
          <w:r>
            <w:rPr>
              <w:rFonts w:hint="eastAsia" w:eastAsia="仿宋" w:cs="Times New Roman"/>
              <w:bCs/>
              <w:sz w:val="24"/>
              <w:szCs w:val="16"/>
              <w:lang w:val="en-US" w:eastAsia="zh-CN"/>
            </w:rPr>
            <w:t>及</w:t>
          </w:r>
          <w:r>
            <w:rPr>
              <w:rFonts w:hint="eastAsia" w:ascii="Times New Roman" w:hAnsi="Times New Roman" w:eastAsia="仿宋" w:cs="Times New Roman"/>
              <w:bCs/>
              <w:sz w:val="24"/>
              <w:szCs w:val="16"/>
              <w:lang w:val="en-US" w:eastAsia="zh-CN"/>
            </w:rPr>
            <w:t>墙面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_Toc24802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CA00C10">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_Toc25330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3.2 车间卫生及安全设计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_Toc25330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3E47BAD">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_Toc18371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3.3 原料仓库及产品仓库</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_Toc18371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811858">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_Toc14593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4 环境保护</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_Toc14593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6D9F22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_Toc9259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4.1 三废的处理</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_Toc9259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EE736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_Toc3121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shd w:val="clear" w:color="auto" w:fill="auto"/>
              <w:lang w:val="en-US" w:eastAsia="zh-CN"/>
            </w:rPr>
            <w:t>4.2 噪声的控制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_Toc3121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D4E0F3F">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_Toc25856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44"/>
              <w:sz w:val="24"/>
              <w:szCs w:val="11"/>
              <w:lang w:val="en-US" w:eastAsia="zh-CN" w:bidi="ar-SA"/>
            </w:rPr>
            <w:t>5 车间成本核算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_Toc25856 \h </w:instrText>
          </w:r>
          <w:r>
            <w:rPr>
              <w:rFonts w:ascii="Times New Roman" w:hAnsi="Times New Roman" w:eastAsia="仿宋" w:cs="Times New Roman"/>
              <w:sz w:val="24"/>
            </w:rPr>
            <w:fldChar w:fldCharType="separate"/>
          </w:r>
          <w:r>
            <w:rPr>
              <w:rFonts w:ascii="Times New Roman" w:hAnsi="Times New Roman" w:eastAsia="仿宋" w:cs="Times New Roman"/>
              <w:sz w:val="24"/>
            </w:rPr>
            <w:t>13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6EC5FB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_Toc16286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5.1 生产成本</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_Toc16286 \h </w:instrText>
          </w:r>
          <w:r>
            <w:rPr>
              <w:rFonts w:ascii="Times New Roman" w:hAnsi="Times New Roman" w:eastAsia="仿宋" w:cs="Times New Roman"/>
              <w:sz w:val="24"/>
            </w:rPr>
            <w:fldChar w:fldCharType="separate"/>
          </w:r>
          <w:r>
            <w:rPr>
              <w:rFonts w:ascii="Times New Roman" w:hAnsi="Times New Roman" w:eastAsia="仿宋" w:cs="Times New Roman"/>
              <w:sz w:val="24"/>
            </w:rPr>
            <w:t>13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F23BAF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_Toc31126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5.2 总成本核算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_Toc31126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DC966D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_Toc17251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6 结论</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_Toc17251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EA35817">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_Toc16206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2"/>
              <w:sz w:val="24"/>
              <w:szCs w:val="28"/>
              <w:lang w:val="en-US" w:eastAsia="zh-CN" w:bidi="ar-SA"/>
            </w:rPr>
            <w:t>【参 考 文 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_Toc16206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D8A8BF5">
          <w:pPr>
            <w:pStyle w:val="9"/>
            <w:tabs>
              <w:tab w:val="right" w:leader="dot" w:pos="8788"/>
            </w:tabs>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_Toc15949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致 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_Toc15949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148.65万元，厂房建筑面积达864平方米，劳动人员数量为26人，每年生产1000吨蓝莓酸奶的总成本是1547.945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14.865 million yuan, the factory building area is 864 square meters, and the workforce consists of 26 people. The total annual production cost for 1,000 tons of blueberry yogurt is 1547.945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17326"/>
      <w:bookmarkStart w:id="1" w:name="_Toc7053"/>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bookmarkStart w:id="3" w:name="_Toc7226"/>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bookmarkStart w:id="5" w:name="_Toc16726"/>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168404166"/>
      <w:bookmarkStart w:id="7" w:name="_Toc25408"/>
      <w:r>
        <w:rPr>
          <w:rFonts w:hint="eastAsia"/>
          <w:b w:val="0"/>
          <w:sz w:val="24"/>
          <w:szCs w:val="24"/>
          <w:lang w:val="en-US" w:eastAsia="zh-CN"/>
        </w:rPr>
        <w:t>从营养素构成角度看，蓝莓果实同时具备基础营养的价值和高膳食纤维的特点。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上述特殊的生物活性和综合营养特性，奠定蓝莓作为发酵乳等功能性食品主要辅料的技术意义。</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bookmarkStart w:id="8" w:name="_Toc14410"/>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19850"/>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w:t>
      </w:r>
      <w:r>
        <w:rPr>
          <w:rFonts w:hint="eastAsia" w:cs="Times New Roman"/>
          <w:b w:val="0"/>
          <w:bCs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w:t>
      </w:r>
      <w:r>
        <w:rPr>
          <w:rFonts w:hint="eastAsia" w:cs="Times New Roman"/>
          <w:b w:val="0"/>
          <w:bCs w:val="0"/>
          <w:color w:val="000000" w:themeColor="text1"/>
          <w:sz w:val="24"/>
          <w:szCs w:val="24"/>
          <w:lang w:val="en-US" w:eastAsia="zh-CN"/>
          <w14:textFill>
            <w14:solidFill>
              <w14:schemeClr w14:val="tx1"/>
            </w14:solidFill>
          </w14:textFill>
        </w:rPr>
        <w:t>车间选址</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确定在贵州省的省级食品工业园区之中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w:t>
      </w:r>
      <w:r>
        <w:rPr>
          <w:rFonts w:hint="eastAsia" w:cs="Times New Roman"/>
          <w:b w:val="0"/>
          <w:bCs w:val="0"/>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22690"/>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 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restart"/>
            <w:tcBorders>
              <w:top w:val="single" w:color="auto" w:sz="12"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continue"/>
            <w:tcBorders>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6CB8E7AF">
      <w:pPr>
        <w:rPr>
          <w:rFonts w:hint="eastAsia" w:ascii="Times New Roman" w:hAnsi="Times New Roman" w:eastAsia="黑体" w:cs="黑体"/>
          <w:b w:val="0"/>
          <w:bCs/>
          <w:sz w:val="24"/>
          <w:szCs w:val="16"/>
          <w:lang w:val="en-US" w:eastAsia="zh-CN"/>
        </w:rPr>
      </w:pPr>
      <w:bookmarkStart w:id="15" w:name="_Toc27452"/>
      <w:r>
        <w:rPr>
          <w:rFonts w:hint="eastAsia" w:ascii="Times New Roman" w:hAnsi="Times New Roman" w:eastAsia="黑体" w:cs="黑体"/>
          <w:b w:val="0"/>
          <w:bCs/>
          <w:sz w:val="24"/>
          <w:szCs w:val="16"/>
          <w:lang w:val="en-US" w:eastAsia="zh-CN"/>
        </w:rPr>
        <w:br w:type="page"/>
      </w:r>
    </w:p>
    <w:p w14:paraId="72468BDC">
      <w:pPr>
        <w:pStyle w:val="3"/>
        <w:keepNext/>
        <w:keepLines w:val="0"/>
        <w:pageBreakBefore w:val="0"/>
        <w:widowControl/>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val="0"/>
        <w:pageBreakBefore w:val="0"/>
        <w:widowControl/>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68404169"/>
      <w:bookmarkStart w:id="17" w:name="_Toc1307"/>
    </w:p>
    <w:p w14:paraId="0E166E1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sz w:val="21"/>
          <w:szCs w:val="21"/>
        </w:rPr>
        <w:drawing>
          <wp:anchor distT="0" distB="0" distL="114300" distR="114300" simplePos="0" relativeHeight="251661312" behindDoc="0" locked="0" layoutInCell="1" allowOverlap="1">
            <wp:simplePos x="0" y="0"/>
            <wp:positionH relativeFrom="margin">
              <wp:posOffset>0</wp:posOffset>
            </wp:positionH>
            <wp:positionV relativeFrom="paragraph">
              <wp:posOffset>76200</wp:posOffset>
            </wp:positionV>
            <wp:extent cx="5577205" cy="1605915"/>
            <wp:effectExtent l="0" t="0" r="635" b="9525"/>
            <wp:wrapTopAndBottom/>
            <wp:docPr id="7" name="图片 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1"/>
                    <pic:cNvPicPr>
                      <a:picLocks noChangeAspect="1"/>
                    </pic:cNvPicPr>
                  </pic:nvPicPr>
                  <pic:blipFill>
                    <a:blip r:embed="rId10"/>
                    <a:stretch>
                      <a:fillRect/>
                    </a:stretch>
                  </pic:blipFill>
                  <pic:spPr>
                    <a:xfrm>
                      <a:off x="0" y="0"/>
                      <a:ext cx="5577205" cy="1605915"/>
                    </a:xfrm>
                    <a:prstGeom prst="rect">
                      <a:avLst/>
                    </a:prstGeom>
                  </pic:spPr>
                </pic:pic>
              </a:graphicData>
            </a:graphic>
          </wp:anchor>
        </w:drawing>
      </w: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破碎并添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 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cs="宋体"/>
          <w:b w:val="0"/>
          <w:color w:val="000000" w:themeColor="text1"/>
          <w:sz w:val="24"/>
          <w:szCs w:val="24"/>
          <w:vertAlign w:val="superscript"/>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6780"/>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2915</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2900</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2886</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2842</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2930</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879</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3971"/>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keepNext w:val="0"/>
        <w:keepLines w:val="0"/>
        <w:pageBreakBefore w:val="0"/>
        <w:widowControl w:val="0"/>
        <w:kinsoku/>
        <w:wordWrap/>
        <w:overflowPunct/>
        <w:topLinePunct w:val="0"/>
        <w:autoSpaceDE/>
        <w:autoSpaceDN/>
        <w:bidi w:val="0"/>
        <w:adjustRightInd/>
        <w:snapToGrid/>
        <w:spacing w:line="360" w:lineRule="exact"/>
        <w:ind w:firstLine="480" w:firstLineChars="200"/>
        <w:textAlignment w:val="auto"/>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0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479"/>
        <w:gridCol w:w="126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 w:hRule="atLeast"/>
          <w:jc w:val="center"/>
        </w:trPr>
        <w:tc>
          <w:tcPr>
            <w:tcW w:w="1657" w:type="dxa"/>
            <w:tcBorders>
              <w:top w:val="single" w:color="auto" w:sz="12" w:space="0"/>
              <w:bottom w:val="single" w:color="auto" w:sz="4" w:space="0"/>
            </w:tcBorders>
            <w:vAlign w:val="center"/>
          </w:tcPr>
          <w:p w14:paraId="7CC212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设备名称</w:t>
            </w:r>
          </w:p>
        </w:tc>
        <w:tc>
          <w:tcPr>
            <w:tcW w:w="1479" w:type="dxa"/>
            <w:tcBorders>
              <w:top w:val="single" w:color="auto" w:sz="12" w:space="0"/>
              <w:bottom w:val="single" w:color="auto" w:sz="4" w:space="0"/>
            </w:tcBorders>
            <w:vAlign w:val="center"/>
          </w:tcPr>
          <w:p w14:paraId="3C40706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仪器型号</w:t>
            </w:r>
          </w:p>
        </w:tc>
        <w:tc>
          <w:tcPr>
            <w:tcW w:w="1263" w:type="dxa"/>
            <w:tcBorders>
              <w:top w:val="single" w:color="auto" w:sz="12" w:space="0"/>
              <w:bottom w:val="single" w:color="auto" w:sz="4" w:space="0"/>
            </w:tcBorders>
            <w:vAlign w:val="center"/>
          </w:tcPr>
          <w:p w14:paraId="0F2556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功</w:t>
            </w:r>
            <w:r>
              <w:rPr>
                <w:rFonts w:hint="eastAsia"/>
                <w:sz w:val="21"/>
                <w:szCs w:val="21"/>
                <w:lang w:val="en-US" w:eastAsia="zh-CN"/>
              </w:rPr>
              <w:t>率</w:t>
            </w:r>
            <w:r>
              <w:rPr>
                <w:sz w:val="21"/>
                <w:szCs w:val="21"/>
              </w:rPr>
              <w:t>(</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6D30E41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szCs w:val="21"/>
                <w:lang w:eastAsia="zh-CN"/>
              </w:rPr>
            </w:pPr>
            <w:r>
              <w:rPr>
                <w:rFonts w:hint="eastAsia"/>
                <w:sz w:val="21"/>
                <w:szCs w:val="21"/>
              </w:rPr>
              <w:t>产量</w:t>
            </w:r>
            <w:r>
              <w:rPr>
                <w:rFonts w:hint="eastAsia"/>
                <w:sz w:val="21"/>
                <w:szCs w:val="21"/>
                <w:lang w:val="en-US" w:eastAsia="zh-CN"/>
              </w:rPr>
              <w:t>(</w:t>
            </w:r>
            <w:r>
              <w:rPr>
                <w:rFonts w:hint="eastAsia"/>
                <w:sz w:val="21"/>
                <w:szCs w:val="21"/>
              </w:rPr>
              <w:t>t/h</w:t>
            </w:r>
            <w:r>
              <w:rPr>
                <w:rFonts w:hint="eastAsia"/>
                <w:sz w:val="21"/>
                <w:szCs w:val="21"/>
                <w:lang w:val="en-US" w:eastAsia="zh-CN"/>
              </w:rPr>
              <w:t>)</w:t>
            </w:r>
          </w:p>
        </w:tc>
        <w:tc>
          <w:tcPr>
            <w:tcW w:w="1074" w:type="dxa"/>
            <w:tcBorders>
              <w:top w:val="single" w:color="auto" w:sz="12" w:space="0"/>
              <w:bottom w:val="single" w:color="auto" w:sz="4" w:space="0"/>
            </w:tcBorders>
            <w:vAlign w:val="center"/>
          </w:tcPr>
          <w:p w14:paraId="07AC25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65D3431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color w:val="C00000"/>
                <w:sz w:val="21"/>
                <w:szCs w:val="21"/>
              </w:rPr>
            </w:pPr>
            <w:r>
              <w:rPr>
                <w:rFonts w:hint="eastAsia"/>
                <w:sz w:val="21"/>
                <w:szCs w:val="21"/>
              </w:rPr>
              <w:t>单价(万)</w:t>
            </w:r>
          </w:p>
        </w:tc>
        <w:tc>
          <w:tcPr>
            <w:tcW w:w="1145" w:type="dxa"/>
            <w:tcBorders>
              <w:top w:val="single" w:color="auto" w:sz="12" w:space="0"/>
              <w:bottom w:val="single" w:color="auto" w:sz="4" w:space="0"/>
            </w:tcBorders>
            <w:vAlign w:val="center"/>
          </w:tcPr>
          <w:p w14:paraId="47D7563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color w:val="C00000"/>
                <w:sz w:val="21"/>
                <w:szCs w:val="21"/>
              </w:rPr>
            </w:pPr>
            <w:r>
              <w:rPr>
                <w:rFonts w:hint="eastAsia"/>
                <w:sz w:val="21"/>
                <w:szCs w:val="21"/>
              </w:rPr>
              <w:t>总价(万)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bottom w:val="nil"/>
              <w:right w:val="nil"/>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479" w:type="dxa"/>
            <w:tcBorders>
              <w:top w:val="single" w:color="auto" w:sz="4" w:space="0"/>
              <w:left w:val="nil"/>
              <w:bottom w:val="nil"/>
              <w:right w:val="nil"/>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263" w:type="dxa"/>
            <w:tcBorders>
              <w:top w:val="single" w:color="auto" w:sz="4" w:space="0"/>
              <w:left w:val="nil"/>
              <w:bottom w:val="nil"/>
              <w:right w:val="nil"/>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left w:val="nil"/>
              <w:bottom w:val="nil"/>
              <w:right w:val="nil"/>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left w:val="nil"/>
              <w:bottom w:val="nil"/>
              <w:right w:val="nil"/>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left w:val="nil"/>
              <w:bottom w:val="nil"/>
              <w:right w:val="nil"/>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left w:val="nil"/>
              <w:bottom w:val="nil"/>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4B999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nil"/>
              <w:bottom w:val="nil"/>
              <w:right w:val="nil"/>
            </w:tcBorders>
            <w:vAlign w:val="center"/>
          </w:tcPr>
          <w:p w14:paraId="3486080E">
            <w:pPr>
              <w:spacing w:line="400" w:lineRule="exact"/>
              <w:jc w:val="center"/>
              <w:rPr>
                <w:rFonts w:hint="default"/>
                <w:color w:val="000000"/>
                <w:sz w:val="21"/>
                <w:szCs w:val="21"/>
                <w:lang w:val="en-US" w:eastAsia="zh-CN"/>
              </w:rPr>
            </w:pPr>
            <w:r>
              <w:rPr>
                <w:rFonts w:hint="eastAsia"/>
                <w:color w:val="000000"/>
                <w:sz w:val="21"/>
                <w:szCs w:val="21"/>
                <w:lang w:val="en-US" w:eastAsia="zh-CN"/>
              </w:rPr>
              <w:t>离心净乳机</w:t>
            </w:r>
          </w:p>
        </w:tc>
        <w:tc>
          <w:tcPr>
            <w:tcW w:w="1479" w:type="dxa"/>
            <w:tcBorders>
              <w:top w:val="nil"/>
              <w:left w:val="nil"/>
              <w:bottom w:val="nil"/>
              <w:right w:val="nil"/>
            </w:tcBorders>
            <w:vAlign w:val="center"/>
          </w:tcPr>
          <w:p w14:paraId="0872AD77">
            <w:pPr>
              <w:spacing w:line="400" w:lineRule="exact"/>
              <w:jc w:val="center"/>
              <w:rPr>
                <w:rFonts w:hint="default"/>
                <w:color w:val="000000"/>
                <w:sz w:val="21"/>
                <w:szCs w:val="21"/>
                <w:lang w:val="en-US" w:eastAsia="zh-CN"/>
              </w:rPr>
            </w:pPr>
            <w:r>
              <w:rPr>
                <w:rFonts w:hint="eastAsia"/>
                <w:color w:val="000000"/>
                <w:sz w:val="21"/>
                <w:szCs w:val="21"/>
                <w:lang w:val="en-US" w:eastAsia="zh-CN"/>
              </w:rPr>
              <w:t>MRJ-5000</w:t>
            </w:r>
          </w:p>
        </w:tc>
        <w:tc>
          <w:tcPr>
            <w:tcW w:w="1263" w:type="dxa"/>
            <w:tcBorders>
              <w:top w:val="nil"/>
              <w:left w:val="nil"/>
              <w:bottom w:val="nil"/>
              <w:right w:val="nil"/>
            </w:tcBorders>
            <w:vAlign w:val="center"/>
          </w:tcPr>
          <w:p w14:paraId="5D499EA5">
            <w:pPr>
              <w:spacing w:line="400" w:lineRule="exact"/>
              <w:jc w:val="center"/>
              <w:rPr>
                <w:rFonts w:hint="default"/>
                <w:color w:val="000000"/>
                <w:sz w:val="21"/>
                <w:szCs w:val="21"/>
                <w:lang w:val="en-US" w:eastAsia="zh-CN"/>
              </w:rPr>
            </w:pPr>
            <w:r>
              <w:rPr>
                <w:rFonts w:hint="eastAsia"/>
                <w:color w:val="000000"/>
                <w:sz w:val="21"/>
                <w:szCs w:val="21"/>
                <w:lang w:val="en-US" w:eastAsia="zh-CN"/>
              </w:rPr>
              <w:t>11.0</w:t>
            </w:r>
          </w:p>
        </w:tc>
        <w:tc>
          <w:tcPr>
            <w:tcW w:w="1243" w:type="dxa"/>
            <w:tcBorders>
              <w:top w:val="nil"/>
              <w:left w:val="nil"/>
              <w:bottom w:val="nil"/>
              <w:right w:val="nil"/>
            </w:tcBorders>
            <w:vAlign w:val="center"/>
          </w:tcPr>
          <w:p w14:paraId="30F08E73">
            <w:pPr>
              <w:spacing w:line="400" w:lineRule="exact"/>
              <w:jc w:val="center"/>
              <w:rPr>
                <w:rFonts w:hint="default"/>
                <w:color w:val="000000"/>
                <w:sz w:val="21"/>
                <w:szCs w:val="21"/>
                <w:lang w:val="en-US" w:eastAsia="zh-CN"/>
              </w:rPr>
            </w:pPr>
            <w:r>
              <w:rPr>
                <w:rFonts w:hint="eastAsia"/>
                <w:color w:val="000000"/>
                <w:sz w:val="21"/>
                <w:szCs w:val="21"/>
                <w:lang w:val="en-US" w:eastAsia="zh-CN"/>
              </w:rPr>
              <w:t>5t/h</w:t>
            </w:r>
          </w:p>
        </w:tc>
        <w:tc>
          <w:tcPr>
            <w:tcW w:w="1074" w:type="dxa"/>
            <w:tcBorders>
              <w:top w:val="nil"/>
              <w:left w:val="nil"/>
              <w:bottom w:val="nil"/>
              <w:right w:val="nil"/>
            </w:tcBorders>
            <w:vAlign w:val="center"/>
          </w:tcPr>
          <w:p w14:paraId="728A8B52">
            <w:pPr>
              <w:spacing w:line="400" w:lineRule="exact"/>
              <w:jc w:val="center"/>
              <w:rPr>
                <w:rFonts w:hint="default"/>
                <w:color w:val="000000"/>
                <w:sz w:val="21"/>
                <w:szCs w:val="21"/>
                <w:lang w:val="en-US" w:eastAsia="zh-CN"/>
              </w:rPr>
            </w:pPr>
            <w:r>
              <w:rPr>
                <w:rFonts w:hint="eastAsia"/>
                <w:color w:val="000000"/>
                <w:sz w:val="21"/>
                <w:szCs w:val="21"/>
                <w:lang w:val="en-US" w:eastAsia="zh-CN"/>
              </w:rPr>
              <w:t>1</w:t>
            </w:r>
          </w:p>
        </w:tc>
        <w:tc>
          <w:tcPr>
            <w:tcW w:w="1143" w:type="dxa"/>
            <w:tcBorders>
              <w:top w:val="nil"/>
              <w:left w:val="nil"/>
              <w:bottom w:val="nil"/>
              <w:right w:val="nil"/>
            </w:tcBorders>
            <w:vAlign w:val="center"/>
          </w:tcPr>
          <w:p w14:paraId="06C48F4A">
            <w:pPr>
              <w:spacing w:line="400" w:lineRule="exact"/>
              <w:jc w:val="center"/>
              <w:rPr>
                <w:rFonts w:hint="default"/>
                <w:color w:val="000000"/>
                <w:sz w:val="21"/>
                <w:szCs w:val="21"/>
                <w:lang w:val="en-US" w:eastAsia="zh-CN"/>
              </w:rPr>
            </w:pPr>
            <w:r>
              <w:rPr>
                <w:rFonts w:hint="eastAsia"/>
                <w:color w:val="000000"/>
                <w:sz w:val="21"/>
                <w:szCs w:val="21"/>
                <w:lang w:val="en-US" w:eastAsia="zh-CN"/>
              </w:rPr>
              <w:t>8.0</w:t>
            </w:r>
          </w:p>
        </w:tc>
        <w:tc>
          <w:tcPr>
            <w:tcW w:w="1145" w:type="dxa"/>
            <w:tcBorders>
              <w:top w:val="nil"/>
              <w:left w:val="nil"/>
              <w:bottom w:val="nil"/>
            </w:tcBorders>
            <w:vAlign w:val="center"/>
          </w:tcPr>
          <w:p w14:paraId="6A1FF838">
            <w:pPr>
              <w:spacing w:line="400" w:lineRule="exact"/>
              <w:jc w:val="center"/>
              <w:rPr>
                <w:rFonts w:hint="default"/>
                <w:color w:val="000000"/>
                <w:sz w:val="21"/>
                <w:szCs w:val="21"/>
                <w:lang w:val="en-US" w:eastAsia="zh-CN"/>
              </w:rPr>
            </w:pPr>
            <w:r>
              <w:rPr>
                <w:rFonts w:hint="eastAsia"/>
                <w:color w:val="000000"/>
                <w:sz w:val="21"/>
                <w:szCs w:val="21"/>
                <w:lang w:val="en-US" w:eastAsia="zh-CN"/>
              </w:rPr>
              <w:t>8.0</w:t>
            </w:r>
          </w:p>
        </w:tc>
      </w:tr>
      <w:tr w14:paraId="0E8F5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nil"/>
            </w:tcBorders>
            <w:vAlign w:val="center"/>
          </w:tcPr>
          <w:p w14:paraId="3F57B587">
            <w:pPr>
              <w:spacing w:line="400" w:lineRule="exact"/>
              <w:jc w:val="center"/>
              <w:rPr>
                <w:rFonts w:hint="default"/>
                <w:color w:val="000000"/>
                <w:sz w:val="21"/>
                <w:szCs w:val="21"/>
                <w:lang w:val="en-US" w:eastAsia="zh-CN"/>
              </w:rPr>
            </w:pPr>
            <w:r>
              <w:rPr>
                <w:rFonts w:hint="eastAsia"/>
                <w:color w:val="000000"/>
                <w:sz w:val="21"/>
                <w:szCs w:val="21"/>
                <w:lang w:val="en-US" w:eastAsia="zh-CN"/>
              </w:rPr>
              <w:t>标准化配料罐</w:t>
            </w:r>
          </w:p>
        </w:tc>
        <w:tc>
          <w:tcPr>
            <w:tcW w:w="1479" w:type="dxa"/>
            <w:tcBorders>
              <w:top w:val="nil"/>
            </w:tcBorders>
            <w:vAlign w:val="center"/>
          </w:tcPr>
          <w:p w14:paraId="359D75D9">
            <w:pPr>
              <w:spacing w:line="400" w:lineRule="exact"/>
              <w:jc w:val="center"/>
              <w:rPr>
                <w:rFonts w:hint="default"/>
                <w:color w:val="000000"/>
                <w:sz w:val="21"/>
                <w:szCs w:val="21"/>
                <w:lang w:val="en-US" w:eastAsia="zh-CN"/>
              </w:rPr>
            </w:pPr>
            <w:r>
              <w:rPr>
                <w:rFonts w:hint="eastAsia"/>
                <w:color w:val="000000"/>
                <w:sz w:val="21"/>
                <w:szCs w:val="21"/>
                <w:lang w:val="en-US" w:eastAsia="zh-CN"/>
              </w:rPr>
              <w:t>BZP-3</w:t>
            </w:r>
          </w:p>
        </w:tc>
        <w:tc>
          <w:tcPr>
            <w:tcW w:w="1263" w:type="dxa"/>
            <w:tcBorders>
              <w:top w:val="nil"/>
            </w:tcBorders>
            <w:vAlign w:val="center"/>
          </w:tcPr>
          <w:p w14:paraId="19A93872">
            <w:pPr>
              <w:spacing w:line="400" w:lineRule="exact"/>
              <w:jc w:val="center"/>
              <w:rPr>
                <w:rFonts w:hint="default"/>
                <w:color w:val="000000"/>
                <w:sz w:val="21"/>
                <w:szCs w:val="21"/>
                <w:lang w:val="en-US" w:eastAsia="zh-CN"/>
              </w:rPr>
            </w:pPr>
            <w:r>
              <w:rPr>
                <w:rFonts w:hint="eastAsia"/>
                <w:color w:val="000000"/>
                <w:sz w:val="21"/>
                <w:szCs w:val="21"/>
                <w:lang w:val="en-US" w:eastAsia="zh-CN"/>
              </w:rPr>
              <w:t>3.0</w:t>
            </w:r>
          </w:p>
        </w:tc>
        <w:tc>
          <w:tcPr>
            <w:tcW w:w="1243" w:type="dxa"/>
            <w:tcBorders>
              <w:top w:val="nil"/>
            </w:tcBorders>
            <w:vAlign w:val="center"/>
          </w:tcPr>
          <w:p w14:paraId="437288DF">
            <w:pPr>
              <w:spacing w:line="400" w:lineRule="exact"/>
              <w:jc w:val="center"/>
              <w:rPr>
                <w:rFonts w:hint="default"/>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tcBorders>
              <w:top w:val="nil"/>
            </w:tcBorders>
            <w:vAlign w:val="center"/>
          </w:tcPr>
          <w:p w14:paraId="58117CBF">
            <w:pPr>
              <w:spacing w:line="400" w:lineRule="exact"/>
              <w:jc w:val="center"/>
              <w:rPr>
                <w:rFonts w:hint="default"/>
                <w:color w:val="000000"/>
                <w:sz w:val="21"/>
                <w:szCs w:val="21"/>
                <w:lang w:val="en-US" w:eastAsia="zh-CN"/>
              </w:rPr>
            </w:pPr>
            <w:r>
              <w:rPr>
                <w:rFonts w:hint="eastAsia"/>
                <w:color w:val="000000"/>
                <w:sz w:val="21"/>
                <w:szCs w:val="21"/>
                <w:lang w:val="en-US" w:eastAsia="zh-CN"/>
              </w:rPr>
              <w:t>1</w:t>
            </w:r>
          </w:p>
        </w:tc>
        <w:tc>
          <w:tcPr>
            <w:tcW w:w="1143" w:type="dxa"/>
            <w:tcBorders>
              <w:top w:val="nil"/>
            </w:tcBorders>
            <w:vAlign w:val="center"/>
          </w:tcPr>
          <w:p w14:paraId="0C7683C8">
            <w:pPr>
              <w:spacing w:line="400" w:lineRule="exact"/>
              <w:jc w:val="center"/>
              <w:rPr>
                <w:rFonts w:hint="default"/>
                <w:color w:val="000000"/>
                <w:sz w:val="21"/>
                <w:szCs w:val="21"/>
                <w:lang w:val="en-US" w:eastAsia="zh-CN"/>
              </w:rPr>
            </w:pPr>
            <w:r>
              <w:rPr>
                <w:rFonts w:hint="eastAsia"/>
                <w:color w:val="000000"/>
                <w:sz w:val="21"/>
                <w:szCs w:val="21"/>
                <w:lang w:val="en-US" w:eastAsia="zh-CN"/>
              </w:rPr>
              <w:t>6.5</w:t>
            </w:r>
          </w:p>
        </w:tc>
        <w:tc>
          <w:tcPr>
            <w:tcW w:w="1145" w:type="dxa"/>
            <w:tcBorders>
              <w:top w:val="nil"/>
            </w:tcBorders>
            <w:vAlign w:val="center"/>
          </w:tcPr>
          <w:p w14:paraId="778D0219">
            <w:pPr>
              <w:spacing w:line="400" w:lineRule="exact"/>
              <w:jc w:val="center"/>
              <w:rPr>
                <w:rFonts w:hint="default"/>
                <w:color w:val="000000"/>
                <w:sz w:val="21"/>
                <w:szCs w:val="21"/>
                <w:lang w:val="en-US" w:eastAsia="zh-CN"/>
              </w:rPr>
            </w:pPr>
            <w:r>
              <w:rPr>
                <w:rFonts w:hint="eastAsia"/>
                <w:color w:val="000000"/>
                <w:sz w:val="21"/>
                <w:szCs w:val="21"/>
                <w:lang w:val="en-US" w:eastAsia="zh-CN"/>
              </w:rPr>
              <w:t>6.5</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47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26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47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26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47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26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47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26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44D40A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5AE934D">
            <w:pPr>
              <w:spacing w:line="400" w:lineRule="exact"/>
              <w:jc w:val="center"/>
              <w:rPr>
                <w:rFonts w:hint="default"/>
                <w:color w:val="000000"/>
                <w:sz w:val="21"/>
                <w:szCs w:val="21"/>
                <w:lang w:val="en-US" w:eastAsia="zh-CN"/>
              </w:rPr>
            </w:pPr>
            <w:r>
              <w:rPr>
                <w:rFonts w:hint="eastAsia"/>
                <w:color w:val="000000"/>
                <w:sz w:val="21"/>
                <w:szCs w:val="21"/>
                <w:lang w:val="en-US" w:eastAsia="zh-CN"/>
              </w:rPr>
              <w:t>带式提升机</w:t>
            </w:r>
          </w:p>
        </w:tc>
        <w:tc>
          <w:tcPr>
            <w:tcW w:w="1479" w:type="dxa"/>
            <w:vAlign w:val="center"/>
          </w:tcPr>
          <w:p w14:paraId="05F1F6EE">
            <w:pPr>
              <w:spacing w:line="400" w:lineRule="exact"/>
              <w:jc w:val="center"/>
              <w:rPr>
                <w:rFonts w:hint="default"/>
                <w:color w:val="000000"/>
                <w:sz w:val="21"/>
                <w:szCs w:val="21"/>
                <w:lang w:val="en-US" w:eastAsia="zh-CN"/>
              </w:rPr>
            </w:pPr>
            <w:r>
              <w:rPr>
                <w:rFonts w:hint="eastAsia"/>
                <w:color w:val="000000"/>
                <w:sz w:val="21"/>
                <w:szCs w:val="21"/>
                <w:lang w:val="en-US" w:eastAsia="zh-CN"/>
              </w:rPr>
              <w:t>DT-500</w:t>
            </w:r>
          </w:p>
        </w:tc>
        <w:tc>
          <w:tcPr>
            <w:tcW w:w="1263" w:type="dxa"/>
            <w:vAlign w:val="center"/>
          </w:tcPr>
          <w:p w14:paraId="4860E407">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1243" w:type="dxa"/>
            <w:vAlign w:val="center"/>
          </w:tcPr>
          <w:p w14:paraId="2396A268">
            <w:pPr>
              <w:spacing w:line="400" w:lineRule="exact"/>
              <w:jc w:val="center"/>
              <w:rPr>
                <w:rFonts w:hint="default"/>
                <w:color w:val="000000"/>
                <w:sz w:val="21"/>
                <w:szCs w:val="21"/>
                <w:lang w:val="en-US" w:eastAsia="zh-CN"/>
              </w:rPr>
            </w:pPr>
            <w:r>
              <w:rPr>
                <w:rFonts w:hint="eastAsia"/>
                <w:color w:val="000000"/>
                <w:sz w:val="21"/>
                <w:szCs w:val="21"/>
                <w:lang w:val="en-US" w:eastAsia="zh-CN"/>
              </w:rPr>
              <w:t>1t/h</w:t>
            </w:r>
          </w:p>
        </w:tc>
        <w:tc>
          <w:tcPr>
            <w:tcW w:w="1074" w:type="dxa"/>
            <w:vAlign w:val="center"/>
          </w:tcPr>
          <w:p w14:paraId="44211304">
            <w:pPr>
              <w:spacing w:line="400" w:lineRule="exact"/>
              <w:jc w:val="center"/>
              <w:rPr>
                <w:rFonts w:hint="default"/>
                <w:color w:val="000000"/>
                <w:sz w:val="21"/>
                <w:szCs w:val="21"/>
                <w:lang w:val="en-US" w:eastAsia="zh-CN"/>
              </w:rPr>
            </w:pPr>
            <w:r>
              <w:rPr>
                <w:rFonts w:hint="eastAsia"/>
                <w:color w:val="000000"/>
                <w:sz w:val="21"/>
                <w:szCs w:val="21"/>
                <w:lang w:val="en-US" w:eastAsia="zh-CN"/>
              </w:rPr>
              <w:t>1</w:t>
            </w:r>
          </w:p>
        </w:tc>
        <w:tc>
          <w:tcPr>
            <w:tcW w:w="1143" w:type="dxa"/>
            <w:vAlign w:val="center"/>
          </w:tcPr>
          <w:p w14:paraId="27590CC9">
            <w:pPr>
              <w:spacing w:line="400" w:lineRule="exact"/>
              <w:jc w:val="center"/>
              <w:rPr>
                <w:rFonts w:hint="default"/>
                <w:color w:val="000000"/>
                <w:sz w:val="21"/>
                <w:szCs w:val="21"/>
                <w:lang w:val="en-US" w:eastAsia="zh-CN"/>
              </w:rPr>
            </w:pPr>
            <w:r>
              <w:rPr>
                <w:rFonts w:hint="eastAsia"/>
                <w:color w:val="000000"/>
                <w:sz w:val="21"/>
                <w:szCs w:val="21"/>
                <w:lang w:val="en-US" w:eastAsia="zh-CN"/>
              </w:rPr>
              <w:t>2.5</w:t>
            </w:r>
          </w:p>
        </w:tc>
        <w:tc>
          <w:tcPr>
            <w:tcW w:w="1145" w:type="dxa"/>
            <w:vAlign w:val="center"/>
          </w:tcPr>
          <w:p w14:paraId="7E104A66">
            <w:pPr>
              <w:spacing w:line="400" w:lineRule="exact"/>
              <w:jc w:val="center"/>
              <w:rPr>
                <w:rFonts w:hint="default"/>
                <w:color w:val="000000"/>
                <w:sz w:val="21"/>
                <w:szCs w:val="21"/>
                <w:lang w:val="en-US" w:eastAsia="zh-CN"/>
              </w:rPr>
            </w:pPr>
            <w:r>
              <w:rPr>
                <w:rFonts w:hint="eastAsia"/>
                <w:color w:val="000000"/>
                <w:sz w:val="21"/>
                <w:szCs w:val="21"/>
                <w:lang w:val="en-US" w:eastAsia="zh-CN"/>
              </w:rPr>
              <w:t>2.5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破碎机</w:t>
            </w:r>
          </w:p>
        </w:tc>
        <w:tc>
          <w:tcPr>
            <w:tcW w:w="147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26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47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26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47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26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459E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6AD9A970">
            <w:pPr>
              <w:spacing w:line="400" w:lineRule="exact"/>
              <w:jc w:val="center"/>
              <w:rPr>
                <w:rFonts w:hint="eastAsia"/>
                <w:sz w:val="21"/>
                <w:szCs w:val="16"/>
                <w:lang w:val="en-US" w:eastAsia="zh-CN"/>
              </w:rPr>
            </w:pPr>
            <w:r>
              <w:rPr>
                <w:rFonts w:hint="eastAsia"/>
                <w:color w:val="000000"/>
                <w:sz w:val="21"/>
                <w:szCs w:val="21"/>
                <w:lang w:val="en-US" w:eastAsia="zh-CN"/>
              </w:rPr>
              <w:t>全自动捆箱机</w:t>
            </w:r>
          </w:p>
        </w:tc>
        <w:tc>
          <w:tcPr>
            <w:tcW w:w="1479" w:type="dxa"/>
            <w:vAlign w:val="center"/>
          </w:tcPr>
          <w:p w14:paraId="7DB72801">
            <w:pPr>
              <w:spacing w:line="400" w:lineRule="exact"/>
              <w:jc w:val="center"/>
              <w:rPr>
                <w:rFonts w:hint="eastAsia"/>
                <w:color w:val="000000"/>
                <w:sz w:val="21"/>
                <w:szCs w:val="21"/>
                <w:lang w:val="en-US" w:eastAsia="zh-CN"/>
              </w:rPr>
            </w:pPr>
            <w:r>
              <w:rPr>
                <w:rFonts w:hint="eastAsia"/>
                <w:color w:val="000000"/>
                <w:sz w:val="21"/>
                <w:szCs w:val="21"/>
                <w:lang w:val="en-US" w:eastAsia="zh-CN"/>
              </w:rPr>
              <w:t>KX-2000</w:t>
            </w:r>
          </w:p>
        </w:tc>
        <w:tc>
          <w:tcPr>
            <w:tcW w:w="1263" w:type="dxa"/>
            <w:vAlign w:val="center"/>
          </w:tcPr>
          <w:p w14:paraId="7F3D8E33">
            <w:pPr>
              <w:spacing w:line="400" w:lineRule="exact"/>
              <w:jc w:val="center"/>
              <w:rPr>
                <w:rFonts w:hint="eastAsia"/>
                <w:color w:val="000000"/>
                <w:sz w:val="21"/>
                <w:szCs w:val="21"/>
                <w:lang w:val="en-US" w:eastAsia="zh-CN"/>
              </w:rPr>
            </w:pPr>
            <w:r>
              <w:rPr>
                <w:rFonts w:hint="eastAsia"/>
                <w:color w:val="000000"/>
                <w:sz w:val="21"/>
                <w:szCs w:val="21"/>
                <w:lang w:val="en-US" w:eastAsia="zh-CN"/>
              </w:rPr>
              <w:t>2.5</w:t>
            </w:r>
          </w:p>
        </w:tc>
        <w:tc>
          <w:tcPr>
            <w:tcW w:w="1243" w:type="dxa"/>
            <w:vAlign w:val="center"/>
          </w:tcPr>
          <w:p w14:paraId="0BB6914D">
            <w:pPr>
              <w:spacing w:line="400" w:lineRule="exact"/>
              <w:jc w:val="center"/>
              <w:rPr>
                <w:rFonts w:hint="eastAsia"/>
                <w:color w:val="000000"/>
                <w:sz w:val="21"/>
                <w:szCs w:val="21"/>
                <w:lang w:val="en-US" w:eastAsia="zh-CN"/>
              </w:rPr>
            </w:pPr>
            <w:r>
              <w:rPr>
                <w:rFonts w:hint="eastAsia"/>
                <w:color w:val="000000"/>
                <w:sz w:val="21"/>
                <w:szCs w:val="21"/>
                <w:lang w:val="en-US" w:eastAsia="zh-CN"/>
              </w:rPr>
              <w:t>1200箱/h</w:t>
            </w:r>
          </w:p>
        </w:tc>
        <w:tc>
          <w:tcPr>
            <w:tcW w:w="1074" w:type="dxa"/>
            <w:vAlign w:val="center"/>
          </w:tcPr>
          <w:p w14:paraId="20A412D5">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480F8C9E">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c>
          <w:tcPr>
            <w:tcW w:w="1145" w:type="dxa"/>
            <w:vAlign w:val="center"/>
          </w:tcPr>
          <w:p w14:paraId="0C35059F">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r>
      <w:tr w14:paraId="59A2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E4CDCE1">
            <w:pPr>
              <w:spacing w:line="400" w:lineRule="exact"/>
              <w:jc w:val="center"/>
              <w:rPr>
                <w:rFonts w:hint="eastAsia"/>
                <w:sz w:val="21"/>
                <w:szCs w:val="16"/>
                <w:lang w:val="en-US" w:eastAsia="zh-CN"/>
              </w:rPr>
            </w:pPr>
            <w:r>
              <w:rPr>
                <w:rFonts w:hint="eastAsia"/>
                <w:color w:val="000000"/>
                <w:sz w:val="21"/>
                <w:szCs w:val="21"/>
                <w:lang w:val="en-US" w:eastAsia="zh-CN"/>
              </w:rPr>
              <w:t>旋盖封盖机</w:t>
            </w:r>
          </w:p>
        </w:tc>
        <w:tc>
          <w:tcPr>
            <w:tcW w:w="1479" w:type="dxa"/>
            <w:vAlign w:val="center"/>
          </w:tcPr>
          <w:p w14:paraId="146ED499">
            <w:pPr>
              <w:spacing w:line="400" w:lineRule="exact"/>
              <w:jc w:val="center"/>
              <w:rPr>
                <w:rFonts w:hint="eastAsia"/>
                <w:color w:val="000000"/>
                <w:sz w:val="21"/>
                <w:szCs w:val="21"/>
                <w:lang w:val="en-US" w:eastAsia="zh-CN"/>
              </w:rPr>
            </w:pPr>
            <w:r>
              <w:rPr>
                <w:rFonts w:hint="eastAsia"/>
                <w:sz w:val="21"/>
                <w:lang w:val="en-US" w:eastAsia="zh-CN"/>
              </w:rPr>
              <w:t>XG-250A</w:t>
            </w:r>
          </w:p>
        </w:tc>
        <w:tc>
          <w:tcPr>
            <w:tcW w:w="1263" w:type="dxa"/>
            <w:vAlign w:val="center"/>
          </w:tcPr>
          <w:p w14:paraId="74E82EB9">
            <w:pPr>
              <w:spacing w:line="400" w:lineRule="exact"/>
              <w:jc w:val="center"/>
              <w:rPr>
                <w:rFonts w:hint="eastAsia"/>
                <w:color w:val="000000"/>
                <w:sz w:val="21"/>
                <w:szCs w:val="21"/>
                <w:lang w:val="en-US" w:eastAsia="zh-CN"/>
              </w:rPr>
            </w:pPr>
            <w:r>
              <w:rPr>
                <w:rFonts w:hint="eastAsia"/>
                <w:color w:val="000000"/>
                <w:sz w:val="21"/>
                <w:szCs w:val="21"/>
                <w:lang w:val="en-US" w:eastAsia="zh-CN"/>
              </w:rPr>
              <w:t>1.5</w:t>
            </w:r>
          </w:p>
        </w:tc>
        <w:tc>
          <w:tcPr>
            <w:tcW w:w="1243" w:type="dxa"/>
            <w:vAlign w:val="center"/>
          </w:tcPr>
          <w:p w14:paraId="1AABD03F">
            <w:pPr>
              <w:spacing w:line="400" w:lineRule="exact"/>
              <w:jc w:val="center"/>
              <w:rPr>
                <w:rFonts w:hint="eastAsia"/>
                <w:color w:val="000000"/>
                <w:sz w:val="21"/>
                <w:szCs w:val="21"/>
                <w:lang w:val="en-US" w:eastAsia="zh-CN"/>
              </w:rPr>
            </w:pPr>
            <w:r>
              <w:rPr>
                <w:rFonts w:hint="eastAsia"/>
                <w:color w:val="000000"/>
                <w:sz w:val="21"/>
                <w:szCs w:val="21"/>
                <w:lang w:val="en-US" w:eastAsia="zh-CN"/>
              </w:rPr>
              <w:t>2500瓶/h</w:t>
            </w:r>
          </w:p>
        </w:tc>
        <w:tc>
          <w:tcPr>
            <w:tcW w:w="1074" w:type="dxa"/>
            <w:vAlign w:val="center"/>
          </w:tcPr>
          <w:p w14:paraId="74737EAD">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5E500DAD">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c>
          <w:tcPr>
            <w:tcW w:w="1145" w:type="dxa"/>
            <w:vAlign w:val="center"/>
          </w:tcPr>
          <w:p w14:paraId="09F10C7A">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47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26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47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26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47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26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168404171"/>
            <w:bookmarkStart w:id="23" w:name="_Toc855"/>
            <w:r>
              <w:rPr>
                <w:rFonts w:hint="eastAsia"/>
                <w:color w:val="000000"/>
                <w:sz w:val="21"/>
                <w:szCs w:val="21"/>
                <w:lang w:val="en-US" w:eastAsia="zh-CN"/>
              </w:rPr>
              <w:t>合计</w:t>
            </w:r>
          </w:p>
        </w:tc>
        <w:tc>
          <w:tcPr>
            <w:tcW w:w="147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26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19</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148.65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16455"/>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36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36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07094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B9554CA">
            <w:pPr>
              <w:spacing w:line="400" w:lineRule="exact"/>
              <w:jc w:val="center"/>
              <w:rPr>
                <w:sz w:val="21"/>
                <w:szCs w:val="21"/>
              </w:rPr>
            </w:pPr>
            <w:r>
              <w:rPr>
                <w:rFonts w:hint="eastAsia"/>
                <w:sz w:val="21"/>
                <w:szCs w:val="21"/>
              </w:rPr>
              <w:t>生产用电</w:t>
            </w:r>
          </w:p>
        </w:tc>
        <w:tc>
          <w:tcPr>
            <w:tcW w:w="1232" w:type="pct"/>
            <w:tcBorders>
              <w:top w:val="single" w:color="auto" w:sz="4" w:space="0"/>
              <w:bottom w:val="nil"/>
            </w:tcBorders>
            <w:vAlign w:val="center"/>
          </w:tcPr>
          <w:p w14:paraId="1DF2AEBF">
            <w:pPr>
              <w:spacing w:line="400" w:lineRule="exact"/>
              <w:jc w:val="center"/>
              <w:rPr>
                <w:rFonts w:hint="default"/>
                <w:color w:val="000000"/>
                <w:sz w:val="21"/>
                <w:szCs w:val="21"/>
                <w:lang w:val="en-US" w:eastAsia="zh-CN"/>
              </w:rPr>
            </w:pPr>
            <w:r>
              <w:rPr>
                <w:rFonts w:hint="eastAsia"/>
                <w:color w:val="000000"/>
                <w:sz w:val="21"/>
                <w:szCs w:val="21"/>
                <w:lang w:val="en-US" w:eastAsia="zh-CN"/>
              </w:rPr>
              <w:t>离心净乳机</w:t>
            </w:r>
          </w:p>
        </w:tc>
        <w:tc>
          <w:tcPr>
            <w:tcW w:w="612" w:type="pct"/>
            <w:tcBorders>
              <w:top w:val="single" w:color="auto" w:sz="4" w:space="0"/>
              <w:bottom w:val="nil"/>
            </w:tcBorders>
            <w:vAlign w:val="center"/>
          </w:tcPr>
          <w:p w14:paraId="55FA477A">
            <w:pPr>
              <w:spacing w:line="400" w:lineRule="exact"/>
              <w:jc w:val="center"/>
              <w:rPr>
                <w:rFonts w:hint="default"/>
                <w:sz w:val="21"/>
                <w:szCs w:val="21"/>
                <w:lang w:val="en-US" w:eastAsia="zh-CN"/>
              </w:rPr>
            </w:pPr>
            <w:r>
              <w:rPr>
                <w:rFonts w:hint="eastAsia"/>
                <w:sz w:val="21"/>
                <w:szCs w:val="21"/>
                <w:lang w:val="en-US" w:eastAsia="zh-CN"/>
              </w:rPr>
              <w:t>11.0</w:t>
            </w:r>
          </w:p>
        </w:tc>
        <w:tc>
          <w:tcPr>
            <w:tcW w:w="531" w:type="pct"/>
            <w:tcBorders>
              <w:top w:val="single" w:color="auto" w:sz="4" w:space="0"/>
              <w:bottom w:val="nil"/>
            </w:tcBorders>
            <w:vAlign w:val="center"/>
          </w:tcPr>
          <w:p w14:paraId="416BC471">
            <w:pPr>
              <w:spacing w:line="400" w:lineRule="exact"/>
              <w:jc w:val="center"/>
              <w:rPr>
                <w:rFonts w:hint="default"/>
                <w:sz w:val="21"/>
                <w:szCs w:val="21"/>
                <w:lang w:val="en-US" w:eastAsia="zh-CN"/>
              </w:rPr>
            </w:pPr>
            <w:r>
              <w:rPr>
                <w:rFonts w:hint="eastAsia"/>
                <w:sz w:val="21"/>
                <w:szCs w:val="21"/>
                <w:lang w:val="en-US" w:eastAsia="zh-CN"/>
              </w:rPr>
              <w:t>1</w:t>
            </w:r>
          </w:p>
        </w:tc>
        <w:tc>
          <w:tcPr>
            <w:tcW w:w="991" w:type="pct"/>
            <w:tcBorders>
              <w:top w:val="single" w:color="auto" w:sz="4" w:space="0"/>
              <w:bottom w:val="nil"/>
            </w:tcBorders>
            <w:vAlign w:val="center"/>
          </w:tcPr>
          <w:p w14:paraId="101BC44D">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1.5</w:t>
            </w:r>
          </w:p>
        </w:tc>
        <w:tc>
          <w:tcPr>
            <w:tcW w:w="991" w:type="pct"/>
            <w:tcBorders>
              <w:top w:val="single" w:color="auto" w:sz="4" w:space="0"/>
              <w:bottom w:val="nil"/>
            </w:tcBorders>
            <w:vAlign w:val="center"/>
          </w:tcPr>
          <w:p w14:paraId="6A367891">
            <w:pPr>
              <w:spacing w:line="400" w:lineRule="exact"/>
              <w:jc w:val="center"/>
              <w:rPr>
                <w:rFonts w:hint="default"/>
                <w:sz w:val="21"/>
                <w:szCs w:val="21"/>
                <w:lang w:val="en-US" w:eastAsia="zh-CN"/>
              </w:rPr>
            </w:pPr>
            <w:r>
              <w:rPr>
                <w:rFonts w:hint="eastAsia"/>
                <w:sz w:val="21"/>
                <w:szCs w:val="21"/>
                <w:lang w:val="en-US" w:eastAsia="zh-CN"/>
              </w:rPr>
              <w:t>4950</w:t>
            </w:r>
          </w:p>
        </w:tc>
      </w:tr>
      <w:tr w14:paraId="7C18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continue"/>
            <w:vAlign w:val="center"/>
          </w:tcPr>
          <w:p w14:paraId="30619A2F">
            <w:pPr>
              <w:spacing w:line="400" w:lineRule="exact"/>
              <w:jc w:val="center"/>
              <w:rPr>
                <w:rFonts w:hint="eastAsia"/>
                <w:sz w:val="21"/>
                <w:szCs w:val="21"/>
              </w:rPr>
            </w:pPr>
          </w:p>
        </w:tc>
        <w:tc>
          <w:tcPr>
            <w:tcW w:w="1232" w:type="pct"/>
            <w:tcBorders>
              <w:top w:val="nil"/>
              <w:bottom w:val="nil"/>
            </w:tcBorders>
            <w:vAlign w:val="center"/>
          </w:tcPr>
          <w:p w14:paraId="3E06FF8D">
            <w:pPr>
              <w:spacing w:line="400" w:lineRule="exact"/>
              <w:jc w:val="center"/>
              <w:rPr>
                <w:rFonts w:hint="default"/>
                <w:color w:val="000000"/>
                <w:sz w:val="21"/>
                <w:szCs w:val="21"/>
                <w:lang w:val="en-US" w:eastAsia="zh-CN"/>
              </w:rPr>
            </w:pPr>
            <w:r>
              <w:rPr>
                <w:rFonts w:hint="eastAsia"/>
                <w:color w:val="000000"/>
                <w:sz w:val="21"/>
                <w:szCs w:val="21"/>
                <w:lang w:val="en-US" w:eastAsia="zh-CN"/>
              </w:rPr>
              <w:t>标准化配料罐</w:t>
            </w:r>
          </w:p>
        </w:tc>
        <w:tc>
          <w:tcPr>
            <w:tcW w:w="612" w:type="pct"/>
            <w:tcBorders>
              <w:top w:val="nil"/>
              <w:bottom w:val="nil"/>
            </w:tcBorders>
            <w:vAlign w:val="center"/>
          </w:tcPr>
          <w:p w14:paraId="09A92029">
            <w:pPr>
              <w:spacing w:line="400" w:lineRule="exact"/>
              <w:jc w:val="center"/>
              <w:rPr>
                <w:rFonts w:hint="default"/>
                <w:sz w:val="21"/>
                <w:szCs w:val="21"/>
                <w:lang w:val="en-US" w:eastAsia="zh-CN"/>
              </w:rPr>
            </w:pPr>
            <w:r>
              <w:rPr>
                <w:rFonts w:hint="eastAsia"/>
                <w:sz w:val="21"/>
                <w:szCs w:val="21"/>
                <w:lang w:val="en-US" w:eastAsia="zh-CN"/>
              </w:rPr>
              <w:t>3.0</w:t>
            </w:r>
          </w:p>
        </w:tc>
        <w:tc>
          <w:tcPr>
            <w:tcW w:w="531" w:type="pct"/>
            <w:tcBorders>
              <w:top w:val="nil"/>
              <w:bottom w:val="nil"/>
            </w:tcBorders>
            <w:vAlign w:val="center"/>
          </w:tcPr>
          <w:p w14:paraId="185E6C9B">
            <w:pPr>
              <w:spacing w:line="400" w:lineRule="exact"/>
              <w:jc w:val="center"/>
              <w:rPr>
                <w:rFonts w:hint="default"/>
                <w:sz w:val="21"/>
                <w:szCs w:val="21"/>
                <w:lang w:val="en-US" w:eastAsia="zh-CN"/>
              </w:rPr>
            </w:pPr>
            <w:r>
              <w:rPr>
                <w:rFonts w:hint="eastAsia"/>
                <w:sz w:val="21"/>
                <w:szCs w:val="21"/>
                <w:lang w:val="en-US" w:eastAsia="zh-CN"/>
              </w:rPr>
              <w:t>1</w:t>
            </w:r>
          </w:p>
        </w:tc>
        <w:tc>
          <w:tcPr>
            <w:tcW w:w="991" w:type="pct"/>
            <w:tcBorders>
              <w:top w:val="nil"/>
              <w:bottom w:val="nil"/>
            </w:tcBorders>
            <w:vAlign w:val="center"/>
          </w:tcPr>
          <w:p w14:paraId="0169D63C">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2</w:t>
            </w:r>
          </w:p>
        </w:tc>
        <w:tc>
          <w:tcPr>
            <w:tcW w:w="991" w:type="pct"/>
            <w:tcBorders>
              <w:top w:val="nil"/>
              <w:bottom w:val="nil"/>
            </w:tcBorders>
            <w:vAlign w:val="center"/>
          </w:tcPr>
          <w:p w14:paraId="6571F1A9">
            <w:pPr>
              <w:spacing w:line="400" w:lineRule="exact"/>
              <w:jc w:val="center"/>
              <w:rPr>
                <w:rFonts w:hint="default"/>
                <w:sz w:val="21"/>
                <w:szCs w:val="21"/>
                <w:lang w:val="en-US" w:eastAsia="zh-CN"/>
              </w:rPr>
            </w:pPr>
            <w:r>
              <w:rPr>
                <w:rFonts w:hint="eastAsia"/>
                <w:sz w:val="21"/>
                <w:szCs w:val="21"/>
                <w:lang w:val="en-US" w:eastAsia="zh-CN"/>
              </w:rPr>
              <w:t>1800</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continue"/>
            <w:vAlign w:val="center"/>
          </w:tcPr>
          <w:p w14:paraId="5FA8B810">
            <w:pPr>
              <w:spacing w:line="400" w:lineRule="exact"/>
              <w:jc w:val="center"/>
              <w:rPr>
                <w:sz w:val="21"/>
                <w:szCs w:val="21"/>
              </w:rPr>
            </w:pPr>
          </w:p>
        </w:tc>
        <w:tc>
          <w:tcPr>
            <w:tcW w:w="1232" w:type="pct"/>
            <w:tcBorders>
              <w:top w:val="nil"/>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nil"/>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nil"/>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nil"/>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nil"/>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507C1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9B74F9F">
            <w:pPr>
              <w:spacing w:line="400" w:lineRule="exact"/>
              <w:ind w:firstLine="420"/>
              <w:jc w:val="center"/>
              <w:rPr>
                <w:sz w:val="21"/>
                <w:szCs w:val="21"/>
              </w:rPr>
            </w:pPr>
          </w:p>
        </w:tc>
        <w:tc>
          <w:tcPr>
            <w:tcW w:w="1232" w:type="pct"/>
            <w:vAlign w:val="center"/>
          </w:tcPr>
          <w:p w14:paraId="46079303">
            <w:pPr>
              <w:spacing w:line="400" w:lineRule="exact"/>
              <w:jc w:val="center"/>
              <w:rPr>
                <w:rFonts w:hint="default"/>
                <w:sz w:val="21"/>
                <w:szCs w:val="21"/>
                <w:lang w:val="en-US" w:eastAsia="zh-CN"/>
              </w:rPr>
            </w:pPr>
            <w:r>
              <w:rPr>
                <w:rFonts w:hint="eastAsia"/>
                <w:sz w:val="21"/>
                <w:szCs w:val="21"/>
                <w:lang w:val="en-US" w:eastAsia="zh-CN"/>
              </w:rPr>
              <w:t>带式提升机</w:t>
            </w:r>
          </w:p>
        </w:tc>
        <w:tc>
          <w:tcPr>
            <w:tcW w:w="612" w:type="pct"/>
            <w:vAlign w:val="center"/>
          </w:tcPr>
          <w:p w14:paraId="0BE09B36">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E502EC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510E6B41">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7EFE3162">
            <w:pPr>
              <w:spacing w:line="400" w:lineRule="exact"/>
              <w:jc w:val="center"/>
              <w:rPr>
                <w:rFonts w:hint="default"/>
                <w:sz w:val="21"/>
                <w:szCs w:val="21"/>
                <w:lang w:val="en-US" w:eastAsia="zh-CN"/>
              </w:rPr>
            </w:pPr>
            <w:r>
              <w:rPr>
                <w:rFonts w:hint="eastAsia"/>
                <w:sz w:val="21"/>
                <w:szCs w:val="21"/>
                <w:lang w:val="en-US" w:eastAsia="zh-CN"/>
              </w:rPr>
              <w:t>450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CC6DDFF">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破碎机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24D3F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1877B00">
            <w:pPr>
              <w:spacing w:line="400" w:lineRule="exact"/>
              <w:ind w:firstLine="420"/>
              <w:jc w:val="center"/>
              <w:rPr>
                <w:sz w:val="21"/>
                <w:szCs w:val="21"/>
              </w:rPr>
            </w:pPr>
          </w:p>
        </w:tc>
        <w:tc>
          <w:tcPr>
            <w:tcW w:w="1232" w:type="pct"/>
            <w:vAlign w:val="center"/>
          </w:tcPr>
          <w:p w14:paraId="181ACB0C">
            <w:pPr>
              <w:spacing w:line="400" w:lineRule="exact"/>
              <w:jc w:val="center"/>
              <w:rPr>
                <w:rFonts w:hint="default"/>
                <w:sz w:val="21"/>
                <w:szCs w:val="21"/>
                <w:lang w:val="en-US" w:eastAsia="zh-CN"/>
              </w:rPr>
            </w:pPr>
            <w:r>
              <w:rPr>
                <w:rFonts w:hint="eastAsia"/>
                <w:sz w:val="21"/>
                <w:szCs w:val="21"/>
                <w:lang w:val="en-US" w:eastAsia="zh-CN"/>
              </w:rPr>
              <w:t>全自动捆箱机</w:t>
            </w:r>
          </w:p>
        </w:tc>
        <w:tc>
          <w:tcPr>
            <w:tcW w:w="612" w:type="pct"/>
            <w:vAlign w:val="center"/>
          </w:tcPr>
          <w:p w14:paraId="1C319241">
            <w:pPr>
              <w:spacing w:line="400" w:lineRule="exact"/>
              <w:jc w:val="center"/>
              <w:rPr>
                <w:rFonts w:hint="default"/>
                <w:sz w:val="21"/>
                <w:szCs w:val="21"/>
                <w:lang w:val="en-US" w:eastAsia="zh-CN"/>
              </w:rPr>
            </w:pPr>
            <w:r>
              <w:rPr>
                <w:rFonts w:hint="eastAsia"/>
                <w:sz w:val="21"/>
                <w:szCs w:val="21"/>
                <w:lang w:val="en-US" w:eastAsia="zh-CN"/>
              </w:rPr>
              <w:t>2.5</w:t>
            </w:r>
          </w:p>
        </w:tc>
        <w:tc>
          <w:tcPr>
            <w:tcW w:w="531" w:type="pct"/>
            <w:vAlign w:val="center"/>
          </w:tcPr>
          <w:p w14:paraId="4335F203">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0345438F">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73DC6DE6">
            <w:pPr>
              <w:spacing w:line="400" w:lineRule="exact"/>
              <w:jc w:val="center"/>
              <w:rPr>
                <w:rFonts w:hint="default"/>
                <w:sz w:val="21"/>
                <w:szCs w:val="21"/>
                <w:lang w:val="en-US" w:eastAsia="zh-CN"/>
              </w:rPr>
            </w:pPr>
            <w:r>
              <w:rPr>
                <w:rFonts w:hint="eastAsia"/>
                <w:sz w:val="21"/>
                <w:szCs w:val="21"/>
                <w:lang w:val="en-US" w:eastAsia="zh-CN"/>
              </w:rPr>
              <w:t>5250</w:t>
            </w:r>
          </w:p>
        </w:tc>
      </w:tr>
      <w:tr w14:paraId="17199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748765A">
            <w:pPr>
              <w:spacing w:line="400" w:lineRule="exact"/>
              <w:ind w:firstLine="420"/>
              <w:jc w:val="center"/>
              <w:rPr>
                <w:sz w:val="21"/>
                <w:szCs w:val="21"/>
              </w:rPr>
            </w:pPr>
          </w:p>
        </w:tc>
        <w:tc>
          <w:tcPr>
            <w:tcW w:w="1232" w:type="pct"/>
            <w:vAlign w:val="center"/>
          </w:tcPr>
          <w:p w14:paraId="53FD96AC">
            <w:pPr>
              <w:spacing w:line="400" w:lineRule="exact"/>
              <w:jc w:val="center"/>
              <w:rPr>
                <w:rFonts w:hint="default"/>
                <w:sz w:val="21"/>
                <w:szCs w:val="21"/>
                <w:lang w:val="en-US" w:eastAsia="zh-CN"/>
              </w:rPr>
            </w:pPr>
            <w:r>
              <w:rPr>
                <w:rFonts w:hint="eastAsia"/>
                <w:sz w:val="21"/>
                <w:szCs w:val="21"/>
                <w:lang w:val="en-US" w:eastAsia="zh-CN"/>
              </w:rPr>
              <w:t>旋盖封盖机</w:t>
            </w:r>
          </w:p>
        </w:tc>
        <w:tc>
          <w:tcPr>
            <w:tcW w:w="612" w:type="pct"/>
            <w:vAlign w:val="center"/>
          </w:tcPr>
          <w:p w14:paraId="3F7A4575">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418C3F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62F5630C">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20887A7A">
            <w:pPr>
              <w:spacing w:line="400" w:lineRule="exact"/>
              <w:jc w:val="center"/>
              <w:rPr>
                <w:rFonts w:hint="default"/>
                <w:sz w:val="21"/>
                <w:szCs w:val="21"/>
                <w:lang w:val="en-US" w:eastAsia="zh-CN"/>
              </w:rPr>
            </w:pPr>
            <w:r>
              <w:rPr>
                <w:rFonts w:hint="eastAsia"/>
                <w:sz w:val="21"/>
                <w:szCs w:val="21"/>
                <w:lang w:val="en-US" w:eastAsia="zh-CN"/>
              </w:rPr>
              <w:t>3150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3C115FD">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19</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125550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735D3625">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A7C39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其中r代表蒸汽汽化潜热，此处取值2113kJ/kg；</w:t>
      </w:r>
    </w:p>
    <w:p w14:paraId="708F39EC">
      <w:pPr>
        <w:keepNext/>
        <w:keepLines w:val="0"/>
        <w:pageBreakBefore w:val="0"/>
        <w:widowControl w:val="0"/>
        <w:numPr>
          <w:ilvl w:val="0"/>
          <w:numId w:val="2"/>
        </w:numPr>
        <w:kinsoku/>
        <w:wordWrap/>
        <w:overflowPunct/>
        <w:topLinePunct w:val="0"/>
        <w:autoSpaceDE/>
        <w:autoSpaceDN/>
        <w:bidi w:val="0"/>
        <w:adjustRightInd/>
        <w:snapToGrid/>
        <w:spacing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3004"/>
            <w:bookmarkStart w:id="26" w:name="_Toc168404172"/>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vAlign w:val="center"/>
          </w:tcPr>
          <w:p w14:paraId="1CC4027E">
            <w:pPr>
              <w:widowControl/>
              <w:jc w:val="center"/>
              <w:rPr>
                <w:rFonts w:hint="default" w:eastAsia="宋体"/>
                <w:color w:val="000000"/>
                <w:sz w:val="21"/>
                <w:szCs w:val="21"/>
                <w:lang w:val="en-US" w:eastAsia="zh-CN"/>
              </w:rPr>
            </w:pPr>
            <w:r>
              <w:rPr>
                <w:rFonts w:hint="eastAsia"/>
                <w:color w:val="000000"/>
                <w:sz w:val="21"/>
                <w:szCs w:val="21"/>
                <w:lang w:val="en-US" w:eastAsia="zh-CN"/>
              </w:rPr>
              <w:t>3</w:t>
            </w: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3018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68404173"/>
      <w:bookmarkStart w:id="29" w:name="_Toc12242"/>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蓝莓解冻（或鲜果分选）、清洗、破碎</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0" w:name="_Toc168404174"/>
            <w:bookmarkStart w:id="31" w:name="_Toc8437"/>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both"/>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2" w:name="_Toc22264"/>
      <w:r>
        <w:rPr>
          <w:rFonts w:hint="eastAsia" w:ascii="Times New Roman" w:hAnsi="Times New Roman" w:eastAsia="黑体" w:cs="黑体"/>
          <w:b w:val="0"/>
          <w:bCs w:val="0"/>
          <w:sz w:val="24"/>
          <w:szCs w:val="24"/>
          <w:lang w:val="en-US" w:eastAsia="zh-CN"/>
        </w:rPr>
        <w:t>3 非工艺设计</w:t>
      </w:r>
      <w:bookmarkEnd w:id="30"/>
      <w:bookmarkEnd w:id="31"/>
      <w:bookmarkEnd w:id="32"/>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3" w:name="_Toc13771"/>
      <w:bookmarkStart w:id="34" w:name="_Toc168404175"/>
      <w:bookmarkStart w:id="35" w:name="_Toc24802"/>
      <w:r>
        <w:rPr>
          <w:rFonts w:hint="eastAsia" w:ascii="Times New Roman" w:hAnsi="Times New Roman" w:eastAsia="黑体" w:cs="黑体"/>
          <w:b w:val="0"/>
          <w:bCs/>
          <w:sz w:val="24"/>
          <w:szCs w:val="16"/>
          <w:lang w:val="en-US" w:eastAsia="zh-CN"/>
        </w:rPr>
        <w:t>3.1 门窗、地面</w:t>
      </w:r>
      <w:r>
        <w:rPr>
          <w:rFonts w:hint="eastAsia" w:ascii="Times New Roman" w:hAnsi="Times New Roman" w:cs="黑体"/>
          <w:b w:val="0"/>
          <w:bCs/>
          <w:sz w:val="24"/>
          <w:szCs w:val="16"/>
          <w:lang w:val="en-US" w:eastAsia="zh-CN"/>
        </w:rPr>
        <w:t>及</w:t>
      </w:r>
      <w:r>
        <w:rPr>
          <w:rFonts w:hint="eastAsia" w:ascii="Times New Roman" w:hAnsi="Times New Roman" w:eastAsia="黑体" w:cs="黑体"/>
          <w:b w:val="0"/>
          <w:bCs/>
          <w:sz w:val="24"/>
          <w:szCs w:val="16"/>
          <w:lang w:val="en-US" w:eastAsia="zh-CN"/>
        </w:rPr>
        <w:t>墙面</w:t>
      </w:r>
      <w:bookmarkEnd w:id="33"/>
      <w:bookmarkEnd w:id="34"/>
      <w:bookmarkEnd w:id="35"/>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6" w:name="_Toc32057"/>
      <w:bookmarkStart w:id="37" w:name="_Toc168404176"/>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bookmarkStart w:id="38" w:name="_Toc25330"/>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6"/>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定时检验空气微生物的含量，装设空气净化设备并强化通风｡各功能区域分开设置，配备专门的废物收集容器，废弃物存放处与生产区保持距离，定时进行无害化处置，避免交叉污染</w:t>
      </w:r>
      <w:r>
        <w:rPr>
          <w:rFonts w:hint="eastAsia" w:cs="Times New Roman"/>
          <w:b w:val="0"/>
          <w:sz w:val="24"/>
          <w:lang w:val="en-US" w:eastAsia="zh-CN" w:bidi="ar-SA"/>
        </w:rPr>
        <w:t>。</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168404177"/>
      <w:bookmarkStart w:id="40" w:name="_Toc6413"/>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8371"/>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9060"/>
      <w:bookmarkStart w:id="43" w:name="_Toc168404178"/>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bookmarkStart w:id="44" w:name="_Toc14593"/>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9259"/>
      <w:bookmarkStart w:id="46" w:name="_Toc3673"/>
      <w:bookmarkStart w:id="47" w:name="_Toc168404179"/>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bookmarkStart w:id="50" w:name="_Toc3121"/>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168404181"/>
      <w:bookmarkStart w:id="52" w:name="_Toc14390"/>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bookmarkStart w:id="53" w:name="_Toc25856"/>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23431"/>
      <w:bookmarkStart w:id="55" w:name="_Toc16286"/>
      <w:bookmarkStart w:id="56" w:name="_Toc168404182"/>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2930</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16115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蓝莓鲜果</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蔗糖（8%）</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稳定剂（0.2%）</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发酵剂（3%）</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34895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34895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10468500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一年的总包材成本为264.52万元。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125550k</w:t>
            </w:r>
            <w:r>
              <w:rPr>
                <w:sz w:val="21"/>
              </w:rPr>
              <w:t>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7.78</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15.485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一年的总水电汽成本为15.485万元。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生产设备投资为148.65万元，折旧年限10年，年折旧额为148.65÷10=14.865万元；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年维修费用=（建筑年折旧+设备年折旧）×8%=（16.128+14.865）×0.08=4.47944万元；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合计年折旧费用与维修费用=16.128+14.865+2.47944=33.47244万元；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31126"/>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vAlign w:val="center"/>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vAlign w:val="center"/>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1046.85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vAlign w:val="center"/>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vAlign w:val="center"/>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vAlign w:val="center"/>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15.485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vAlign w:val="center"/>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vAlign w:val="center"/>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33.47</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vAlign w:val="center"/>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vAlign w:val="center"/>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vAlign w:val="center"/>
          </w:tcPr>
          <w:p w14:paraId="2740EAA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1547.945</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由表17可知生产1000吨蓝莓酸奶的年总成本为1547.945万元。每瓶蓝莓酸奶重量为0.25kg，则理论年产量为1000000kg÷0.25kg=4</w:t>
      </w:r>
      <w:r>
        <w:rPr>
          <w:rFonts w:hint="default" w:ascii="Times New Roman" w:hAnsi="Times New Roman" w:cs="Times New Roman"/>
          <w:lang w:val="en-US" w:eastAsia="zh-CN"/>
        </w:rPr>
        <w:t>×</w:t>
      </w:r>
      <w:r>
        <w:rPr>
          <w:rFonts w:hint="eastAsia" w:cs="Times New Roman"/>
          <w:lang w:val="en-US" w:eastAsia="zh-CN"/>
        </w:rPr>
        <w:t>10</w:t>
      </w:r>
      <w:r>
        <w:rPr>
          <w:rFonts w:hint="eastAsia" w:cs="Times New Roman"/>
          <w:vertAlign w:val="superscript"/>
          <w:lang w:val="en-US" w:eastAsia="zh-CN"/>
        </w:rPr>
        <w:t>6</w:t>
      </w:r>
      <w:r>
        <w:rPr>
          <w:rFonts w:hint="eastAsia" w:cs="Times New Roman"/>
          <w:lang w:val="en-US" w:eastAsia="zh-CN"/>
        </w:rPr>
        <w:t>瓶。平均每瓶酸奶的成本为1547.945万元÷400万瓶≈3.9元/瓶，出厂价定为5元/瓶，年利润为（5-3.9）元×400万瓶=440万元，回本周期为1547.12万元÷440万元≈3.52年。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7251"/>
      <w:bookmarkStart w:id="61" w:name="_Toc17246"/>
      <w:bookmarkStart w:id="62" w:name="_Toc168404185"/>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148.65万元，年总成本为1547.945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168404186"/>
      <w:bookmarkStart w:id="64" w:name="_Toc16206"/>
      <w:bookmarkStart w:id="65" w:name="_Toc30428"/>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王海波,</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邓金玲,</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杜相宇,</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王玲玲.</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我国蓝莓产业绿色发展路径探索[J].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中国果树,</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王兴东,</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刘有春,</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蓝莓产业现状及技术发展趋势分析与展望[J].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北方园艺,</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2024,</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崔冬冬,</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朱东姿.</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世界及中国蓝莓产业现状[J].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落叶果树,</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李亚男,</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王颖,</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全球蓝莓贸易趋势与市场动态分析[J].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中国果树,</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2025,</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(07):124-130.</w:t>
      </w:r>
      <w:bookmarkEnd w:id="73"/>
    </w:p>
    <w:bookmarkEnd w:id="74"/>
    <w:p w14:paraId="65314AC2">
      <w:pPr>
        <w:keepNext w:val="0"/>
        <w:keepLines w:val="0"/>
        <w:pageBreakBefore w:val="0"/>
        <w:widowControl w:val="0"/>
        <w:numPr>
          <w:ilvl w:val="0"/>
          <w:numId w:val="3"/>
        </w:numPr>
        <w:kinsoku w:val="0"/>
        <w:wordWrap w:val="0"/>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Zuyan H,</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Laping H, et al.</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2022,</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8(10):489-489.</w:t>
      </w:r>
      <w:bookmarkEnd w:id="75"/>
    </w:p>
    <w:bookmarkEnd w:id="76"/>
    <w:p w14:paraId="22697357">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985"/>
      <w:bookmarkStart w:id="78" w:name="_Ref27835"/>
      <w:r>
        <w:rPr>
          <w:rFonts w:hint="default" w:ascii="Times New Roman" w:hAnsi="Times New Roman" w:cs="Times New Roman"/>
          <w:sz w:val="21"/>
          <w:szCs w:val="16"/>
          <w:lang w:val="en-US" w:eastAsia="zh-CN"/>
        </w:rPr>
        <w:t>桂亚,</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唐果,</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马栎,</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发酵乳中风味物质研究进展[J].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现代食品,</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2023,</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29(18):29-31.</w:t>
      </w:r>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r>
        <w:rPr>
          <w:rFonts w:hint="default" w:ascii="Times New Roman" w:hAnsi="Times New Roman" w:cs="Times New Roman"/>
          <w:sz w:val="21"/>
          <w:szCs w:val="16"/>
          <w:lang w:val="en-US" w:eastAsia="zh-CN"/>
        </w:rPr>
        <w:t>李斌,</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谢旭,</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孙希云,</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国内外蓝莓加工技术与功能性成分研究进展[J].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食品科学技术学报,</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2019,</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37(05):16-22.</w:t>
      </w:r>
      <w:bookmarkEnd w:id="77"/>
    </w:p>
    <w:bookmarkEnd w:id="78"/>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9" w:name="_Ref7582"/>
      <w:bookmarkStart w:id="80" w:name="_Ref5240"/>
      <w:r>
        <w:rPr>
          <w:rFonts w:hint="default" w:ascii="Times New Roman" w:hAnsi="Times New Roman" w:cs="Times New Roman"/>
          <w:sz w:val="21"/>
          <w:szCs w:val="16"/>
          <w:lang w:val="en-US" w:eastAsia="zh-CN"/>
        </w:rPr>
        <w:t>李金华.</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蓝莓的营养保健功能及其开发利用[J].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新农业,</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2019,</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(15):38-39.</w:t>
      </w:r>
      <w:bookmarkEnd w:id="79"/>
    </w:p>
    <w:bookmarkEnd w:id="80"/>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1" w:name="_Ref26107"/>
      <w:bookmarkStart w:id="82" w:name="_Ref27913"/>
      <w:r>
        <w:rPr>
          <w:rFonts w:hint="default" w:ascii="Times New Roman" w:hAnsi="Times New Roman" w:cs="Times New Roman"/>
          <w:sz w:val="21"/>
          <w:szCs w:val="16"/>
          <w:lang w:val="en-US" w:eastAsia="zh-CN"/>
        </w:rPr>
        <w:t>周继芬,</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兰武,</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王军,</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蓝莓营养及独特保健功能研究[J].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北方园艺,</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2020,</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(21):138-145.</w:t>
      </w:r>
      <w:bookmarkEnd w:id="81"/>
    </w:p>
    <w:bookmarkEnd w:id="82"/>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3" w:name="_Ref563"/>
      <w:bookmarkStart w:id="84" w:name="_Ref27978"/>
      <w:r>
        <w:rPr>
          <w:rFonts w:hint="default" w:ascii="Times New Roman" w:hAnsi="Times New Roman" w:cs="Times New Roman"/>
          <w:sz w:val="21"/>
          <w:szCs w:val="16"/>
          <w:lang w:val="en-US" w:eastAsia="zh-CN"/>
        </w:rPr>
        <w:t>刘军波,</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邹礼根,</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赵芸.</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蓝莓花青素加工特性及功能活性研究进展[J].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饮料工业,</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2017,</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20(06):56-60.</w:t>
      </w:r>
      <w:bookmarkEnd w:id="83"/>
    </w:p>
    <w:bookmarkEnd w:id="84"/>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5" w:name="_Ref1147"/>
      <w:bookmarkStart w:id="86" w:name="_Ref28037"/>
      <w:r>
        <w:rPr>
          <w:rFonts w:hint="default" w:ascii="Times New Roman" w:hAnsi="Times New Roman" w:cs="Times New Roman"/>
          <w:sz w:val="21"/>
          <w:szCs w:val="16"/>
          <w:lang w:val="en-US" w:eastAsia="zh-CN"/>
        </w:rPr>
        <w:t>许文静.</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蓝莓花青素的提取、纯化与特性研究及其在食品工业中的应用[D].</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四川大学,</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2023.</w:t>
      </w:r>
      <w:bookmarkEnd w:id="85"/>
    </w:p>
    <w:bookmarkEnd w:id="86"/>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7" w:name="_Ref2271"/>
      <w:bookmarkStart w:id="88" w:name="_Ref28249"/>
      <w:r>
        <w:rPr>
          <w:rFonts w:hint="default" w:ascii="Times New Roman" w:hAnsi="Times New Roman" w:cs="Times New Roman"/>
          <w:sz w:val="21"/>
          <w:szCs w:val="16"/>
          <w:lang w:val="en-US" w:eastAsia="zh-CN"/>
        </w:rPr>
        <w:t>潘美华,</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程哲灏.</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蓝莓的营养成分及其保健功能的研究进展[J].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食品安全导刊,</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2022,</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(22):107-109.</w:t>
      </w:r>
      <w:bookmarkEnd w:id="87"/>
    </w:p>
    <w:bookmarkEnd w:id="88"/>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9" w:name="_Ref2277"/>
      <w:bookmarkStart w:id="90" w:name="_Ref28331"/>
      <w:r>
        <w:rPr>
          <w:rFonts w:hint="default" w:ascii="Times New Roman" w:hAnsi="Times New Roman" w:cs="Times New Roman"/>
          <w:sz w:val="21"/>
          <w:szCs w:val="16"/>
          <w:lang w:val="en-US" w:eastAsia="zh-CN"/>
        </w:rPr>
        <w:t>姚佳宇,</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李志坚.</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蓝莓花青素在眼科疾病的研究进展[J].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国际眼科杂志,</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2016,</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16(12):2234-2236.</w:t>
      </w:r>
      <w:bookmarkEnd w:id="89"/>
    </w:p>
    <w:bookmarkEnd w:id="90"/>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1" w:name="_Ref2280"/>
      <w:bookmarkStart w:id="92" w:name="_Ref5723"/>
      <w:r>
        <w:rPr>
          <w:rFonts w:hint="default" w:ascii="Times New Roman" w:hAnsi="Times New Roman" w:cs="Times New Roman"/>
          <w:sz w:val="21"/>
          <w:szCs w:val="16"/>
          <w:lang w:val="en-US" w:eastAsia="zh-CN"/>
        </w:rPr>
        <w:t>姜洞彬.</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蓝莓花青素对高侵袭性人肝癌LM3细胞株的抑制及组蛋白乙酰化修饰水平的研究[D].</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贵州医科大学,</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2023.</w:t>
      </w:r>
      <w:bookmarkEnd w:id="91"/>
    </w:p>
    <w:bookmarkEnd w:id="92"/>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3" w:name="_Ref28403"/>
      <w:r>
        <w:rPr>
          <w:rFonts w:hint="default" w:ascii="Times New Roman" w:hAnsi="Times New Roman" w:cs="Times New Roman"/>
          <w:sz w:val="21"/>
          <w:szCs w:val="16"/>
          <w:lang w:val="en-US" w:eastAsia="zh-CN"/>
        </w:rPr>
        <w:t>成堃,</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马延新,</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王小霞,</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蓝莓枸杞风味酸奶的研制[J].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中国酿造,</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2018,37(01):185-189.</w:t>
      </w:r>
      <w:bookmarkEnd w:id="93"/>
      <w:bookmarkStart w:id="94" w:name="_Ref13426"/>
      <w:bookmarkStart w:id="95" w:name="_Ref28452"/>
      <w:bookmarkStart w:id="96"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7" w:name="_Ref7062"/>
      <w:r>
        <w:rPr>
          <w:rFonts w:hint="default" w:ascii="Times New Roman" w:hAnsi="Times New Roman" w:cs="Times New Roman"/>
          <w:sz w:val="21"/>
          <w:szCs w:val="16"/>
          <w:lang w:val="en-US" w:eastAsia="zh-CN"/>
        </w:rPr>
        <w:t>张军,</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张冬雪,</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刘玉峰,</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蓝莓山羊酸奶的研制[J].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中国酿造,</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2015,</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34(11):171-174.</w:t>
      </w:r>
      <w:bookmarkEnd w:id="94"/>
      <w:bookmarkEnd w:id="97"/>
    </w:p>
    <w:bookmarkEnd w:id="95"/>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14856"/>
      <w:bookmarkStart w:id="99" w:name="_Ref5890"/>
      <w:r>
        <w:rPr>
          <w:rFonts w:hint="default" w:ascii="Times New Roman" w:hAnsi="Times New Roman" w:cs="Times New Roman"/>
          <w:sz w:val="21"/>
          <w:szCs w:val="16"/>
          <w:lang w:val="en-US" w:eastAsia="zh-CN"/>
        </w:rPr>
        <w:t>梅玉立,</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童彬,</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于素凤,</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等.</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蓝莓酸奶的生产工艺研究[J].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价值工程,</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2019,</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38(03):132-136.</w:t>
      </w:r>
      <w:bookmarkEnd w:id="98"/>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0" w:name="_Ref14863"/>
      <w:r>
        <w:rPr>
          <w:rFonts w:hint="default" w:ascii="Times New Roman" w:hAnsi="Times New Roman" w:cs="Times New Roman"/>
          <w:sz w:val="21"/>
          <w:szCs w:val="16"/>
          <w:lang w:val="en-US" w:eastAsia="zh-CN"/>
        </w:rPr>
        <w:t>Aslani R,</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Mazaheri Y,</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Jafari M, et al.Implementation of hazard analysis and critical control point (HACCP) in yogurt production.</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[J].</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The Journal of dairy research,</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2024,91(1):11-11.</w:t>
      </w:r>
      <w:bookmarkEnd w:id="100"/>
    </w:p>
    <w:bookmarkEnd w:id="96"/>
    <w:bookmarkEnd w:id="99"/>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1" w:name="_Ref28566"/>
      <w:r>
        <w:rPr>
          <w:rFonts w:hint="default" w:ascii="Times New Roman" w:hAnsi="Times New Roman" w:cs="Times New Roman"/>
          <w:sz w:val="21"/>
          <w:szCs w:val="16"/>
          <w:lang w:val="en-US" w:eastAsia="zh-CN"/>
        </w:rPr>
        <w:t>何祖艳.</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马铃薯蓝莓酸奶的制备关键技术及其应用研究[D].</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贵州大学,</w:t>
      </w:r>
      <w:r>
        <w:rPr>
          <w:rFonts w:hint="eastAsia" w:cs="Times New Roman"/>
          <w:sz w:val="21"/>
          <w:szCs w:val="16"/>
          <w:lang w:val="en-US" w:eastAsia="zh-CN"/>
        </w:rPr>
        <w:t xml:space="preserve"> </w:t>
      </w:r>
      <w:r>
        <w:rPr>
          <w:rFonts w:hint="default" w:ascii="Times New Roman" w:hAnsi="Times New Roman" w:cs="Times New Roman"/>
          <w:sz w:val="21"/>
          <w:szCs w:val="16"/>
          <w:lang w:val="en-US" w:eastAsia="zh-CN"/>
        </w:rPr>
        <w:t>2021.</w:t>
      </w:r>
      <w:bookmarkEnd w:id="101"/>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2" w:name="_Ref15153"/>
      <w:r>
        <w:rPr>
          <w:rFonts w:hint="eastAsia" w:ascii="Times New Roman" w:hAnsi="Times New Roman" w:cs="Times New Roman"/>
          <w:sz w:val="21"/>
          <w:szCs w:val="16"/>
          <w:lang w:val="en-US" w:eastAsia="zh-CN"/>
        </w:rPr>
        <w:t>Ichimura T.</w:t>
      </w:r>
      <w:r>
        <w:rPr>
          <w:rFonts w:hint="eastAsia" w:cs="Times New Roman"/>
          <w:sz w:val="21"/>
          <w:szCs w:val="16"/>
          <w:lang w:val="en-US" w:eastAsia="zh-CN"/>
        </w:rPr>
        <w:t xml:space="preserve"> </w:t>
      </w:r>
      <w:r>
        <w:rPr>
          <w:rFonts w:hint="eastAsia" w:ascii="Times New Roman" w:hAnsi="Times New Roman" w:cs="Times New Roman"/>
          <w:sz w:val="21"/>
          <w:szCs w:val="16"/>
          <w:lang w:val="en-US" w:eastAsia="zh-CN"/>
        </w:rPr>
        <w:t>Yogurt Production.</w:t>
      </w:r>
      <w:r>
        <w:rPr>
          <w:rFonts w:hint="eastAsia" w:cs="Times New Roman"/>
          <w:sz w:val="21"/>
          <w:szCs w:val="16"/>
          <w:lang w:val="en-US" w:eastAsia="zh-CN"/>
        </w:rPr>
        <w:t xml:space="preserve"> </w:t>
      </w:r>
      <w:r>
        <w:rPr>
          <w:rFonts w:hint="eastAsia" w:ascii="Times New Roman" w:hAnsi="Times New Roman" w:cs="Times New Roman"/>
          <w:sz w:val="21"/>
          <w:szCs w:val="16"/>
          <w:lang w:val="en-US" w:eastAsia="zh-CN"/>
        </w:rPr>
        <w:t>[J].</w:t>
      </w:r>
      <w:r>
        <w:rPr>
          <w:rFonts w:hint="eastAsia" w:cs="Times New Roman"/>
          <w:sz w:val="21"/>
          <w:szCs w:val="16"/>
          <w:lang w:val="en-US" w:eastAsia="zh-CN"/>
        </w:rPr>
        <w:t xml:space="preserve"> </w:t>
      </w:r>
      <w:r>
        <w:rPr>
          <w:rFonts w:hint="eastAsia" w:ascii="Times New Roman" w:hAnsi="Times New Roman" w:cs="Times New Roman"/>
          <w:sz w:val="21"/>
          <w:szCs w:val="16"/>
          <w:lang w:val="en-US" w:eastAsia="zh-CN"/>
        </w:rPr>
        <w:t>Methods in molecular biology (Clifton, N.J.), 2024,</w:t>
      </w:r>
      <w:r>
        <w:rPr>
          <w:rFonts w:hint="eastAsia" w:cs="Times New Roman"/>
          <w:sz w:val="21"/>
          <w:szCs w:val="16"/>
          <w:lang w:val="en-US" w:eastAsia="zh-CN"/>
        </w:rPr>
        <w:t xml:space="preserve"> </w:t>
      </w:r>
      <w:r>
        <w:rPr>
          <w:rFonts w:hint="eastAsia" w:ascii="Times New Roman" w:hAnsi="Times New Roman" w:cs="Times New Roman"/>
          <w:sz w:val="21"/>
          <w:szCs w:val="16"/>
          <w:lang w:val="en-US" w:eastAsia="zh-CN"/>
        </w:rPr>
        <w:t>285163-74.</w:t>
      </w:r>
      <w:bookmarkEnd w:id="102"/>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3"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4" w:name="_Toc15949"/>
      <w:bookmarkStart w:id="105" w:name="_Toc15125"/>
      <w:r>
        <w:rPr>
          <w:rFonts w:hint="eastAsia" w:ascii="黑体" w:hAnsi="黑体" w:eastAsia="黑体" w:cs="黑体"/>
          <w:b w:val="0"/>
          <w:bCs/>
          <w:sz w:val="28"/>
          <w:szCs w:val="13"/>
          <w:lang w:val="en-US" w:eastAsia="zh-CN"/>
        </w:rPr>
        <w:t>致 谢</w:t>
      </w:r>
      <w:bookmarkEnd w:id="103"/>
      <w:bookmarkEnd w:id="104"/>
      <w:bookmarkEnd w:id="105"/>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03276F99">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黑体" w:hAnsi="黑体" w:eastAsia="黑体" w:cs="黑体"/>
          <w:b w:val="0"/>
          <w:bCs/>
          <w:sz w:val="28"/>
          <w:szCs w:val="13"/>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9F28B6C">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fyKa93AIAACQGAAAOAAAAAAAAAAEAIAAAAB8BAABkcnMvZTJvRG9jLnhtbFBLBQYA&#10;AAAABgAGAFkBAABtBgAAAAA=&#10;">
              <v:fill on="f" focussize="0,0"/>
              <v:stroke on="f" weight="0.5pt"/>
              <v:imagedata o:title=""/>
              <o:lock v:ext="edit" aspectratio="f"/>
              <v:textbox inset="0mm,0mm,0mm,0mm" style="mso-fit-shape-to-text:t;">
                <w:txbxContent>
                  <w:p w14:paraId="19F28B6C">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426059FB"/>
    <w:multiLevelType w:val="singleLevel"/>
    <w:tmpl w:val="426059FB"/>
    <w:lvl w:ilvl="0" w:tentative="0">
      <w:start w:val="1"/>
      <w:numFmt w:val="decimal"/>
      <w:suff w:val="space"/>
      <w:lvlText w:val="[%1] "/>
      <w:lvlJc w:val="left"/>
      <w:pPr>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0FD37E4"/>
    <w:rsid w:val="01214A9D"/>
    <w:rsid w:val="0132783D"/>
    <w:rsid w:val="014717F5"/>
    <w:rsid w:val="01620D9F"/>
    <w:rsid w:val="016A6FD7"/>
    <w:rsid w:val="018239F6"/>
    <w:rsid w:val="019341D5"/>
    <w:rsid w:val="01B31FD7"/>
    <w:rsid w:val="01BF7824"/>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052BE"/>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2201A"/>
    <w:rsid w:val="0A7B662E"/>
    <w:rsid w:val="0A9F717D"/>
    <w:rsid w:val="0AA305CC"/>
    <w:rsid w:val="0ABE2142"/>
    <w:rsid w:val="0AC77248"/>
    <w:rsid w:val="0AC84167"/>
    <w:rsid w:val="0AD310EE"/>
    <w:rsid w:val="0ADB7197"/>
    <w:rsid w:val="0AE65372"/>
    <w:rsid w:val="0AFF69E2"/>
    <w:rsid w:val="0B03317D"/>
    <w:rsid w:val="0B040552"/>
    <w:rsid w:val="0B436A10"/>
    <w:rsid w:val="0B4B50DE"/>
    <w:rsid w:val="0B514A22"/>
    <w:rsid w:val="0B5575E3"/>
    <w:rsid w:val="0B754E1B"/>
    <w:rsid w:val="0B825A39"/>
    <w:rsid w:val="0BA0772C"/>
    <w:rsid w:val="0C0B7609"/>
    <w:rsid w:val="0C1C2F3E"/>
    <w:rsid w:val="0C2A0BF5"/>
    <w:rsid w:val="0C2D2C04"/>
    <w:rsid w:val="0C48260B"/>
    <w:rsid w:val="0C872834"/>
    <w:rsid w:val="0CAA2ACE"/>
    <w:rsid w:val="0CAB4813"/>
    <w:rsid w:val="0CD97D8C"/>
    <w:rsid w:val="0CE624B7"/>
    <w:rsid w:val="0D175D8E"/>
    <w:rsid w:val="0D295F98"/>
    <w:rsid w:val="0D7B7E36"/>
    <w:rsid w:val="0D98097E"/>
    <w:rsid w:val="0DA64F33"/>
    <w:rsid w:val="0DBE5BCC"/>
    <w:rsid w:val="0DC51F28"/>
    <w:rsid w:val="0DC64C17"/>
    <w:rsid w:val="0DD10C05"/>
    <w:rsid w:val="0E270CC8"/>
    <w:rsid w:val="0E3336AB"/>
    <w:rsid w:val="0E3D63EB"/>
    <w:rsid w:val="0E707BF7"/>
    <w:rsid w:val="0E9631E0"/>
    <w:rsid w:val="0EA2194C"/>
    <w:rsid w:val="0EA37FCC"/>
    <w:rsid w:val="0EC263D3"/>
    <w:rsid w:val="0EC266A4"/>
    <w:rsid w:val="0EE859DF"/>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1FB2625"/>
    <w:rsid w:val="12027A1E"/>
    <w:rsid w:val="12301B77"/>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3E27FD"/>
    <w:rsid w:val="155E1785"/>
    <w:rsid w:val="15654037"/>
    <w:rsid w:val="1565422D"/>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4A37"/>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137AFC"/>
    <w:rsid w:val="19216AC6"/>
    <w:rsid w:val="193459D0"/>
    <w:rsid w:val="19383D27"/>
    <w:rsid w:val="193C385F"/>
    <w:rsid w:val="195E521C"/>
    <w:rsid w:val="19632DB3"/>
    <w:rsid w:val="196842EC"/>
    <w:rsid w:val="19914F2C"/>
    <w:rsid w:val="19A625A3"/>
    <w:rsid w:val="19A80E4C"/>
    <w:rsid w:val="19DB686C"/>
    <w:rsid w:val="19DD2A7D"/>
    <w:rsid w:val="19E5261E"/>
    <w:rsid w:val="1A134258"/>
    <w:rsid w:val="1A501737"/>
    <w:rsid w:val="1A587B60"/>
    <w:rsid w:val="1A661FA5"/>
    <w:rsid w:val="1A6A1B16"/>
    <w:rsid w:val="1A7343D2"/>
    <w:rsid w:val="1A9236C2"/>
    <w:rsid w:val="1A9966B3"/>
    <w:rsid w:val="1AA333F8"/>
    <w:rsid w:val="1ABC3B1B"/>
    <w:rsid w:val="1AD82DAC"/>
    <w:rsid w:val="1AE97737"/>
    <w:rsid w:val="1B0C6C17"/>
    <w:rsid w:val="1B1060FE"/>
    <w:rsid w:val="1B216501"/>
    <w:rsid w:val="1B24060C"/>
    <w:rsid w:val="1B3C01E5"/>
    <w:rsid w:val="1B446693"/>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B63404"/>
    <w:rsid w:val="1EDE6278"/>
    <w:rsid w:val="1EE32C57"/>
    <w:rsid w:val="1EF54576"/>
    <w:rsid w:val="1F234F3D"/>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4F1D62"/>
    <w:rsid w:val="206C0324"/>
    <w:rsid w:val="207B2B57"/>
    <w:rsid w:val="20902A30"/>
    <w:rsid w:val="2092077A"/>
    <w:rsid w:val="20AE14FE"/>
    <w:rsid w:val="20CB0635"/>
    <w:rsid w:val="210D0C9A"/>
    <w:rsid w:val="210F1F2F"/>
    <w:rsid w:val="211B682B"/>
    <w:rsid w:val="214F4B32"/>
    <w:rsid w:val="215D225D"/>
    <w:rsid w:val="215D400B"/>
    <w:rsid w:val="21696E53"/>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A210F0"/>
    <w:rsid w:val="23BC12D8"/>
    <w:rsid w:val="23C40371"/>
    <w:rsid w:val="24066307"/>
    <w:rsid w:val="240B37EF"/>
    <w:rsid w:val="240E6C34"/>
    <w:rsid w:val="241A4BC2"/>
    <w:rsid w:val="244D7963"/>
    <w:rsid w:val="244F37F8"/>
    <w:rsid w:val="246508B0"/>
    <w:rsid w:val="247716E3"/>
    <w:rsid w:val="24772215"/>
    <w:rsid w:val="248C1C53"/>
    <w:rsid w:val="24975A86"/>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0D4251"/>
    <w:rsid w:val="2629095F"/>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7E946F0"/>
    <w:rsid w:val="280411C2"/>
    <w:rsid w:val="28167048"/>
    <w:rsid w:val="284A3F39"/>
    <w:rsid w:val="284B2E0F"/>
    <w:rsid w:val="284E0B51"/>
    <w:rsid w:val="285C326E"/>
    <w:rsid w:val="28702875"/>
    <w:rsid w:val="287A4275"/>
    <w:rsid w:val="28BC3032"/>
    <w:rsid w:val="28EB0FF7"/>
    <w:rsid w:val="28F3736D"/>
    <w:rsid w:val="2904719B"/>
    <w:rsid w:val="290731DA"/>
    <w:rsid w:val="290B1084"/>
    <w:rsid w:val="29476031"/>
    <w:rsid w:val="296C312B"/>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003B4"/>
    <w:rsid w:val="2C09185D"/>
    <w:rsid w:val="2C0C4F7D"/>
    <w:rsid w:val="2C2C35FC"/>
    <w:rsid w:val="2C2E4ADF"/>
    <w:rsid w:val="2C3F0EDD"/>
    <w:rsid w:val="2C53613E"/>
    <w:rsid w:val="2C8132A3"/>
    <w:rsid w:val="2C825415"/>
    <w:rsid w:val="2C884632"/>
    <w:rsid w:val="2C8B1E84"/>
    <w:rsid w:val="2CB62BA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C6A42"/>
    <w:rsid w:val="2FDD4C94"/>
    <w:rsid w:val="2FEC390C"/>
    <w:rsid w:val="2FF365A0"/>
    <w:rsid w:val="2FFE78CA"/>
    <w:rsid w:val="301B2407"/>
    <w:rsid w:val="301B2D20"/>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52716E"/>
    <w:rsid w:val="32722318"/>
    <w:rsid w:val="327360D5"/>
    <w:rsid w:val="32877139"/>
    <w:rsid w:val="32D9156D"/>
    <w:rsid w:val="32F72511"/>
    <w:rsid w:val="330E09B1"/>
    <w:rsid w:val="331362FA"/>
    <w:rsid w:val="332130EA"/>
    <w:rsid w:val="33447316"/>
    <w:rsid w:val="33483B2E"/>
    <w:rsid w:val="336C2054"/>
    <w:rsid w:val="337E68E1"/>
    <w:rsid w:val="339733AC"/>
    <w:rsid w:val="33BA19FB"/>
    <w:rsid w:val="33D94AF6"/>
    <w:rsid w:val="33E17B56"/>
    <w:rsid w:val="33EF7C18"/>
    <w:rsid w:val="33F7221B"/>
    <w:rsid w:val="340071A3"/>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274EBB"/>
    <w:rsid w:val="36412C1F"/>
    <w:rsid w:val="36576CB4"/>
    <w:rsid w:val="368045CB"/>
    <w:rsid w:val="368065EA"/>
    <w:rsid w:val="368F0FA9"/>
    <w:rsid w:val="36987B67"/>
    <w:rsid w:val="36BC2C27"/>
    <w:rsid w:val="36E7289C"/>
    <w:rsid w:val="36EE26AB"/>
    <w:rsid w:val="372F0468"/>
    <w:rsid w:val="372F0498"/>
    <w:rsid w:val="3739565E"/>
    <w:rsid w:val="377232B5"/>
    <w:rsid w:val="37977E1F"/>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52627F"/>
    <w:rsid w:val="3AA70C32"/>
    <w:rsid w:val="3ABC194A"/>
    <w:rsid w:val="3AC30266"/>
    <w:rsid w:val="3AF065F0"/>
    <w:rsid w:val="3B111C96"/>
    <w:rsid w:val="3B192DA3"/>
    <w:rsid w:val="3B245404"/>
    <w:rsid w:val="3B4E70C4"/>
    <w:rsid w:val="3B554279"/>
    <w:rsid w:val="3B633D30"/>
    <w:rsid w:val="3B6444BC"/>
    <w:rsid w:val="3B7B35B3"/>
    <w:rsid w:val="3B830427"/>
    <w:rsid w:val="3B8763FC"/>
    <w:rsid w:val="3BB30212"/>
    <w:rsid w:val="3BD870BB"/>
    <w:rsid w:val="3BF747E0"/>
    <w:rsid w:val="3C070A0C"/>
    <w:rsid w:val="3C283D15"/>
    <w:rsid w:val="3C6B45C1"/>
    <w:rsid w:val="3C7341D7"/>
    <w:rsid w:val="3C76700F"/>
    <w:rsid w:val="3C92218C"/>
    <w:rsid w:val="3C9453DA"/>
    <w:rsid w:val="3C957F32"/>
    <w:rsid w:val="3CD44D29"/>
    <w:rsid w:val="3CDB292A"/>
    <w:rsid w:val="3D2403CA"/>
    <w:rsid w:val="3D741543"/>
    <w:rsid w:val="3D962707"/>
    <w:rsid w:val="3DF3544F"/>
    <w:rsid w:val="3E191DEE"/>
    <w:rsid w:val="3E2E2E01"/>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3FD61700"/>
    <w:rsid w:val="401A30F6"/>
    <w:rsid w:val="403028C4"/>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001CCA"/>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544B6"/>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BD5060"/>
    <w:rsid w:val="48C5283C"/>
    <w:rsid w:val="48C80F81"/>
    <w:rsid w:val="48C82477"/>
    <w:rsid w:val="48D34A2F"/>
    <w:rsid w:val="48D57DF0"/>
    <w:rsid w:val="48E41F49"/>
    <w:rsid w:val="48E649AE"/>
    <w:rsid w:val="491633B3"/>
    <w:rsid w:val="491F2D26"/>
    <w:rsid w:val="49302DA0"/>
    <w:rsid w:val="493C5CD0"/>
    <w:rsid w:val="49501EAC"/>
    <w:rsid w:val="4950607F"/>
    <w:rsid w:val="495A3437"/>
    <w:rsid w:val="496B2BA7"/>
    <w:rsid w:val="49A11DCC"/>
    <w:rsid w:val="49B05257"/>
    <w:rsid w:val="49B123F5"/>
    <w:rsid w:val="49C12AD9"/>
    <w:rsid w:val="4A275032"/>
    <w:rsid w:val="4A3459A1"/>
    <w:rsid w:val="4A5971B6"/>
    <w:rsid w:val="4A653807"/>
    <w:rsid w:val="4A66196B"/>
    <w:rsid w:val="4A745E79"/>
    <w:rsid w:val="4A827B39"/>
    <w:rsid w:val="4A9D2228"/>
    <w:rsid w:val="4AA6759F"/>
    <w:rsid w:val="4AB30D1E"/>
    <w:rsid w:val="4AB56AE2"/>
    <w:rsid w:val="4AD33ADA"/>
    <w:rsid w:val="4AD72235"/>
    <w:rsid w:val="4AE90539"/>
    <w:rsid w:val="4AEC627C"/>
    <w:rsid w:val="4AF16491"/>
    <w:rsid w:val="4AF869CF"/>
    <w:rsid w:val="4B0A3CE8"/>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2F7E7F"/>
    <w:rsid w:val="4E453CD9"/>
    <w:rsid w:val="4E514C61"/>
    <w:rsid w:val="4E760C3B"/>
    <w:rsid w:val="4E7E733C"/>
    <w:rsid w:val="4EAF104D"/>
    <w:rsid w:val="4ED77988"/>
    <w:rsid w:val="4EEA6BBA"/>
    <w:rsid w:val="4EF241A3"/>
    <w:rsid w:val="4F0A5E14"/>
    <w:rsid w:val="4F440434"/>
    <w:rsid w:val="4F890607"/>
    <w:rsid w:val="4F8C3B89"/>
    <w:rsid w:val="4FBE01E7"/>
    <w:rsid w:val="4FC652ED"/>
    <w:rsid w:val="4FC86D44"/>
    <w:rsid w:val="4FF359B6"/>
    <w:rsid w:val="50200540"/>
    <w:rsid w:val="50285660"/>
    <w:rsid w:val="502C5131"/>
    <w:rsid w:val="502D6EA4"/>
    <w:rsid w:val="50342624"/>
    <w:rsid w:val="504D696F"/>
    <w:rsid w:val="5060304C"/>
    <w:rsid w:val="506972BF"/>
    <w:rsid w:val="508A58C1"/>
    <w:rsid w:val="509E5922"/>
    <w:rsid w:val="50B37E70"/>
    <w:rsid w:val="50EA6DB9"/>
    <w:rsid w:val="50FC7343"/>
    <w:rsid w:val="51000A73"/>
    <w:rsid w:val="51405FD9"/>
    <w:rsid w:val="51454191"/>
    <w:rsid w:val="514C620D"/>
    <w:rsid w:val="51514E61"/>
    <w:rsid w:val="519D1BF6"/>
    <w:rsid w:val="51BC1C05"/>
    <w:rsid w:val="51C428FF"/>
    <w:rsid w:val="51DD0AE1"/>
    <w:rsid w:val="521F2DEA"/>
    <w:rsid w:val="52356422"/>
    <w:rsid w:val="52553BB4"/>
    <w:rsid w:val="52625B2B"/>
    <w:rsid w:val="52882CDF"/>
    <w:rsid w:val="528A6237"/>
    <w:rsid w:val="5291221C"/>
    <w:rsid w:val="529E01D6"/>
    <w:rsid w:val="52B753C1"/>
    <w:rsid w:val="52BF7966"/>
    <w:rsid w:val="52C27F9B"/>
    <w:rsid w:val="530A0D10"/>
    <w:rsid w:val="530D1200"/>
    <w:rsid w:val="5330111E"/>
    <w:rsid w:val="5350703E"/>
    <w:rsid w:val="53740BBC"/>
    <w:rsid w:val="53745777"/>
    <w:rsid w:val="537D36C3"/>
    <w:rsid w:val="538318BC"/>
    <w:rsid w:val="53BD0749"/>
    <w:rsid w:val="53E83D39"/>
    <w:rsid w:val="53F85BCC"/>
    <w:rsid w:val="543E18F6"/>
    <w:rsid w:val="54411E49"/>
    <w:rsid w:val="54BE47E5"/>
    <w:rsid w:val="54C56556"/>
    <w:rsid w:val="54E3424B"/>
    <w:rsid w:val="54EC38D2"/>
    <w:rsid w:val="550F6EFA"/>
    <w:rsid w:val="55261C80"/>
    <w:rsid w:val="5583158B"/>
    <w:rsid w:val="559144C5"/>
    <w:rsid w:val="55937A20"/>
    <w:rsid w:val="55ED5D80"/>
    <w:rsid w:val="561A0E75"/>
    <w:rsid w:val="561F4E17"/>
    <w:rsid w:val="56204B37"/>
    <w:rsid w:val="563441A1"/>
    <w:rsid w:val="563570F8"/>
    <w:rsid w:val="565129A9"/>
    <w:rsid w:val="56614D70"/>
    <w:rsid w:val="56C40FAE"/>
    <w:rsid w:val="56C65BD3"/>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8EB36CF"/>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6A4AC7"/>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BD35D4"/>
    <w:rsid w:val="5CC63E67"/>
    <w:rsid w:val="5CFF708F"/>
    <w:rsid w:val="5D130460"/>
    <w:rsid w:val="5D477710"/>
    <w:rsid w:val="5D4B2D1B"/>
    <w:rsid w:val="5D5757D7"/>
    <w:rsid w:val="5D892330"/>
    <w:rsid w:val="5D9B1141"/>
    <w:rsid w:val="5D9C5497"/>
    <w:rsid w:val="5DBF512A"/>
    <w:rsid w:val="5DFF19E2"/>
    <w:rsid w:val="5E0F2166"/>
    <w:rsid w:val="5E564E88"/>
    <w:rsid w:val="5EAB4F7B"/>
    <w:rsid w:val="5EAC7460"/>
    <w:rsid w:val="5EB01642"/>
    <w:rsid w:val="5EB56C59"/>
    <w:rsid w:val="5EC660A0"/>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8D4F71"/>
    <w:rsid w:val="61E437AA"/>
    <w:rsid w:val="61F538FF"/>
    <w:rsid w:val="62066A55"/>
    <w:rsid w:val="62110E73"/>
    <w:rsid w:val="62130CB3"/>
    <w:rsid w:val="62135ABF"/>
    <w:rsid w:val="621719D8"/>
    <w:rsid w:val="623D18BA"/>
    <w:rsid w:val="6241427D"/>
    <w:rsid w:val="62554D62"/>
    <w:rsid w:val="62674759"/>
    <w:rsid w:val="62935A59"/>
    <w:rsid w:val="62A3327C"/>
    <w:rsid w:val="62BE3C02"/>
    <w:rsid w:val="62CF4061"/>
    <w:rsid w:val="62D67621"/>
    <w:rsid w:val="62DA7E4B"/>
    <w:rsid w:val="62E47B0C"/>
    <w:rsid w:val="632E7709"/>
    <w:rsid w:val="63A75D22"/>
    <w:rsid w:val="63B00791"/>
    <w:rsid w:val="63B5357F"/>
    <w:rsid w:val="63BD1004"/>
    <w:rsid w:val="63C705B2"/>
    <w:rsid w:val="63CD15D5"/>
    <w:rsid w:val="63D47B81"/>
    <w:rsid w:val="640C5915"/>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A272A8"/>
    <w:rsid w:val="66B544EF"/>
    <w:rsid w:val="66D571D1"/>
    <w:rsid w:val="66F71181"/>
    <w:rsid w:val="67184229"/>
    <w:rsid w:val="67466C30"/>
    <w:rsid w:val="6747041E"/>
    <w:rsid w:val="67566AFF"/>
    <w:rsid w:val="675B2A2A"/>
    <w:rsid w:val="675E0579"/>
    <w:rsid w:val="67654F94"/>
    <w:rsid w:val="677F41DA"/>
    <w:rsid w:val="67AB4E4E"/>
    <w:rsid w:val="67E542AD"/>
    <w:rsid w:val="67E62A51"/>
    <w:rsid w:val="67EB5567"/>
    <w:rsid w:val="67F65BEC"/>
    <w:rsid w:val="68107747"/>
    <w:rsid w:val="68120C78"/>
    <w:rsid w:val="68164673"/>
    <w:rsid w:val="681E4308"/>
    <w:rsid w:val="68237975"/>
    <w:rsid w:val="68272865"/>
    <w:rsid w:val="6838670D"/>
    <w:rsid w:val="68757459"/>
    <w:rsid w:val="687A4AB6"/>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142D9C"/>
    <w:rsid w:val="6D245E19"/>
    <w:rsid w:val="6D62749B"/>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2A5C3C"/>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C96594"/>
    <w:rsid w:val="70E347F2"/>
    <w:rsid w:val="70F95EE6"/>
    <w:rsid w:val="71070737"/>
    <w:rsid w:val="71241F46"/>
    <w:rsid w:val="713A0F51"/>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5105EF"/>
    <w:rsid w:val="727F5809"/>
    <w:rsid w:val="728E1843"/>
    <w:rsid w:val="72C909D3"/>
    <w:rsid w:val="72D36A71"/>
    <w:rsid w:val="72EF558F"/>
    <w:rsid w:val="730F6635"/>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EE7D5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53AC7"/>
    <w:rsid w:val="78C7785D"/>
    <w:rsid w:val="79023C15"/>
    <w:rsid w:val="7914333F"/>
    <w:rsid w:val="793677EC"/>
    <w:rsid w:val="7939786F"/>
    <w:rsid w:val="794D0F04"/>
    <w:rsid w:val="7956519B"/>
    <w:rsid w:val="795B7C31"/>
    <w:rsid w:val="79661644"/>
    <w:rsid w:val="796C53DD"/>
    <w:rsid w:val="796E1A86"/>
    <w:rsid w:val="79815763"/>
    <w:rsid w:val="79990A0D"/>
    <w:rsid w:val="79A731EA"/>
    <w:rsid w:val="79E104AA"/>
    <w:rsid w:val="79FF4E7B"/>
    <w:rsid w:val="7A0027B8"/>
    <w:rsid w:val="7A1E0C67"/>
    <w:rsid w:val="7A2D742D"/>
    <w:rsid w:val="7A351AB3"/>
    <w:rsid w:val="7A363361"/>
    <w:rsid w:val="7A5D73D7"/>
    <w:rsid w:val="7A6767E1"/>
    <w:rsid w:val="7A6A7A61"/>
    <w:rsid w:val="7A7A445B"/>
    <w:rsid w:val="7A8077B2"/>
    <w:rsid w:val="7ACC3797"/>
    <w:rsid w:val="7AD1051F"/>
    <w:rsid w:val="7B44371A"/>
    <w:rsid w:val="7B5937C2"/>
    <w:rsid w:val="7B6A44CF"/>
    <w:rsid w:val="7B8C2698"/>
    <w:rsid w:val="7B93603A"/>
    <w:rsid w:val="7B9859C3"/>
    <w:rsid w:val="7B9B4B89"/>
    <w:rsid w:val="7BA342E6"/>
    <w:rsid w:val="7BA74B63"/>
    <w:rsid w:val="7BB310BF"/>
    <w:rsid w:val="7BD20C51"/>
    <w:rsid w:val="7BE23161"/>
    <w:rsid w:val="7C1B7D45"/>
    <w:rsid w:val="7C26738C"/>
    <w:rsid w:val="7C43136B"/>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10081</Words>
  <Characters>13606</Characters>
  <Lines>0</Lines>
  <Paragraphs>0</Paragraphs>
  <TotalTime>99</TotalTime>
  <ScaleCrop>false</ScaleCrop>
  <LinksUpToDate>false</LinksUpToDate>
  <CharactersWithSpaces>15402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Texer</dc:creator>
  <cp:lastModifiedBy>…………</cp:lastModifiedBy>
  <dcterms:modified xsi:type="dcterms:W3CDTF">2026-06-15T02:52:16Z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