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NGB Insuretech</w:t>
        <w:br/>
        <w:t>Insurance Accounting Subledger &amp; IFRS 17 Reporting</w:t>
      </w:r>
    </w:p>
    <w:p>
      <w:pPr>
        <w:jc w:val="center"/>
      </w:pPr>
      <w:r>
        <w:rPr>
          <w:i/>
        </w:rPr>
        <w:t>Business Analyst Interview Case Study | Two-Day Practical Project</w:t>
      </w:r>
    </w:p>
    <w:p>
      <w:pPr>
        <w:pStyle w:val="Heading1"/>
      </w:pPr>
      <w:r>
        <w:t>1. Executive Summary</w:t>
      </w:r>
    </w:p>
    <w:p>
      <w:r>
        <w:t>NGB Insuretech is a fictional property &amp; casualty insurer implementing an insurance accounting subledger. The subledger receives policy, premium, claim and reinsurance events, applies accounting rules, produces balanced journals, reconciles to the General Ledger and supplies data for IFRS 17 reporting. The case study is deliberately scoped as an interview-sized vertical slice.</w:t>
      </w:r>
    </w:p>
    <w:p>
      <w:pPr>
        <w:pStyle w:val="Heading1"/>
      </w:pPr>
      <w:r>
        <w:t>2. Business Problem</w:t>
      </w:r>
    </w:p>
    <w:p>
      <w:pPr>
        <w:pStyle w:val="ListBullet"/>
      </w:pPr>
      <w:r>
        <w:t>Policy and claims transactions are generated in operational systems but accounting treatment is partly manual.</w:t>
      </w:r>
    </w:p>
    <w:p>
      <w:pPr>
        <w:pStyle w:val="ListBullet"/>
      </w:pPr>
      <w:r>
        <w:t>Finance spends significant time reconciling operational transactions to the GL.</w:t>
      </w:r>
    </w:p>
    <w:p>
      <w:pPr>
        <w:pStyle w:val="ListBullet"/>
      </w:pPr>
      <w:r>
        <w:t>Accounting rules are difficult to trace from a business event to a journal.</w:t>
      </w:r>
    </w:p>
    <w:p>
      <w:pPr>
        <w:pStyle w:val="ListBullet"/>
      </w:pPr>
      <w:r>
        <w:t>Month-end reporting needs controlled, auditable data and clear exception ownership.</w:t>
      </w:r>
    </w:p>
    <w:p>
      <w:pPr>
        <w:pStyle w:val="Heading1"/>
      </w:pPr>
      <w:r>
        <w:t>3. Business Objectives</w:t>
      </w:r>
    </w:p>
    <w:p>
      <w:pPr>
        <w:pStyle w:val="ListBullet"/>
      </w:pPr>
      <w:r>
        <w:t>Automate event-to-accounting-rule mapping for premium and claims transactions.</w:t>
      </w:r>
    </w:p>
    <w:p>
      <w:pPr>
        <w:pStyle w:val="ListBullet"/>
      </w:pPr>
      <w:r>
        <w:t>Provide a controlled accounting subledger between insurance operational systems and the GL.</w:t>
      </w:r>
    </w:p>
    <w:p>
      <w:pPr>
        <w:pStyle w:val="ListBullet"/>
      </w:pPr>
      <w:r>
        <w:t>Improve reconciliation between source, subledger and GL balances.</w:t>
      </w:r>
    </w:p>
    <w:p>
      <w:pPr>
        <w:pStyle w:val="ListBullet"/>
      </w:pPr>
      <w:r>
        <w:t>Provide data needed for IFRS 17 reporting for eligible short-duration P&amp;C contracts using PAA in this case study.</w:t>
      </w:r>
    </w:p>
    <w:p>
      <w:pPr>
        <w:pStyle w:val="ListBullet"/>
      </w:pPr>
      <w:r>
        <w:t>Provide transaction-level traceability for finance users.</w:t>
      </w:r>
    </w:p>
    <w:p>
      <w:pPr>
        <w:pStyle w:val="Heading1"/>
      </w:pPr>
      <w:r>
        <w:t>4. Scope</w:t>
      </w:r>
    </w:p>
    <w:tbl>
      <w:tblPr>
        <w:tblStyle w:val="TableGrid"/>
        <w:tblW w:type="auto" w:w="0"/>
        <w:jc w:val="center"/>
        <w:tblLook w:firstColumn="1" w:firstRow="1" w:lastColumn="0" w:lastRow="0" w:noHBand="0" w:noVBand="1" w:val="04A0"/>
      </w:tblPr>
      <w:tblGrid>
        <w:gridCol w:w="4320"/>
        <w:gridCol w:w="4320"/>
      </w:tblGrid>
      <w:tr>
        <w:tc>
          <w:tcPr>
            <w:tcW w:type="dxa" w:w="4320"/>
          </w:tcPr>
          <w:p>
            <w:r>
              <w:t>In Scope</w:t>
            </w:r>
          </w:p>
        </w:tc>
        <w:tc>
          <w:tcPr>
            <w:tcW w:type="dxa" w:w="4320"/>
          </w:tcPr>
          <w:p>
            <w:r>
              <w:t>Out of Scope</w:t>
            </w:r>
          </w:p>
        </w:tc>
      </w:tr>
      <w:tr>
        <w:tc>
          <w:tcPr>
            <w:tcW w:type="dxa" w:w="4320"/>
          </w:tcPr>
          <w:p>
            <w:r>
              <w:t>Policy inception/endorsement/cancellation events</w:t>
            </w:r>
          </w:p>
        </w:tc>
        <w:tc>
          <w:tcPr>
            <w:tcW w:type="dxa" w:w="4320"/>
          </w:tcPr>
          <w:p>
            <w:r>
              <w:t>Full policy administration implementation</w:t>
            </w:r>
          </w:p>
        </w:tc>
      </w:tr>
      <w:tr>
        <w:tc>
          <w:tcPr>
            <w:tcW w:type="dxa" w:w="4320"/>
          </w:tcPr>
          <w:p>
            <w:r>
              <w:t>Premium receivable/cash events</w:t>
            </w:r>
          </w:p>
        </w:tc>
        <w:tc>
          <w:tcPr>
            <w:tcW w:type="dxa" w:w="4320"/>
          </w:tcPr>
          <w:p>
            <w:r>
              <w:t>Bank integration implementation</w:t>
            </w:r>
          </w:p>
        </w:tc>
      </w:tr>
      <w:tr>
        <w:tc>
          <w:tcPr>
            <w:tcW w:type="dxa" w:w="4320"/>
          </w:tcPr>
          <w:p>
            <w:r>
              <w:t>Claims incurred and paid events</w:t>
            </w:r>
          </w:p>
        </w:tc>
        <w:tc>
          <w:tcPr>
            <w:tcW w:type="dxa" w:w="4320"/>
          </w:tcPr>
          <w:p>
            <w:r>
              <w:t>Claims adjudication implementation</w:t>
            </w:r>
          </w:p>
        </w:tc>
      </w:tr>
      <w:tr>
        <w:tc>
          <w:tcPr>
            <w:tcW w:type="dxa" w:w="4320"/>
          </w:tcPr>
          <w:p>
            <w:r>
              <w:t>Reinsurance transaction feed and basic accounting</w:t>
            </w:r>
          </w:p>
        </w:tc>
        <w:tc>
          <w:tcPr>
            <w:tcW w:type="dxa" w:w="4320"/>
          </w:tcPr>
          <w:p>
            <w:r>
              <w:t>Full treaty pricing/underwriting</w:t>
            </w:r>
          </w:p>
        </w:tc>
      </w:tr>
      <w:tr>
        <w:tc>
          <w:tcPr>
            <w:tcW w:type="dxa" w:w="4320"/>
          </w:tcPr>
          <w:p>
            <w:r>
              <w:t>Accounting rule configuration and journal generation</w:t>
            </w:r>
          </w:p>
        </w:tc>
        <w:tc>
          <w:tcPr>
            <w:tcW w:type="dxa" w:w="4320"/>
          </w:tcPr>
          <w:p>
            <w:r>
              <w:t>Full ERP implementation</w:t>
            </w:r>
          </w:p>
        </w:tc>
      </w:tr>
      <w:tr>
        <w:tc>
          <w:tcPr>
            <w:tcW w:type="dxa" w:w="4320"/>
          </w:tcPr>
          <w:p>
            <w:r>
              <w:t>Subledger-to-GL reconciliation</w:t>
            </w:r>
          </w:p>
        </w:tc>
        <w:tc>
          <w:tcPr>
            <w:tcW w:type="dxa" w:w="4320"/>
          </w:tcPr>
          <w:p>
            <w:r>
              <w:t>Tax accounting</w:t>
            </w:r>
          </w:p>
        </w:tc>
      </w:tr>
      <w:tr>
        <w:tc>
          <w:tcPr>
            <w:tcW w:type="dxa" w:w="4320"/>
          </w:tcPr>
          <w:p>
            <w:r>
              <w:t>IFRS 17 PAA-oriented reporting data</w:t>
            </w:r>
          </w:p>
        </w:tc>
        <w:tc>
          <w:tcPr>
            <w:tcW w:type="dxa" w:w="4320"/>
          </w:tcPr>
          <w:p>
            <w:r>
              <w:t>Full actuarial IFRS 17 engine</w:t>
            </w:r>
          </w:p>
        </w:tc>
      </w:tr>
    </w:tbl>
    <w:p>
      <w:pPr>
        <w:pStyle w:val="Heading1"/>
      </w:pPr>
      <w:r>
        <w:t>5. Stakeholders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t>Stakeholder</w:t>
            </w:r>
          </w:p>
        </w:tc>
        <w:tc>
          <w:tcPr>
            <w:tcW w:type="dxa" w:w="2160"/>
          </w:tcPr>
          <w:p>
            <w:r>
              <w:t>Role</w:t>
            </w:r>
          </w:p>
        </w:tc>
        <w:tc>
          <w:tcPr>
            <w:tcW w:type="dxa" w:w="2160"/>
          </w:tcPr>
          <w:p>
            <w:r>
              <w:t>Interest</w:t>
            </w:r>
          </w:p>
        </w:tc>
        <w:tc>
          <w:tcPr>
            <w:tcW w:type="dxa" w:w="2160"/>
          </w:tcPr>
          <w:p>
            <w:r>
              <w:t>BA Interaction</w:t>
            </w:r>
          </w:p>
        </w:tc>
      </w:tr>
      <w:tr>
        <w:tc>
          <w:tcPr>
            <w:tcW w:type="dxa" w:w="2160"/>
          </w:tcPr>
          <w:p>
            <w:r>
              <w:t>Finance Controller</w:t>
            </w:r>
          </w:p>
        </w:tc>
        <w:tc>
          <w:tcPr>
            <w:tcW w:type="dxa" w:w="2160"/>
          </w:tcPr>
          <w:p>
            <w:r>
              <w:t>Accounting owner</w:t>
            </w:r>
          </w:p>
        </w:tc>
        <w:tc>
          <w:tcPr>
            <w:tcW w:type="dxa" w:w="2160"/>
          </w:tcPr>
          <w:p>
            <w:r>
              <w:t>High</w:t>
            </w:r>
          </w:p>
        </w:tc>
        <w:tc>
          <w:tcPr>
            <w:tcW w:type="dxa" w:w="2160"/>
          </w:tcPr>
          <w:p>
            <w:r>
              <w:t>Requirements, accounting rules, reconciliation</w:t>
            </w:r>
          </w:p>
        </w:tc>
      </w:tr>
      <w:tr>
        <w:tc>
          <w:tcPr>
            <w:tcW w:type="dxa" w:w="2160"/>
          </w:tcPr>
          <w:p>
            <w:r>
              <w:t>Insurance Accountant</w:t>
            </w:r>
          </w:p>
        </w:tc>
        <w:tc>
          <w:tcPr>
            <w:tcW w:type="dxa" w:w="2160"/>
          </w:tcPr>
          <w:p>
            <w:r>
              <w:t>Subledger SME</w:t>
            </w:r>
          </w:p>
        </w:tc>
        <w:tc>
          <w:tcPr>
            <w:tcW w:type="dxa" w:w="2160"/>
          </w:tcPr>
          <w:p>
            <w:r>
              <w:t>High</w:t>
            </w:r>
          </w:p>
        </w:tc>
        <w:tc>
          <w:tcPr>
            <w:tcW w:type="dxa" w:w="2160"/>
          </w:tcPr>
          <w:p>
            <w:r>
              <w:t>Journal mapping, close, exceptions</w:t>
            </w:r>
          </w:p>
        </w:tc>
      </w:tr>
      <w:tr>
        <w:tc>
          <w:tcPr>
            <w:tcW w:type="dxa" w:w="2160"/>
          </w:tcPr>
          <w:p>
            <w:r>
              <w:t>Claims Manager</w:t>
            </w:r>
          </w:p>
        </w:tc>
        <w:tc>
          <w:tcPr>
            <w:tcW w:type="dxa" w:w="2160"/>
          </w:tcPr>
          <w:p>
            <w:r>
              <w:t>Claims SME</w:t>
            </w:r>
          </w:p>
        </w:tc>
        <w:tc>
          <w:tcPr>
            <w:tcW w:type="dxa" w:w="2160"/>
          </w:tcPr>
          <w:p>
            <w:r>
              <w:t>High</w:t>
            </w:r>
          </w:p>
        </w:tc>
        <w:tc>
          <w:tcPr>
            <w:tcW w:type="dxa" w:w="2160"/>
          </w:tcPr>
          <w:p>
            <w:r>
              <w:t>Claims events and status definitions</w:t>
            </w:r>
          </w:p>
        </w:tc>
      </w:tr>
      <w:tr>
        <w:tc>
          <w:tcPr>
            <w:tcW w:type="dxa" w:w="2160"/>
          </w:tcPr>
          <w:p>
            <w:r>
              <w:t>Underwriter</w:t>
            </w:r>
          </w:p>
        </w:tc>
        <w:tc>
          <w:tcPr>
            <w:tcW w:type="dxa" w:w="2160"/>
          </w:tcPr>
          <w:p>
            <w:r>
              <w:t>Policy SME</w:t>
            </w:r>
          </w:p>
        </w:tc>
        <w:tc>
          <w:tcPr>
            <w:tcW w:type="dxa" w:w="2160"/>
          </w:tcPr>
          <w:p>
            <w:r>
              <w:t>Medium</w:t>
            </w:r>
          </w:p>
        </w:tc>
        <w:tc>
          <w:tcPr>
            <w:tcW w:type="dxa" w:w="2160"/>
          </w:tcPr>
          <w:p>
            <w:r>
              <w:t>Policy lifecycle and endorsements</w:t>
            </w:r>
          </w:p>
        </w:tc>
      </w:tr>
      <w:tr>
        <w:tc>
          <w:tcPr>
            <w:tcW w:type="dxa" w:w="2160"/>
          </w:tcPr>
          <w:p>
            <w:r>
              <w:t>Actuarial / IFRS 17 SME</w:t>
            </w:r>
          </w:p>
        </w:tc>
        <w:tc>
          <w:tcPr>
            <w:tcW w:type="dxa" w:w="2160"/>
          </w:tcPr>
          <w:p>
            <w:r>
              <w:t>Measurement/reporting</w:t>
            </w:r>
          </w:p>
        </w:tc>
        <w:tc>
          <w:tcPr>
            <w:tcW w:type="dxa" w:w="2160"/>
          </w:tcPr>
          <w:p>
            <w:r>
              <w:t>High</w:t>
            </w:r>
          </w:p>
        </w:tc>
        <w:tc>
          <w:tcPr>
            <w:tcW w:type="dxa" w:w="2160"/>
          </w:tcPr>
          <w:p>
            <w:r>
              <w:t>PAA data and reporting requirements</w:t>
            </w:r>
          </w:p>
        </w:tc>
      </w:tr>
      <w:tr>
        <w:tc>
          <w:tcPr>
            <w:tcW w:type="dxa" w:w="2160"/>
          </w:tcPr>
          <w:p>
            <w:r>
              <w:t>IT / Engineering</w:t>
            </w:r>
          </w:p>
        </w:tc>
        <w:tc>
          <w:tcPr>
            <w:tcW w:type="dxa" w:w="2160"/>
          </w:tcPr>
          <w:p>
            <w:r>
              <w:t>Solution delivery</w:t>
            </w:r>
          </w:p>
        </w:tc>
        <w:tc>
          <w:tcPr>
            <w:tcW w:type="dxa" w:w="2160"/>
          </w:tcPr>
          <w:p>
            <w:r>
              <w:t>High</w:t>
            </w:r>
          </w:p>
        </w:tc>
        <w:tc>
          <w:tcPr>
            <w:tcW w:type="dxa" w:w="2160"/>
          </w:tcPr>
          <w:p>
            <w:r>
              <w:t>Interfaces, data objects, APIs</w:t>
            </w:r>
          </w:p>
        </w:tc>
      </w:tr>
      <w:tr>
        <w:tc>
          <w:tcPr>
            <w:tcW w:type="dxa" w:w="2160"/>
          </w:tcPr>
          <w:p>
            <w:r>
              <w:t>QA</w:t>
            </w:r>
          </w:p>
        </w:tc>
        <w:tc>
          <w:tcPr>
            <w:tcW w:type="dxa" w:w="2160"/>
          </w:tcPr>
          <w:p>
            <w:r>
              <w:t>Quality assurance</w:t>
            </w:r>
          </w:p>
        </w:tc>
        <w:tc>
          <w:tcPr>
            <w:tcW w:type="dxa" w:w="2160"/>
          </w:tcPr>
          <w:p>
            <w:r>
              <w:t>High</w:t>
            </w:r>
          </w:p>
        </w:tc>
        <w:tc>
          <w:tcPr>
            <w:tcW w:type="dxa" w:w="2160"/>
          </w:tcPr>
          <w:p>
            <w:r>
              <w:t>Test scenarios and acceptance criteria</w:t>
            </w:r>
          </w:p>
        </w:tc>
      </w:tr>
      <w:tr>
        <w:tc>
          <w:tcPr>
            <w:tcW w:type="dxa" w:w="2160"/>
          </w:tcPr>
          <w:p>
            <w:r>
              <w:t>Product Owner</w:t>
            </w:r>
          </w:p>
        </w:tc>
        <w:tc>
          <w:tcPr>
            <w:tcW w:type="dxa" w:w="2160"/>
          </w:tcPr>
          <w:p>
            <w:r>
              <w:t>Prioritization</w:t>
            </w:r>
          </w:p>
        </w:tc>
        <w:tc>
          <w:tcPr>
            <w:tcW w:type="dxa" w:w="2160"/>
          </w:tcPr>
          <w:p>
            <w:r>
              <w:t>High</w:t>
            </w:r>
          </w:p>
        </w:tc>
        <w:tc>
          <w:tcPr>
            <w:tcW w:type="dxa" w:w="2160"/>
          </w:tcPr>
          <w:p>
            <w:r>
              <w:t>Scope and sprint decisions</w:t>
            </w:r>
          </w:p>
        </w:tc>
      </w:tr>
    </w:tbl>
    <w:p>
      <w:pPr>
        <w:pStyle w:val="Heading1"/>
      </w:pPr>
      <w:r>
        <w:t>6. AS-IS vs TO-BE</w:t>
      </w:r>
    </w:p>
    <w:tbl>
      <w:tblPr>
        <w:tblStyle w:val="TableGrid"/>
        <w:tblW w:type="auto" w:w="0"/>
        <w:jc w:val="center"/>
        <w:tblLook w:firstColumn="1" w:firstRow="1" w:lastColumn="0" w:lastRow="0" w:noHBand="0" w:noVBand="1" w:val="04A0"/>
      </w:tblPr>
      <w:tblGrid>
        <w:gridCol w:w="4320"/>
        <w:gridCol w:w="4320"/>
      </w:tblGrid>
      <w:tr>
        <w:tc>
          <w:tcPr>
            <w:tcW w:type="dxa" w:w="4320"/>
          </w:tcPr>
          <w:p>
            <w:r>
              <w:t>AS-IS</w:t>
            </w:r>
          </w:p>
        </w:tc>
        <w:tc>
          <w:tcPr>
            <w:tcW w:type="dxa" w:w="4320"/>
          </w:tcPr>
          <w:p>
            <w:r>
              <w:t>TO-BE</w:t>
            </w:r>
          </w:p>
        </w:tc>
      </w:tr>
      <w:tr>
        <w:tc>
          <w:tcPr>
            <w:tcW w:type="dxa" w:w="4320"/>
          </w:tcPr>
          <w:p>
            <w:r>
              <w:t>Operational systems → manual extracts → spreadsheets → manual journals → GL → reconciliation</w:t>
            </w:r>
          </w:p>
        </w:tc>
        <w:tc>
          <w:tcPr>
            <w:tcW w:type="dxa" w:w="4320"/>
          </w:tcPr>
          <w:p>
            <w:r>
              <w:t>Policy/Claims/Reinsurance → Integration → Accounting Subledger → Rule Engine → GL → Reconciliation/Reporting</w:t>
            </w:r>
          </w:p>
        </w:tc>
      </w:tr>
      <w:tr>
        <w:tc>
          <w:tcPr>
            <w:tcW w:type="dxa" w:w="4320"/>
          </w:tcPr>
          <w:p>
            <w:r>
              <w:t>Limited traceability</w:t>
            </w:r>
          </w:p>
        </w:tc>
        <w:tc>
          <w:tcPr>
            <w:tcW w:type="dxa" w:w="4320"/>
          </w:tcPr>
          <w:p>
            <w:r>
              <w:t>Source event → rule version → journal → GL traceability</w:t>
            </w:r>
          </w:p>
        </w:tc>
      </w:tr>
      <w:tr>
        <w:tc>
          <w:tcPr>
            <w:tcW w:type="dxa" w:w="4320"/>
          </w:tcPr>
          <w:p>
            <w:r>
              <w:t>Manual exception handling</w:t>
            </w:r>
          </w:p>
        </w:tc>
        <w:tc>
          <w:tcPr>
            <w:tcW w:type="dxa" w:w="4320"/>
          </w:tcPr>
          <w:p>
            <w:r>
              <w:t>Quarantine queue with owner/status</w:t>
            </w:r>
          </w:p>
        </w:tc>
      </w:tr>
    </w:tbl>
    <w:p>
      <w:pPr>
        <w:pStyle w:val="Heading1"/>
      </w:pPr>
      <w:r>
        <w:t>7. Functional Requirements</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t>ID</w:t>
            </w:r>
          </w:p>
        </w:tc>
        <w:tc>
          <w:tcPr>
            <w:tcW w:type="dxa" w:w="2880"/>
          </w:tcPr>
          <w:p>
            <w:r>
              <w:t>Area</w:t>
            </w:r>
          </w:p>
        </w:tc>
        <w:tc>
          <w:tcPr>
            <w:tcW w:type="dxa" w:w="2880"/>
          </w:tcPr>
          <w:p>
            <w:r>
              <w:t>Requirement</w:t>
            </w:r>
          </w:p>
        </w:tc>
      </w:tr>
      <w:tr>
        <w:tc>
          <w:tcPr>
            <w:tcW w:type="dxa" w:w="2880"/>
          </w:tcPr>
          <w:p>
            <w:r>
              <w:t>FR-001</w:t>
            </w:r>
          </w:p>
        </w:tc>
        <w:tc>
          <w:tcPr>
            <w:tcW w:type="dxa" w:w="2880"/>
          </w:tcPr>
          <w:p>
            <w:r>
              <w:t>Event ingestion</w:t>
            </w:r>
          </w:p>
        </w:tc>
        <w:tc>
          <w:tcPr>
            <w:tcW w:type="dxa" w:w="2880"/>
          </w:tcPr>
          <w:p>
            <w:r>
              <w:t>The system shall ingest validated policy, premium, claim and reinsurance events with a unique source event ID.</w:t>
            </w:r>
          </w:p>
        </w:tc>
      </w:tr>
      <w:tr>
        <w:tc>
          <w:tcPr>
            <w:tcW w:type="dxa" w:w="2880"/>
          </w:tcPr>
          <w:p>
            <w:r>
              <w:t>FR-002</w:t>
            </w:r>
          </w:p>
        </w:tc>
        <w:tc>
          <w:tcPr>
            <w:tcW w:type="dxa" w:w="2880"/>
          </w:tcPr>
          <w:p>
            <w:r>
              <w:t>Duplicate control</w:t>
            </w:r>
          </w:p>
        </w:tc>
        <w:tc>
          <w:tcPr>
            <w:tcW w:type="dxa" w:w="2880"/>
          </w:tcPr>
          <w:p>
            <w:r>
              <w:t>The system shall reject or quarantine duplicate source event IDs.</w:t>
            </w:r>
          </w:p>
        </w:tc>
      </w:tr>
      <w:tr>
        <w:tc>
          <w:tcPr>
            <w:tcW w:type="dxa" w:w="2880"/>
          </w:tcPr>
          <w:p>
            <w:r>
              <w:t>FR-003</w:t>
            </w:r>
          </w:p>
        </w:tc>
        <w:tc>
          <w:tcPr>
            <w:tcW w:type="dxa" w:w="2880"/>
          </w:tcPr>
          <w:p>
            <w:r>
              <w:t>Accounting mapping</w:t>
            </w:r>
          </w:p>
        </w:tc>
        <w:tc>
          <w:tcPr>
            <w:tcW w:type="dxa" w:w="2880"/>
          </w:tcPr>
          <w:p>
            <w:r>
              <w:t>The system shall map each eligible event to an accounting rule based on event type, product, legal entity and accounting basis.</w:t>
            </w:r>
          </w:p>
        </w:tc>
      </w:tr>
      <w:tr>
        <w:tc>
          <w:tcPr>
            <w:tcW w:type="dxa" w:w="2880"/>
          </w:tcPr>
          <w:p>
            <w:r>
              <w:t>FR-004</w:t>
            </w:r>
          </w:p>
        </w:tc>
        <w:tc>
          <w:tcPr>
            <w:tcW w:type="dxa" w:w="2880"/>
          </w:tcPr>
          <w:p>
            <w:r>
              <w:t>Journal generation</w:t>
            </w:r>
          </w:p>
        </w:tc>
        <w:tc>
          <w:tcPr>
            <w:tcW w:type="dxa" w:w="2880"/>
          </w:tcPr>
          <w:p>
            <w:r>
              <w:t>The system shall generate balanced debit and credit journal lines for each accounting event.</w:t>
            </w:r>
          </w:p>
        </w:tc>
      </w:tr>
      <w:tr>
        <w:tc>
          <w:tcPr>
            <w:tcW w:type="dxa" w:w="2880"/>
          </w:tcPr>
          <w:p>
            <w:r>
              <w:t>FR-005</w:t>
            </w:r>
          </w:p>
        </w:tc>
        <w:tc>
          <w:tcPr>
            <w:tcW w:type="dxa" w:w="2880"/>
          </w:tcPr>
          <w:p>
            <w:r>
              <w:t>Traceability</w:t>
            </w:r>
          </w:p>
        </w:tc>
        <w:tc>
          <w:tcPr>
            <w:tcW w:type="dxa" w:w="2880"/>
          </w:tcPr>
          <w:p>
            <w:r>
              <w:t>The system shall retain the source event ID on every journal batch and journal line.</w:t>
            </w:r>
          </w:p>
        </w:tc>
      </w:tr>
      <w:tr>
        <w:tc>
          <w:tcPr>
            <w:tcW w:type="dxa" w:w="2880"/>
          </w:tcPr>
          <w:p>
            <w:r>
              <w:t>FR-006</w:t>
            </w:r>
          </w:p>
        </w:tc>
        <w:tc>
          <w:tcPr>
            <w:tcW w:type="dxa" w:w="2880"/>
          </w:tcPr>
          <w:p>
            <w:r>
              <w:t>Premium cash</w:t>
            </w:r>
          </w:p>
        </w:tc>
        <w:tc>
          <w:tcPr>
            <w:tcW w:type="dxa" w:w="2880"/>
          </w:tcPr>
          <w:p>
            <w:r>
              <w:t>The system shall record premium cash receipts against the relevant premium receivable/open item.</w:t>
            </w:r>
          </w:p>
        </w:tc>
      </w:tr>
      <w:tr>
        <w:tc>
          <w:tcPr>
            <w:tcW w:type="dxa" w:w="2880"/>
          </w:tcPr>
          <w:p>
            <w:r>
              <w:t>FR-007</w:t>
            </w:r>
          </w:p>
        </w:tc>
        <w:tc>
          <w:tcPr>
            <w:tcW w:type="dxa" w:w="2880"/>
          </w:tcPr>
          <w:p>
            <w:r>
              <w:t>Insurance revenue</w:t>
            </w:r>
          </w:p>
        </w:tc>
        <w:tc>
          <w:tcPr>
            <w:tcW w:type="dxa" w:w="2880"/>
          </w:tcPr>
          <w:p>
            <w:r>
              <w:t>For eligible PAA contracts, the system shall support recognition of insurance revenue over the coverage period based on configured service pattern.</w:t>
            </w:r>
          </w:p>
        </w:tc>
      </w:tr>
      <w:tr>
        <w:tc>
          <w:tcPr>
            <w:tcW w:type="dxa" w:w="2880"/>
          </w:tcPr>
          <w:p>
            <w:r>
              <w:t>FR-008</w:t>
            </w:r>
          </w:p>
        </w:tc>
        <w:tc>
          <w:tcPr>
            <w:tcW w:type="dxa" w:w="2880"/>
          </w:tcPr>
          <w:p>
            <w:r>
              <w:t>Claims incurred</w:t>
            </w:r>
          </w:p>
        </w:tc>
        <w:tc>
          <w:tcPr>
            <w:tcW w:type="dxa" w:w="2880"/>
          </w:tcPr>
          <w:p>
            <w:r>
              <w:t>The system shall record claim-incurred events and update liability-for-incurred-claims data.</w:t>
            </w:r>
          </w:p>
        </w:tc>
      </w:tr>
      <w:tr>
        <w:tc>
          <w:tcPr>
            <w:tcW w:type="dxa" w:w="2880"/>
          </w:tcPr>
          <w:p>
            <w:r>
              <w:t>FR-009</w:t>
            </w:r>
          </w:p>
        </w:tc>
        <w:tc>
          <w:tcPr>
            <w:tcW w:type="dxa" w:w="2880"/>
          </w:tcPr>
          <w:p>
            <w:r>
              <w:t>Claims paid</w:t>
            </w:r>
          </w:p>
        </w:tc>
        <w:tc>
          <w:tcPr>
            <w:tcW w:type="dxa" w:w="2880"/>
          </w:tcPr>
          <w:p>
            <w:r>
              <w:t>The system shall record claim payments and link the payment to the originating claim.</w:t>
            </w:r>
          </w:p>
        </w:tc>
      </w:tr>
      <w:tr>
        <w:tc>
          <w:tcPr>
            <w:tcW w:type="dxa" w:w="2880"/>
          </w:tcPr>
          <w:p>
            <w:r>
              <w:t>FR-010</w:t>
            </w:r>
          </w:p>
        </w:tc>
        <w:tc>
          <w:tcPr>
            <w:tcW w:type="dxa" w:w="2880"/>
          </w:tcPr>
          <w:p>
            <w:r>
              <w:t>Reinsurance</w:t>
            </w:r>
          </w:p>
        </w:tc>
        <w:tc>
          <w:tcPr>
            <w:tcW w:type="dxa" w:w="2880"/>
          </w:tcPr>
          <w:p>
            <w:r>
              <w:t>The system shall record reinsurance-related events separately from direct insurance contract events.</w:t>
            </w:r>
          </w:p>
        </w:tc>
      </w:tr>
      <w:tr>
        <w:tc>
          <w:tcPr>
            <w:tcW w:type="dxa" w:w="2880"/>
          </w:tcPr>
          <w:p>
            <w:r>
              <w:t>FR-011</w:t>
            </w:r>
          </w:p>
        </w:tc>
        <w:tc>
          <w:tcPr>
            <w:tcW w:type="dxa" w:w="2880"/>
          </w:tcPr>
          <w:p>
            <w:r>
              <w:t>Reconciliation</w:t>
            </w:r>
          </w:p>
        </w:tc>
        <w:tc>
          <w:tcPr>
            <w:tcW w:type="dxa" w:w="2880"/>
          </w:tcPr>
          <w:p>
            <w:r>
              <w:t>The system shall compare operational source totals, subledger totals and GL totals for a defined accounting period.</w:t>
            </w:r>
          </w:p>
        </w:tc>
      </w:tr>
      <w:tr>
        <w:tc>
          <w:tcPr>
            <w:tcW w:type="dxa" w:w="2880"/>
          </w:tcPr>
          <w:p>
            <w:r>
              <w:t>FR-012</w:t>
            </w:r>
          </w:p>
        </w:tc>
        <w:tc>
          <w:tcPr>
            <w:tcW w:type="dxa" w:w="2880"/>
          </w:tcPr>
          <w:p>
            <w:r>
              <w:t>Exception management</w:t>
            </w:r>
          </w:p>
        </w:tc>
        <w:tc>
          <w:tcPr>
            <w:tcW w:type="dxa" w:w="2880"/>
          </w:tcPr>
          <w:p>
            <w:r>
              <w:t>The system shall create an exception when a transaction cannot be mapped, balanced or reconciled.</w:t>
            </w:r>
          </w:p>
        </w:tc>
      </w:tr>
      <w:tr>
        <w:tc>
          <w:tcPr>
            <w:tcW w:type="dxa" w:w="2880"/>
          </w:tcPr>
          <w:p>
            <w:r>
              <w:t>FR-013</w:t>
            </w:r>
          </w:p>
        </w:tc>
        <w:tc>
          <w:tcPr>
            <w:tcW w:type="dxa" w:w="2880"/>
          </w:tcPr>
          <w:p>
            <w:r>
              <w:t>Period control</w:t>
            </w:r>
          </w:p>
        </w:tc>
        <w:tc>
          <w:tcPr>
            <w:tcW w:type="dxa" w:w="2880"/>
          </w:tcPr>
          <w:p>
            <w:r>
              <w:t>The system shall prevent posting to a closed accounting period unless an authorized override is recorded.</w:t>
            </w:r>
          </w:p>
        </w:tc>
      </w:tr>
      <w:tr>
        <w:tc>
          <w:tcPr>
            <w:tcW w:type="dxa" w:w="2880"/>
          </w:tcPr>
          <w:p>
            <w:r>
              <w:t>FR-014</w:t>
            </w:r>
          </w:p>
        </w:tc>
        <w:tc>
          <w:tcPr>
            <w:tcW w:type="dxa" w:w="2880"/>
          </w:tcPr>
          <w:p>
            <w:r>
              <w:t>Reporting</w:t>
            </w:r>
          </w:p>
        </w:tc>
        <w:tc>
          <w:tcPr>
            <w:tcW w:type="dxa" w:w="2880"/>
          </w:tcPr>
          <w:p>
            <w:r>
              <w:t>The system shall provide period-level balances and transaction drill-down for finance users.</w:t>
            </w:r>
          </w:p>
        </w:tc>
      </w:tr>
      <w:tr>
        <w:tc>
          <w:tcPr>
            <w:tcW w:type="dxa" w:w="2880"/>
          </w:tcPr>
          <w:p>
            <w:r>
              <w:t>FR-015</w:t>
            </w:r>
          </w:p>
        </w:tc>
        <w:tc>
          <w:tcPr>
            <w:tcW w:type="dxa" w:w="2880"/>
          </w:tcPr>
          <w:p>
            <w:r>
              <w:t>Audit trail</w:t>
            </w:r>
          </w:p>
        </w:tc>
        <w:tc>
          <w:tcPr>
            <w:tcW w:type="dxa" w:w="2880"/>
          </w:tcPr>
          <w:p>
            <w:r>
              <w:t>The system shall retain who/when/what information for accounting-rule changes and manual adjustments.</w:t>
            </w:r>
          </w:p>
        </w:tc>
      </w:tr>
    </w:tbl>
    <w:p>
      <w:pPr>
        <w:pStyle w:val="Heading1"/>
      </w:pPr>
      <w:r>
        <w:t>8. Business Rules</w:t>
      </w:r>
    </w:p>
    <w:tbl>
      <w:tblPr>
        <w:tblStyle w:val="TableGrid"/>
        <w:tblW w:type="auto" w:w="0"/>
        <w:jc w:val="center"/>
        <w:tblLook w:firstColumn="1" w:firstRow="1" w:lastColumn="0" w:lastRow="0" w:noHBand="0" w:noVBand="1" w:val="04A0"/>
      </w:tblPr>
      <w:tblGrid>
        <w:gridCol w:w="4320"/>
        <w:gridCol w:w="4320"/>
      </w:tblGrid>
      <w:tr>
        <w:tc>
          <w:tcPr>
            <w:tcW w:type="dxa" w:w="4320"/>
          </w:tcPr>
          <w:p>
            <w:r>
              <w:t>ID</w:t>
            </w:r>
          </w:p>
        </w:tc>
        <w:tc>
          <w:tcPr>
            <w:tcW w:type="dxa" w:w="4320"/>
          </w:tcPr>
          <w:p>
            <w:r>
              <w:t>Rule</w:t>
            </w:r>
          </w:p>
        </w:tc>
      </w:tr>
      <w:tr>
        <w:tc>
          <w:tcPr>
            <w:tcW w:type="dxa" w:w="4320"/>
          </w:tcPr>
          <w:p>
            <w:r>
              <w:t>BR-001</w:t>
            </w:r>
          </w:p>
        </w:tc>
        <w:tc>
          <w:tcPr>
            <w:tcW w:type="dxa" w:w="4320"/>
          </w:tcPr>
          <w:p>
            <w:r>
              <w:t>Every accounting event must have a unique source event ID.</w:t>
            </w:r>
          </w:p>
        </w:tc>
      </w:tr>
      <w:tr>
        <w:tc>
          <w:tcPr>
            <w:tcW w:type="dxa" w:w="4320"/>
          </w:tcPr>
          <w:p>
            <w:r>
              <w:t>BR-002</w:t>
            </w:r>
          </w:p>
        </w:tc>
        <w:tc>
          <w:tcPr>
            <w:tcW w:type="dxa" w:w="4320"/>
          </w:tcPr>
          <w:p>
            <w:r>
              <w:t>Journal batches must balance: total debits = total credits.</w:t>
            </w:r>
          </w:p>
        </w:tc>
      </w:tr>
      <w:tr>
        <w:tc>
          <w:tcPr>
            <w:tcW w:type="dxa" w:w="4320"/>
          </w:tcPr>
          <w:p>
            <w:r>
              <w:t>BR-003</w:t>
            </w:r>
          </w:p>
        </w:tc>
        <w:tc>
          <w:tcPr>
            <w:tcW w:type="dxa" w:w="4320"/>
          </w:tcPr>
          <w:p>
            <w:r>
              <w:t>A policy must be in a valid accounting status before its premium transaction is posted.</w:t>
            </w:r>
          </w:p>
        </w:tc>
      </w:tr>
      <w:tr>
        <w:tc>
          <w:tcPr>
            <w:tcW w:type="dxa" w:w="4320"/>
          </w:tcPr>
          <w:p>
            <w:r>
              <w:t>BR-004</w:t>
            </w:r>
          </w:p>
        </w:tc>
        <w:tc>
          <w:tcPr>
            <w:tcW w:type="dxa" w:w="4320"/>
          </w:tcPr>
          <w:p>
            <w:r>
              <w:t>A claim payment must reference a valid claim and cannot exceed the approved payable amount without an authorized adjustment.</w:t>
            </w:r>
          </w:p>
        </w:tc>
      </w:tr>
      <w:tr>
        <w:tc>
          <w:tcPr>
            <w:tcW w:type="dxa" w:w="4320"/>
          </w:tcPr>
          <w:p>
            <w:r>
              <w:t>BR-005</w:t>
            </w:r>
          </w:p>
        </w:tc>
        <w:tc>
          <w:tcPr>
            <w:tcW w:type="dxa" w:w="4320"/>
          </w:tcPr>
          <w:p>
            <w:r>
              <w:t>Transactions belonging to a closed period require an authorized reopening/adjustment process.</w:t>
            </w:r>
          </w:p>
        </w:tc>
      </w:tr>
      <w:tr>
        <w:tc>
          <w:tcPr>
            <w:tcW w:type="dxa" w:w="4320"/>
          </w:tcPr>
          <w:p>
            <w:r>
              <w:t>BR-006</w:t>
            </w:r>
          </w:p>
        </w:tc>
        <w:tc>
          <w:tcPr>
            <w:tcW w:type="dxa" w:w="4320"/>
          </w:tcPr>
          <w:p>
            <w:r>
              <w:t>Accounting rules are effective-dated; historical transactions use the rule version effective at the event/posting date.</w:t>
            </w:r>
          </w:p>
        </w:tc>
      </w:tr>
      <w:tr>
        <w:tc>
          <w:tcPr>
            <w:tcW w:type="dxa" w:w="4320"/>
          </w:tcPr>
          <w:p>
            <w:r>
              <w:t>BR-007</w:t>
            </w:r>
          </w:p>
        </w:tc>
        <w:tc>
          <w:tcPr>
            <w:tcW w:type="dxa" w:w="4320"/>
          </w:tcPr>
          <w:p>
            <w:r>
              <w:t>This case study assumes eligible short-duration P&amp;C contracts use the Premium Allocation Approach (PAA).</w:t>
            </w:r>
          </w:p>
        </w:tc>
      </w:tr>
      <w:tr>
        <w:tc>
          <w:tcPr>
            <w:tcW w:type="dxa" w:w="4320"/>
          </w:tcPr>
          <w:p>
            <w:r>
              <w:t>BR-008</w:t>
            </w:r>
          </w:p>
        </w:tc>
        <w:tc>
          <w:tcPr>
            <w:tcW w:type="dxa" w:w="4320"/>
          </w:tcPr>
          <w:p>
            <w:r>
              <w:t>Reinsurance-held balances are tracked separately from direct insurance contract balances.</w:t>
            </w:r>
          </w:p>
        </w:tc>
      </w:tr>
    </w:tbl>
    <w:p>
      <w:pPr>
        <w:pStyle w:val="Heading1"/>
      </w:pPr>
      <w:r>
        <w:t>9. Illustrative Accounting Event Matrix</w:t>
      </w:r>
    </w:p>
    <w:p>
      <w:r>
        <w:t>These mappings are illustrative for interview practice and must be validated against the insurer's approved accounting policy, chart of accounts and product-specific treatment.</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r>
              <w:t>Event</w:t>
            </w:r>
          </w:p>
        </w:tc>
        <w:tc>
          <w:tcPr>
            <w:tcW w:type="dxa" w:w="1440"/>
          </w:tcPr>
          <w:p>
            <w:r>
              <w:t>Business Event</w:t>
            </w:r>
          </w:p>
        </w:tc>
        <w:tc>
          <w:tcPr>
            <w:tcW w:type="dxa" w:w="1440"/>
          </w:tcPr>
          <w:p>
            <w:r>
              <w:t>Illustrative Debit</w:t>
            </w:r>
          </w:p>
        </w:tc>
        <w:tc>
          <w:tcPr>
            <w:tcW w:type="dxa" w:w="1440"/>
          </w:tcPr>
          <w:p>
            <w:r>
              <w:t>Illustrative Credit</w:t>
            </w:r>
          </w:p>
        </w:tc>
        <w:tc>
          <w:tcPr>
            <w:tcW w:type="dxa" w:w="1440"/>
          </w:tcPr>
          <w:p>
            <w:r>
              <w:t>Amount Source</w:t>
            </w:r>
          </w:p>
        </w:tc>
        <w:tc>
          <w:tcPr>
            <w:tcW w:type="dxa" w:w="1440"/>
          </w:tcPr>
          <w:p>
            <w:r>
              <w:t>Control</w:t>
            </w:r>
          </w:p>
        </w:tc>
      </w:tr>
      <w:tr>
        <w:tc>
          <w:tcPr>
            <w:tcW w:type="dxa" w:w="1440"/>
          </w:tcPr>
          <w:p>
            <w:r>
              <w:t>EVT-001</w:t>
            </w:r>
          </w:p>
        </w:tc>
        <w:tc>
          <w:tcPr>
            <w:tcW w:type="dxa" w:w="1440"/>
          </w:tcPr>
          <w:p>
            <w:r>
              <w:t>Policy premium accounting event</w:t>
            </w:r>
          </w:p>
        </w:tc>
        <w:tc>
          <w:tcPr>
            <w:tcW w:type="dxa" w:w="1440"/>
          </w:tcPr>
          <w:p>
            <w:r>
              <w:t>Premium Receivable / relevant asset</w:t>
            </w:r>
          </w:p>
        </w:tc>
        <w:tc>
          <w:tcPr>
            <w:tcW w:type="dxa" w:w="1440"/>
          </w:tcPr>
          <w:p>
            <w:r>
              <w:t>PAA LRC-related balance</w:t>
            </w:r>
          </w:p>
        </w:tc>
        <w:tc>
          <w:tcPr>
            <w:tcW w:type="dxa" w:w="1440"/>
          </w:tcPr>
          <w:p>
            <w:r>
              <w:t>Premium amount</w:t>
            </w:r>
          </w:p>
        </w:tc>
        <w:tc>
          <w:tcPr>
            <w:tcW w:type="dxa" w:w="1440"/>
          </w:tcPr>
          <w:p>
            <w:r>
              <w:t>Valid policy + rule version</w:t>
            </w:r>
          </w:p>
        </w:tc>
      </w:tr>
      <w:tr>
        <w:tc>
          <w:tcPr>
            <w:tcW w:type="dxa" w:w="1440"/>
          </w:tcPr>
          <w:p>
            <w:r>
              <w:t>EVT-002</w:t>
            </w:r>
          </w:p>
        </w:tc>
        <w:tc>
          <w:tcPr>
            <w:tcW w:type="dxa" w:w="1440"/>
          </w:tcPr>
          <w:p>
            <w:r>
              <w:t>Premium cash received</w:t>
            </w:r>
          </w:p>
        </w:tc>
        <w:tc>
          <w:tcPr>
            <w:tcW w:type="dxa" w:w="1440"/>
          </w:tcPr>
          <w:p>
            <w:r>
              <w:t>Cash</w:t>
            </w:r>
          </w:p>
        </w:tc>
        <w:tc>
          <w:tcPr>
            <w:tcW w:type="dxa" w:w="1440"/>
          </w:tcPr>
          <w:p>
            <w:r>
              <w:t>Premium Receivable</w:t>
            </w:r>
          </w:p>
        </w:tc>
        <w:tc>
          <w:tcPr>
            <w:tcW w:type="dxa" w:w="1440"/>
          </w:tcPr>
          <w:p>
            <w:r>
              <w:t>Cash amount</w:t>
            </w:r>
          </w:p>
        </w:tc>
        <w:tc>
          <w:tcPr>
            <w:tcW w:type="dxa" w:w="1440"/>
          </w:tcPr>
          <w:p>
            <w:r>
              <w:t>Valid open item</w:t>
            </w:r>
          </w:p>
        </w:tc>
      </w:tr>
      <w:tr>
        <w:tc>
          <w:tcPr>
            <w:tcW w:type="dxa" w:w="1440"/>
          </w:tcPr>
          <w:p>
            <w:r>
              <w:t>EVT-003</w:t>
            </w:r>
          </w:p>
        </w:tc>
        <w:tc>
          <w:tcPr>
            <w:tcW w:type="dxa" w:w="1440"/>
          </w:tcPr>
          <w:p>
            <w:r>
              <w:t>Coverage service recognized</w:t>
            </w:r>
          </w:p>
        </w:tc>
        <w:tc>
          <w:tcPr>
            <w:tcW w:type="dxa" w:w="1440"/>
          </w:tcPr>
          <w:p>
            <w:r>
              <w:t>PAA LRC-related balance</w:t>
            </w:r>
          </w:p>
        </w:tc>
        <w:tc>
          <w:tcPr>
            <w:tcW w:type="dxa" w:w="1440"/>
          </w:tcPr>
          <w:p>
            <w:r>
              <w:t>Insurance Revenue</w:t>
            </w:r>
          </w:p>
        </w:tc>
        <w:tc>
          <w:tcPr>
            <w:tcW w:type="dxa" w:w="1440"/>
          </w:tcPr>
          <w:p>
            <w:r>
              <w:t>Configured service amount</w:t>
            </w:r>
          </w:p>
        </w:tc>
        <w:tc>
          <w:tcPr>
            <w:tcW w:type="dxa" w:w="1440"/>
          </w:tcPr>
          <w:p>
            <w:r>
              <w:t>Eligible contract + service period</w:t>
            </w:r>
          </w:p>
        </w:tc>
      </w:tr>
      <w:tr>
        <w:tc>
          <w:tcPr>
            <w:tcW w:type="dxa" w:w="1440"/>
          </w:tcPr>
          <w:p>
            <w:r>
              <w:t>EVT-004</w:t>
            </w:r>
          </w:p>
        </w:tc>
        <w:tc>
          <w:tcPr>
            <w:tcW w:type="dxa" w:w="1440"/>
          </w:tcPr>
          <w:p>
            <w:r>
              <w:t>Claim incurred</w:t>
            </w:r>
          </w:p>
        </w:tc>
        <w:tc>
          <w:tcPr>
            <w:tcW w:type="dxa" w:w="1440"/>
          </w:tcPr>
          <w:p>
            <w:r>
              <w:t>Insurance Service Expense</w:t>
            </w:r>
          </w:p>
        </w:tc>
        <w:tc>
          <w:tcPr>
            <w:tcW w:type="dxa" w:w="1440"/>
          </w:tcPr>
          <w:p>
            <w:r>
              <w:t>Liability for Incurred Claims</w:t>
            </w:r>
          </w:p>
        </w:tc>
        <w:tc>
          <w:tcPr>
            <w:tcW w:type="dxa" w:w="1440"/>
          </w:tcPr>
          <w:p>
            <w:r>
              <w:t>Approved incurred amount</w:t>
            </w:r>
          </w:p>
        </w:tc>
        <w:tc>
          <w:tcPr>
            <w:tcW w:type="dxa" w:w="1440"/>
          </w:tcPr>
          <w:p>
            <w:r>
              <w:t>Valid claim + approval</w:t>
            </w:r>
          </w:p>
        </w:tc>
      </w:tr>
      <w:tr>
        <w:tc>
          <w:tcPr>
            <w:tcW w:type="dxa" w:w="1440"/>
          </w:tcPr>
          <w:p>
            <w:r>
              <w:t>EVT-005</w:t>
            </w:r>
          </w:p>
        </w:tc>
        <w:tc>
          <w:tcPr>
            <w:tcW w:type="dxa" w:w="1440"/>
          </w:tcPr>
          <w:p>
            <w:r>
              <w:t>Claim paid</w:t>
            </w:r>
          </w:p>
        </w:tc>
        <w:tc>
          <w:tcPr>
            <w:tcW w:type="dxa" w:w="1440"/>
          </w:tcPr>
          <w:p>
            <w:r>
              <w:t>Liability for Incurred Claims</w:t>
            </w:r>
          </w:p>
        </w:tc>
        <w:tc>
          <w:tcPr>
            <w:tcW w:type="dxa" w:w="1440"/>
          </w:tcPr>
          <w:p>
            <w:r>
              <w:t>Cash</w:t>
            </w:r>
          </w:p>
        </w:tc>
        <w:tc>
          <w:tcPr>
            <w:tcW w:type="dxa" w:w="1440"/>
          </w:tcPr>
          <w:p>
            <w:r>
              <w:t>Payment amount</w:t>
            </w:r>
          </w:p>
        </w:tc>
        <w:tc>
          <w:tcPr>
            <w:tcW w:type="dxa" w:w="1440"/>
          </w:tcPr>
          <w:p>
            <w:r>
              <w:t>Payment cannot exceed authorized payable</w:t>
            </w:r>
          </w:p>
        </w:tc>
      </w:tr>
      <w:tr>
        <w:tc>
          <w:tcPr>
            <w:tcW w:type="dxa" w:w="1440"/>
          </w:tcPr>
          <w:p>
            <w:r>
              <w:t>EVT-006</w:t>
            </w:r>
          </w:p>
        </w:tc>
        <w:tc>
          <w:tcPr>
            <w:tcW w:type="dxa" w:w="1440"/>
          </w:tcPr>
          <w:p>
            <w:r>
              <w:t>Ceded premium</w:t>
            </w:r>
          </w:p>
        </w:tc>
        <w:tc>
          <w:tcPr>
            <w:tcW w:type="dxa" w:w="1440"/>
          </w:tcPr>
          <w:p>
            <w:r>
              <w:t>Reinsurance-held related balance</w:t>
            </w:r>
          </w:p>
        </w:tc>
        <w:tc>
          <w:tcPr>
            <w:tcW w:type="dxa" w:w="1440"/>
          </w:tcPr>
          <w:p>
            <w:r>
              <w:t>Payable/Cash</w:t>
            </w:r>
          </w:p>
        </w:tc>
        <w:tc>
          <w:tcPr>
            <w:tcW w:type="dxa" w:w="1440"/>
          </w:tcPr>
          <w:p>
            <w:r>
              <w:t>Ceded amount</w:t>
            </w:r>
          </w:p>
        </w:tc>
        <w:tc>
          <w:tcPr>
            <w:tcW w:type="dxa" w:w="1440"/>
          </w:tcPr>
          <w:p>
            <w:r>
              <w:t>Valid treaty/program</w:t>
            </w:r>
          </w:p>
        </w:tc>
      </w:tr>
      <w:tr>
        <w:tc>
          <w:tcPr>
            <w:tcW w:type="dxa" w:w="1440"/>
          </w:tcPr>
          <w:p>
            <w:r>
              <w:t>EVT-007</w:t>
            </w:r>
          </w:p>
        </w:tc>
        <w:tc>
          <w:tcPr>
            <w:tcW w:type="dxa" w:w="1440"/>
          </w:tcPr>
          <w:p>
            <w:r>
              <w:t>Reinsurance recovery</w:t>
            </w:r>
          </w:p>
        </w:tc>
        <w:tc>
          <w:tcPr>
            <w:tcW w:type="dxa" w:w="1440"/>
          </w:tcPr>
          <w:p>
            <w:r>
              <w:t>Receivable / recovery balance</w:t>
            </w:r>
          </w:p>
        </w:tc>
        <w:tc>
          <w:tcPr>
            <w:tcW w:type="dxa" w:w="1440"/>
          </w:tcPr>
          <w:p>
            <w:r>
              <w:t>Reinsurance recovery-related balance</w:t>
            </w:r>
          </w:p>
        </w:tc>
        <w:tc>
          <w:tcPr>
            <w:tcW w:type="dxa" w:w="1440"/>
          </w:tcPr>
          <w:p>
            <w:r>
              <w:t>Recovery amount</w:t>
            </w:r>
          </w:p>
        </w:tc>
        <w:tc>
          <w:tcPr>
            <w:tcW w:type="dxa" w:w="1440"/>
          </w:tcPr>
          <w:p>
            <w:r>
              <w:t>Valid underlying claim/contract</w:t>
            </w:r>
          </w:p>
        </w:tc>
      </w:tr>
    </w:tbl>
    <w:p>
      <w:pPr>
        <w:pStyle w:val="Heading1"/>
      </w:pPr>
      <w:r>
        <w:t>10. Data / Information Flow</w:t>
      </w:r>
    </w:p>
    <w:p>
      <w:pPr>
        <w:pStyle w:val="ListBullet"/>
      </w:pPr>
      <w:r>
        <w:t>Policy event: policy ID, product, coverage dates, premium, currency, transaction type, legal entity.</w:t>
      </w:r>
    </w:p>
    <w:p>
      <w:pPr>
        <w:pStyle w:val="ListBullet"/>
      </w:pPr>
      <w:r>
        <w:t>Claim event: claim ID, policy ID, occurrence/notification dates, incurred amount, paid amount, status.</w:t>
      </w:r>
    </w:p>
    <w:p>
      <w:pPr>
        <w:pStyle w:val="ListBullet"/>
      </w:pPr>
      <w:r>
        <w:t>Reinsurance event: treaty/program ID, ceded premium, recoveries, commission, reinsurer.</w:t>
      </w:r>
    </w:p>
    <w:p>
      <w:pPr>
        <w:pStyle w:val="ListBullet"/>
      </w:pPr>
      <w:r>
        <w:t>Accounting output: journal ID, source event ID, account, debit/credit, amount, currency, posting date, rule version.</w:t>
      </w:r>
    </w:p>
    <w:p>
      <w:pPr>
        <w:pStyle w:val="ListBullet"/>
      </w:pPr>
      <w:r>
        <w:t>Reconciliation output: source totals, subledger totals, GL totals, variance, exception status and owner.</w:t>
      </w:r>
    </w:p>
    <w:p>
      <w:pPr>
        <w:pStyle w:val="Heading1"/>
      </w:pPr>
      <w:r>
        <w:t>11. IFRS 17 Interview Talking Points</w:t>
      </w:r>
    </w:p>
    <w:p>
      <w:pPr>
        <w:pStyle w:val="ListBullet"/>
      </w:pPr>
      <w:r>
        <w:t>IFRS 17 applies to insurance contracts within its scope and is effective for annual periods beginning on or after 1 January 2023.</w:t>
      </w:r>
    </w:p>
    <w:p>
      <w:pPr>
        <w:pStyle w:val="ListBullet"/>
      </w:pPr>
      <w:r>
        <w:t>It uses current measurement of future cash flows and separates insurance service results from insurance finance income/expenses.</w:t>
      </w:r>
    </w:p>
    <w:p>
      <w:pPr>
        <w:pStyle w:val="ListBullet"/>
      </w:pPr>
      <w:r>
        <w:t>PAA is an optional simplified measurement approach for eligible contracts; this case study assumes eligible short-duration P&amp;C business.</w:t>
      </w:r>
    </w:p>
    <w:p>
      <w:pPr>
        <w:pStyle w:val="ListBullet"/>
      </w:pPr>
      <w:r>
        <w:t>Know the terms LRC, LIC, fulfilment cash flows, risk adjustment, CSM and reinsurance contracts held.</w:t>
      </w:r>
    </w:p>
    <w:p>
      <w:pPr>
        <w:pStyle w:val="ListBullet"/>
      </w:pPr>
      <w:r>
        <w:t>For a two-day BA project, define the required data, rules, interfaces and controls; do not claim to have built a full actuarial IFRS 17 engine.</w:t>
      </w:r>
    </w:p>
    <w:p>
      <w:pPr>
        <w:pStyle w:val="Heading1"/>
      </w:pPr>
      <w:r>
        <w:t>12. Non-Functional Requirements</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t>ID</w:t>
            </w:r>
          </w:p>
        </w:tc>
        <w:tc>
          <w:tcPr>
            <w:tcW w:type="dxa" w:w="2880"/>
          </w:tcPr>
          <w:p>
            <w:r>
              <w:t>Category</w:t>
            </w:r>
          </w:p>
        </w:tc>
        <w:tc>
          <w:tcPr>
            <w:tcW w:type="dxa" w:w="2880"/>
          </w:tcPr>
          <w:p>
            <w:r>
              <w:t>Requirement</w:t>
            </w:r>
          </w:p>
        </w:tc>
      </w:tr>
      <w:tr>
        <w:tc>
          <w:tcPr>
            <w:tcW w:type="dxa" w:w="2880"/>
          </w:tcPr>
          <w:p>
            <w:r>
              <w:t>NFR-001</w:t>
            </w:r>
          </w:p>
        </w:tc>
        <w:tc>
          <w:tcPr>
            <w:tcW w:type="dxa" w:w="2880"/>
          </w:tcPr>
          <w:p>
            <w:r>
              <w:t>Auditability</w:t>
            </w:r>
          </w:p>
        </w:tc>
        <w:tc>
          <w:tcPr>
            <w:tcW w:type="dxa" w:w="2880"/>
          </w:tcPr>
          <w:p>
            <w:r>
              <w:t>Every journal output must trace to a source event and accounting-rule version.</w:t>
            </w:r>
          </w:p>
        </w:tc>
      </w:tr>
      <w:tr>
        <w:tc>
          <w:tcPr>
            <w:tcW w:type="dxa" w:w="2880"/>
          </w:tcPr>
          <w:p>
            <w:r>
              <w:t>NFR-002</w:t>
            </w:r>
          </w:p>
        </w:tc>
        <w:tc>
          <w:tcPr>
            <w:tcW w:type="dxa" w:w="2880"/>
          </w:tcPr>
          <w:p>
            <w:r>
              <w:t>Performance</w:t>
            </w:r>
          </w:p>
        </w:tc>
        <w:tc>
          <w:tcPr>
            <w:tcW w:type="dxa" w:w="2880"/>
          </w:tcPr>
          <w:p>
            <w:r>
              <w:t>The agreed transaction volume must process within the defined batch window.</w:t>
            </w:r>
          </w:p>
        </w:tc>
      </w:tr>
      <w:tr>
        <w:tc>
          <w:tcPr>
            <w:tcW w:type="dxa" w:w="2880"/>
          </w:tcPr>
          <w:p>
            <w:r>
              <w:t>NFR-003</w:t>
            </w:r>
          </w:p>
        </w:tc>
        <w:tc>
          <w:tcPr>
            <w:tcW w:type="dxa" w:w="2880"/>
          </w:tcPr>
          <w:p>
            <w:r>
              <w:t>Security</w:t>
            </w:r>
          </w:p>
        </w:tc>
        <w:tc>
          <w:tcPr>
            <w:tcW w:type="dxa" w:w="2880"/>
          </w:tcPr>
          <w:p>
            <w:r>
              <w:t>Only authorized finance users can change rules or post manual adjustments.</w:t>
            </w:r>
          </w:p>
        </w:tc>
      </w:tr>
      <w:tr>
        <w:tc>
          <w:tcPr>
            <w:tcW w:type="dxa" w:w="2880"/>
          </w:tcPr>
          <w:p>
            <w:r>
              <w:t>NFR-004</w:t>
            </w:r>
          </w:p>
        </w:tc>
        <w:tc>
          <w:tcPr>
            <w:tcW w:type="dxa" w:w="2880"/>
          </w:tcPr>
          <w:p>
            <w:r>
              <w:t>Data Quality</w:t>
            </w:r>
          </w:p>
        </w:tc>
        <w:tc>
          <w:tcPr>
            <w:tcW w:type="dxa" w:w="2880"/>
          </w:tcPr>
          <w:p>
            <w:r>
              <w:t>Mandatory IDs, dates, currency and amounts are validated before posting.</w:t>
            </w:r>
          </w:p>
        </w:tc>
      </w:tr>
      <w:tr>
        <w:tc>
          <w:tcPr>
            <w:tcW w:type="dxa" w:w="2880"/>
          </w:tcPr>
          <w:p>
            <w:r>
              <w:t>NFR-005</w:t>
            </w:r>
          </w:p>
        </w:tc>
        <w:tc>
          <w:tcPr>
            <w:tcW w:type="dxa" w:w="2880"/>
          </w:tcPr>
          <w:p>
            <w:r>
              <w:t>Recoverability</w:t>
            </w:r>
          </w:p>
        </w:tc>
        <w:tc>
          <w:tcPr>
            <w:tcW w:type="dxa" w:w="2880"/>
          </w:tcPr>
          <w:p>
            <w:r>
              <w:t>Failed batches can restart without creating duplicate accounting entries.</w:t>
            </w:r>
          </w:p>
        </w:tc>
      </w:tr>
    </w:tbl>
    <w:p>
      <w:pPr>
        <w:pStyle w:val="Heading1"/>
      </w:pPr>
      <w:r>
        <w:t>13. First-Sprint Agile Backlog</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t>Epic</w:t>
            </w:r>
          </w:p>
        </w:tc>
        <w:tc>
          <w:tcPr>
            <w:tcW w:type="dxa" w:w="2160"/>
          </w:tcPr>
          <w:p>
            <w:r>
              <w:t>Story</w:t>
            </w:r>
          </w:p>
        </w:tc>
        <w:tc>
          <w:tcPr>
            <w:tcW w:type="dxa" w:w="2160"/>
          </w:tcPr>
          <w:p>
            <w:r>
              <w:t>Title</w:t>
            </w:r>
          </w:p>
        </w:tc>
        <w:tc>
          <w:tcPr>
            <w:tcW w:type="dxa" w:w="2160"/>
          </w:tcPr>
          <w:p>
            <w:r>
              <w:t>User Story</w:t>
            </w:r>
          </w:p>
        </w:tc>
      </w:tr>
      <w:tr>
        <w:tc>
          <w:tcPr>
            <w:tcW w:type="dxa" w:w="2160"/>
          </w:tcPr>
          <w:p>
            <w:r>
              <w:t>EPIC-01</w:t>
            </w:r>
          </w:p>
        </w:tc>
        <w:tc>
          <w:tcPr>
            <w:tcW w:type="dxa" w:w="2160"/>
          </w:tcPr>
          <w:p>
            <w:r>
              <w:t>US-001</w:t>
            </w:r>
          </w:p>
        </w:tc>
        <w:tc>
          <w:tcPr>
            <w:tcW w:type="dxa" w:w="2160"/>
          </w:tcPr>
          <w:p>
            <w:r>
              <w:t>Ingest policy accounting events</w:t>
            </w:r>
          </w:p>
        </w:tc>
        <w:tc>
          <w:tcPr>
            <w:tcW w:type="dxa" w:w="2160"/>
          </w:tcPr>
          <w:p>
            <w:r>
              <w:t>As an accounting platform, I want to ingest validated policy events so that finance can process them without manual re-keying.</w:t>
            </w:r>
          </w:p>
        </w:tc>
      </w:tr>
      <w:tr>
        <w:tc>
          <w:tcPr>
            <w:tcW w:type="dxa" w:w="2160"/>
          </w:tcPr>
          <w:p>
            <w:r>
              <w:t>EPIC-01</w:t>
            </w:r>
          </w:p>
        </w:tc>
        <w:tc>
          <w:tcPr>
            <w:tcW w:type="dxa" w:w="2160"/>
          </w:tcPr>
          <w:p>
            <w:r>
              <w:t>US-002</w:t>
            </w:r>
          </w:p>
        </w:tc>
        <w:tc>
          <w:tcPr>
            <w:tcW w:type="dxa" w:w="2160"/>
          </w:tcPr>
          <w:p>
            <w:r>
              <w:t>Generate premium journal</w:t>
            </w:r>
          </w:p>
        </w:tc>
        <w:tc>
          <w:tcPr>
            <w:tcW w:type="dxa" w:w="2160"/>
          </w:tcPr>
          <w:p>
            <w:r>
              <w:t>As an accountant, I want premium events mapped to accounting rules so that journals are generated consistently.</w:t>
            </w:r>
          </w:p>
        </w:tc>
      </w:tr>
      <w:tr>
        <w:tc>
          <w:tcPr>
            <w:tcW w:type="dxa" w:w="2160"/>
          </w:tcPr>
          <w:p>
            <w:r>
              <w:t>EPIC-02</w:t>
            </w:r>
          </w:p>
        </w:tc>
        <w:tc>
          <w:tcPr>
            <w:tcW w:type="dxa" w:w="2160"/>
          </w:tcPr>
          <w:p>
            <w:r>
              <w:t>US-003</w:t>
            </w:r>
          </w:p>
        </w:tc>
        <w:tc>
          <w:tcPr>
            <w:tcW w:type="dxa" w:w="2160"/>
          </w:tcPr>
          <w:p>
            <w:r>
              <w:t>Process claim incurred</w:t>
            </w:r>
          </w:p>
        </w:tc>
        <w:tc>
          <w:tcPr>
            <w:tcW w:type="dxa" w:w="2160"/>
          </w:tcPr>
          <w:p>
            <w:r>
              <w:t>As a claims accountant, I want claim-incurred events posted so that liabilities and service expense are reflected.</w:t>
            </w:r>
          </w:p>
        </w:tc>
      </w:tr>
      <w:tr>
        <w:tc>
          <w:tcPr>
            <w:tcW w:type="dxa" w:w="2160"/>
          </w:tcPr>
          <w:p>
            <w:r>
              <w:t>EPIC-02</w:t>
            </w:r>
          </w:p>
        </w:tc>
        <w:tc>
          <w:tcPr>
            <w:tcW w:type="dxa" w:w="2160"/>
          </w:tcPr>
          <w:p>
            <w:r>
              <w:t>US-004</w:t>
            </w:r>
          </w:p>
        </w:tc>
        <w:tc>
          <w:tcPr>
            <w:tcW w:type="dxa" w:w="2160"/>
          </w:tcPr>
          <w:p>
            <w:r>
              <w:t>Process claim payment</w:t>
            </w:r>
          </w:p>
        </w:tc>
        <w:tc>
          <w:tcPr>
            <w:tcW w:type="dxa" w:w="2160"/>
          </w:tcPr>
          <w:p>
            <w:r>
              <w:t>As a finance user, I want claim payments linked to claims so that paid amounts reduce the relevant liability.</w:t>
            </w:r>
          </w:p>
        </w:tc>
      </w:tr>
      <w:tr>
        <w:tc>
          <w:tcPr>
            <w:tcW w:type="dxa" w:w="2160"/>
          </w:tcPr>
          <w:p>
            <w:r>
              <w:t>EPIC-03</w:t>
            </w:r>
          </w:p>
        </w:tc>
        <w:tc>
          <w:tcPr>
            <w:tcW w:type="dxa" w:w="2160"/>
          </w:tcPr>
          <w:p>
            <w:r>
              <w:t>US-005</w:t>
            </w:r>
          </w:p>
        </w:tc>
        <w:tc>
          <w:tcPr>
            <w:tcW w:type="dxa" w:w="2160"/>
          </w:tcPr>
          <w:p>
            <w:r>
              <w:t>Reconcile to GL</w:t>
            </w:r>
          </w:p>
        </w:tc>
        <w:tc>
          <w:tcPr>
            <w:tcW w:type="dxa" w:w="2160"/>
          </w:tcPr>
          <w:p>
            <w:r>
              <w:t>As a controller, I want a subledger-to-GL reconciliation so that period-end differences are visible and actionable.</w:t>
            </w:r>
          </w:p>
        </w:tc>
      </w:tr>
      <w:tr>
        <w:tc>
          <w:tcPr>
            <w:tcW w:type="dxa" w:w="2160"/>
          </w:tcPr>
          <w:p>
            <w:r>
              <w:t>EPIC-03</w:t>
            </w:r>
          </w:p>
        </w:tc>
        <w:tc>
          <w:tcPr>
            <w:tcW w:type="dxa" w:w="2160"/>
          </w:tcPr>
          <w:p>
            <w:r>
              <w:t>US-006</w:t>
            </w:r>
          </w:p>
        </w:tc>
        <w:tc>
          <w:tcPr>
            <w:tcW w:type="dxa" w:w="2160"/>
          </w:tcPr>
          <w:p>
            <w:r>
              <w:t>View accounting exceptions</w:t>
            </w:r>
          </w:p>
        </w:tc>
        <w:tc>
          <w:tcPr>
            <w:tcW w:type="dxa" w:w="2160"/>
          </w:tcPr>
          <w:p>
            <w:r>
              <w:t>As an accountant, I want unmapped or unbalanced events quarantined so that errors do not reach the GL.</w:t>
            </w:r>
          </w:p>
        </w:tc>
      </w:tr>
    </w:tbl>
    <w:p>
      <w:pPr>
        <w:pStyle w:val="Heading1"/>
      </w:pPr>
      <w:r>
        <w:t>14. Acceptance Criteria Examples</w:t>
      </w:r>
    </w:p>
    <w:p>
      <w:pPr>
        <w:pStyle w:val="ListBullet"/>
      </w:pPr>
      <w:r>
        <w:t>Given a valid policy event, when it is received, then an accounting transaction is created with the source event ID.</w:t>
      </w:r>
    </w:p>
    <w:p>
      <w:pPr>
        <w:pStyle w:val="ListBullet"/>
      </w:pPr>
      <w:r>
        <w:t>Given a duplicate source event ID, when it is received, then no second journal batch is created.</w:t>
      </w:r>
    </w:p>
    <w:p>
      <w:pPr>
        <w:pStyle w:val="ListBullet"/>
      </w:pPr>
      <w:r>
        <w:t>Given no valid accounting mapping, when processing occurs, then the event is quarantined and an exception is created.</w:t>
      </w:r>
    </w:p>
    <w:p>
      <w:pPr>
        <w:pStyle w:val="ListBullet"/>
      </w:pPr>
      <w:r>
        <w:t>Given an unbalanced journal, when posting is attempted, then posting is blocked.</w:t>
      </w:r>
    </w:p>
    <w:p>
      <w:pPr>
        <w:pStyle w:val="ListBullet"/>
      </w:pPr>
      <w:r>
        <w:t>Given a claim payment, when it is processed, then the payment is linked to the claim and the relevant liability is reduced.</w:t>
      </w:r>
    </w:p>
    <w:p>
      <w:pPr>
        <w:pStyle w:val="ListBullet"/>
      </w:pPr>
      <w:r>
        <w:t>Given a closed accounting period, when normal posting is attempted, then the system blocks the posting.</w:t>
      </w:r>
    </w:p>
    <w:p>
      <w:pPr>
        <w:pStyle w:val="Heading1"/>
      </w:pPr>
      <w:r>
        <w:t>15. UAT / Test Scenarios</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t>TC ID</w:t>
            </w:r>
          </w:p>
        </w:tc>
        <w:tc>
          <w:tcPr>
            <w:tcW w:type="dxa" w:w="2880"/>
          </w:tcPr>
          <w:p>
            <w:r>
              <w:t>Scenario</w:t>
            </w:r>
          </w:p>
        </w:tc>
        <w:tc>
          <w:tcPr>
            <w:tcW w:type="dxa" w:w="2880"/>
          </w:tcPr>
          <w:p>
            <w:r>
              <w:t>Expected Result</w:t>
            </w:r>
          </w:p>
        </w:tc>
      </w:tr>
      <w:tr>
        <w:tc>
          <w:tcPr>
            <w:tcW w:type="dxa" w:w="2880"/>
          </w:tcPr>
          <w:p>
            <w:r>
              <w:t>TC-001</w:t>
            </w:r>
          </w:p>
        </w:tc>
        <w:tc>
          <w:tcPr>
            <w:tcW w:type="dxa" w:w="2880"/>
          </w:tcPr>
          <w:p>
            <w:r>
              <w:t>Valid policy event ingestion</w:t>
            </w:r>
          </w:p>
        </w:tc>
        <w:tc>
          <w:tcPr>
            <w:tcW w:type="dxa" w:w="2880"/>
          </w:tcPr>
          <w:p>
            <w:r>
              <w:t>Event accepted and accounting transaction created</w:t>
            </w:r>
          </w:p>
        </w:tc>
      </w:tr>
      <w:tr>
        <w:tc>
          <w:tcPr>
            <w:tcW w:type="dxa" w:w="2880"/>
          </w:tcPr>
          <w:p>
            <w:r>
              <w:t>TC-002</w:t>
            </w:r>
          </w:p>
        </w:tc>
        <w:tc>
          <w:tcPr>
            <w:tcW w:type="dxa" w:w="2880"/>
          </w:tcPr>
          <w:p>
            <w:r>
              <w:t>Premium rule mapping</w:t>
            </w:r>
          </w:p>
        </w:tc>
        <w:tc>
          <w:tcPr>
            <w:tcW w:type="dxa" w:w="2880"/>
          </w:tcPr>
          <w:p>
            <w:r>
              <w:t>Correct effective rule version selected and balanced journal created</w:t>
            </w:r>
          </w:p>
        </w:tc>
      </w:tr>
      <w:tr>
        <w:tc>
          <w:tcPr>
            <w:tcW w:type="dxa" w:w="2880"/>
          </w:tcPr>
          <w:p>
            <w:r>
              <w:t>TC-003</w:t>
            </w:r>
          </w:p>
        </w:tc>
        <w:tc>
          <w:tcPr>
            <w:tcW w:type="dxa" w:w="2880"/>
          </w:tcPr>
          <w:p>
            <w:r>
              <w:t>Claim incurred</w:t>
            </w:r>
          </w:p>
        </w:tc>
        <w:tc>
          <w:tcPr>
            <w:tcW w:type="dxa" w:w="2880"/>
          </w:tcPr>
          <w:p>
            <w:r>
              <w:t>LIC-related accounting output generated</w:t>
            </w:r>
          </w:p>
        </w:tc>
      </w:tr>
      <w:tr>
        <w:tc>
          <w:tcPr>
            <w:tcW w:type="dxa" w:w="2880"/>
          </w:tcPr>
          <w:p>
            <w:r>
              <w:t>TC-004</w:t>
            </w:r>
          </w:p>
        </w:tc>
        <w:tc>
          <w:tcPr>
            <w:tcW w:type="dxa" w:w="2880"/>
          </w:tcPr>
          <w:p>
            <w:r>
              <w:t>Claim payment</w:t>
            </w:r>
          </w:p>
        </w:tc>
        <w:tc>
          <w:tcPr>
            <w:tcW w:type="dxa" w:w="2880"/>
          </w:tcPr>
          <w:p>
            <w:r>
              <w:t>Payment linked to claim and liability reduced</w:t>
            </w:r>
          </w:p>
        </w:tc>
      </w:tr>
      <w:tr>
        <w:tc>
          <w:tcPr>
            <w:tcW w:type="dxa" w:w="2880"/>
          </w:tcPr>
          <w:p>
            <w:r>
              <w:t>TC-005</w:t>
            </w:r>
          </w:p>
        </w:tc>
        <w:tc>
          <w:tcPr>
            <w:tcW w:type="dxa" w:w="2880"/>
          </w:tcPr>
          <w:p>
            <w:r>
              <w:t>GL reconciliation</w:t>
            </w:r>
          </w:p>
        </w:tc>
        <w:tc>
          <w:tcPr>
            <w:tcW w:type="dxa" w:w="2880"/>
          </w:tcPr>
          <w:p>
            <w:r>
              <w:t>Differences visible by account/event/amount</w:t>
            </w:r>
          </w:p>
        </w:tc>
      </w:tr>
      <w:tr>
        <w:tc>
          <w:tcPr>
            <w:tcW w:type="dxa" w:w="2880"/>
          </w:tcPr>
          <w:p>
            <w:r>
              <w:t>TC-006</w:t>
            </w:r>
          </w:p>
        </w:tc>
        <w:tc>
          <w:tcPr>
            <w:tcW w:type="dxa" w:w="2880"/>
          </w:tcPr>
          <w:p>
            <w:r>
              <w:t>Unmapped event</w:t>
            </w:r>
          </w:p>
        </w:tc>
        <w:tc>
          <w:tcPr>
            <w:tcW w:type="dxa" w:w="2880"/>
          </w:tcPr>
          <w:p>
            <w:r>
              <w:t>Event quarantined and exception created</w:t>
            </w:r>
          </w:p>
        </w:tc>
      </w:tr>
      <w:tr>
        <w:tc>
          <w:tcPr>
            <w:tcW w:type="dxa" w:w="2880"/>
          </w:tcPr>
          <w:p>
            <w:r>
              <w:t>TC-007</w:t>
            </w:r>
          </w:p>
        </w:tc>
        <w:tc>
          <w:tcPr>
            <w:tcW w:type="dxa" w:w="2880"/>
          </w:tcPr>
          <w:p>
            <w:r>
              <w:t>Unbalanced journal</w:t>
            </w:r>
          </w:p>
        </w:tc>
        <w:tc>
          <w:tcPr>
            <w:tcW w:type="dxa" w:w="2880"/>
          </w:tcPr>
          <w:p>
            <w:r>
              <w:t>Posting blocked</w:t>
            </w:r>
          </w:p>
        </w:tc>
      </w:tr>
      <w:tr>
        <w:tc>
          <w:tcPr>
            <w:tcW w:type="dxa" w:w="2880"/>
          </w:tcPr>
          <w:p>
            <w:r>
              <w:t>TC-008</w:t>
            </w:r>
          </w:p>
        </w:tc>
        <w:tc>
          <w:tcPr>
            <w:tcW w:type="dxa" w:w="2880"/>
          </w:tcPr>
          <w:p>
            <w:r>
              <w:t>Closed period</w:t>
            </w:r>
          </w:p>
        </w:tc>
        <w:tc>
          <w:tcPr>
            <w:tcW w:type="dxa" w:w="2880"/>
          </w:tcPr>
          <w:p>
            <w:r>
              <w:t>Posting blocked and reason logged</w:t>
            </w:r>
          </w:p>
        </w:tc>
      </w:tr>
    </w:tbl>
    <w:p>
      <w:pPr>
        <w:pStyle w:val="Heading1"/>
      </w:pPr>
      <w:r>
        <w:t>16. Interview Demo Story</w:t>
      </w:r>
    </w:p>
    <w:p>
      <w:pPr>
        <w:pStyle w:val="ListBullet"/>
      </w:pPr>
      <w:r>
        <w:t>Open with the business problem and objective.</w:t>
      </w:r>
    </w:p>
    <w:p>
      <w:pPr>
        <w:pStyle w:val="ListBullet"/>
      </w:pPr>
      <w:r>
        <w:t>Show AS-IS and TO-BE process.</w:t>
      </w:r>
    </w:p>
    <w:p>
      <w:pPr>
        <w:pStyle w:val="ListBullet"/>
      </w:pPr>
      <w:r>
        <w:t>Show the accounting event matrix and data flow.</w:t>
      </w:r>
    </w:p>
    <w:p>
      <w:pPr>
        <w:pStyle w:val="ListBullet"/>
      </w:pPr>
      <w:r>
        <w:t>Show requirements → user stories → acceptance criteria.</w:t>
      </w:r>
    </w:p>
    <w:p>
      <w:pPr>
        <w:pStyle w:val="ListBullet"/>
      </w:pPr>
      <w:r>
        <w:t>Show RTM and UAT.</w:t>
      </w:r>
    </w:p>
    <w:p>
      <w:pPr>
        <w:pStyle w:val="ListBullet"/>
      </w:pPr>
      <w:r>
        <w:t>Explain one issue and one change request.</w:t>
      </w:r>
    </w:p>
    <w:p>
      <w:pPr>
        <w:pStyle w:val="ListBullet"/>
      </w:pPr>
      <w:r>
        <w:t>State assumptions and the SME questions you would validate before production.</w:t>
      </w:r>
    </w:p>
    <w:p>
      <w:pPr>
        <w:pStyle w:val="Heading1"/>
      </w:pPr>
      <w:r>
        <w:t>17. Important Framing</w:t>
      </w:r>
    </w:p>
    <w:p>
      <w:r>
        <w:t>Present this as an interview case study/practice implementation. Do not claim it was a production implementation for OIP Insurtech or another insurer. A strong statement is: 'I built a two-day end-to-end case study to demonstrate how I would approach an insurance accounting BA problem.'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