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009"/>
      </w:tblGrid>
      <w:tr>
        <w:tc>
          <w:tcPr>
            <w:tcW w:type="dxa" w:w="10009"/>
            <w:shd w:fill="4B4F52"/>
            <w:tcBorders>
              <w:top w:val="single" w:sz="0" w:space="0" w:color="4B4F52"/>
              <w:left w:val="single" w:sz="0" w:space="0" w:color="4B4F52"/>
              <w:bottom w:val="single" w:sz="0" w:space="0" w:color="4B4F52"/>
              <w:right w:val="single" w:sz="0" w:space="0" w:color="4B4F52"/>
              <w:insideH w:val="single" w:sz="0" w:space="0" w:color="4B4F52"/>
              <w:insideV w:val="single" w:sz="0" w:space="0" w:color="4B4F52"/>
            </w:tcBorders>
            <w:tcMar>
              <w:top w:w="120" w:type="dxa"/>
              <w:start w:w="180" w:type="dxa"/>
              <w:bottom w:w="120" w:type="dxa"/>
              <w:end w:w="180" w:type="dxa"/>
            </w:tcMar>
          </w:tcPr>
          <w:p>
            <w:pPr>
              <w:spacing w:after="40"/>
              <w:jc w:val="center"/>
            </w:pPr>
            <w:r>
              <w:rPr>
                <w:rFonts w:ascii="Arial" w:hAnsi="Arial"/>
                <w:b/>
                <w:i w:val="0"/>
                <w:color w:val="FFFFFF"/>
                <w:sz w:val="38"/>
              </w:rPr>
              <w:t>PROJECT CHARTER</w:t>
            </w:r>
          </w:p>
          <w:p>
            <w:pPr>
              <w:spacing w:after="0"/>
              <w:jc w:val="center"/>
            </w:pPr>
            <w:r>
              <w:rPr>
                <w:rFonts w:ascii="Arial" w:hAnsi="Arial"/>
                <w:b w:val="0"/>
                <w:i/>
                <w:color w:val="E5E7EB"/>
                <w:sz w:val="18"/>
              </w:rPr>
              <w:t>Quản lý bán vé máy bay | Tham chiếu PMBOK Guide Sixth Edition</w:t>
            </w:r>
          </w:p>
        </w:tc>
      </w:tr>
    </w:tbl>
    <w:p>
      <w:pPr>
        <w:spacing w:after="0"/>
      </w:pPr>
    </w:p>
    <w:p>
      <w:pPr>
        <w:spacing w:after="160"/>
      </w:pPr>
      <w:r>
        <w:t>Project Charter này xác lập mục tiêu, phạm vi cấp cao, công nghệ, quyền hạn và tiêu chí nghiệm thu của hệ thống quản lý bán vé máy bay. Kế hoạch hồi cứu trong hồ sơ này bao phủ thời gian thực hiện từ ngày 01/09/2026 đến ngày 04/12/2026.</w:t>
      </w: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rPr>
                <w:rFonts w:ascii="Arial" w:hAnsi="Arial"/>
                <w:b/>
                <w:i w:val="0"/>
                <w:color w:val="17365D"/>
                <w:sz w:val="19"/>
              </w:rPr>
              <w:t>Tên dự án</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pPr>
              <w:spacing w:after="0"/>
            </w:pPr>
            <w:r>
              <w:rPr>
                <w:rFonts w:ascii="Arial" w:hAnsi="Arial"/>
                <w:b w:val="0"/>
                <w:i w:val="0"/>
                <w:color w:val="1F2937"/>
                <w:sz w:val="19"/>
              </w:rPr>
              <w:t>Hệ thống quản lý bán vé máy bay</w:t>
            </w:r>
          </w:p>
        </w:tc>
      </w:tr>
    </w:tbl>
    <w:p>
      <w:pPr>
        <w:spacing w:after="0"/>
      </w:pP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t>Ngày cập nhật</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r>
              <w:t>05/10/2026</w:t>
            </w:r>
          </w:p>
        </w:tc>
      </w:tr>
    </w:tbl>
    <w:p>
      <w:pPr>
        <w:spacing w:after="0"/>
      </w:pP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rPr>
                <w:rFonts w:ascii="Arial" w:hAnsi="Arial"/>
                <w:b/>
                <w:i w:val="0"/>
                <w:color w:val="17365D"/>
                <w:sz w:val="19"/>
              </w:rPr>
              <w:t>Phương pháp</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pPr>
              <w:spacing w:after="0"/>
            </w:pPr>
            <w:r>
              <w:rPr>
                <w:rFonts w:ascii="Arial" w:hAnsi="Arial"/>
                <w:b w:val="0"/>
                <w:i w:val="0"/>
                <w:color w:val="1F2937"/>
                <w:sz w:val="19"/>
              </w:rPr>
              <w:t>Phát triển lặp và tăng trưởng, kiểm soát theo các nhóm quy trình PMBOK 6</w:t>
            </w:r>
          </w:p>
        </w:tc>
      </w:tr>
    </w:tbl>
    <w:p>
      <w:pPr>
        <w:spacing w:after="0"/>
      </w:pP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rPr>
                <w:rFonts w:ascii="Arial" w:hAnsi="Arial"/>
                <w:b/>
                <w:i w:val="0"/>
                <w:color w:val="17365D"/>
                <w:sz w:val="19"/>
              </w:rPr>
              <w:t>Đơn vị thực hiện</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pPr>
              <w:spacing w:after="0"/>
            </w:pPr>
            <w:r>
              <w:rPr>
                <w:rFonts w:ascii="Arial" w:hAnsi="Arial"/>
                <w:b w:val="0"/>
                <w:i w:val="0"/>
                <w:color w:val="1F2937"/>
                <w:sz w:val="19"/>
              </w:rPr>
              <w:t>Nhóm dự án sinh viên</w:t>
            </w:r>
          </w:p>
        </w:tc>
      </w:tr>
    </w:tbl>
    <w:p>
      <w:pPr>
        <w:spacing w:after="0"/>
      </w:pPr>
    </w:p>
    <w:p>
      <w:pPr>
        <w:pStyle w:val="Heading1"/>
        <w:keepNext/>
      </w:pPr>
      <w:r>
        <w:t>1. Lý do và mục tiêu dự án</w:t>
      </w:r>
    </w:p>
    <w:p>
      <w:pPr>
        <w:spacing w:after="60"/>
      </w:pPr>
      <w:r>
        <w:t>Nhóm xây dựng một ứng dụng web mô phỏng quy trình bán vé máy bay từ tìm chuyến, chọn hành khách và ghế, giữ chỗ, thanh toán mô phỏng đến quản lý đặt chỗ, check-in, hỗ trợ và vận hành backoffice.</w:t>
      </w:r>
    </w:p>
    <w:p>
      <w:pPr>
        <w:spacing w:after="60"/>
      </w:pPr>
      <w:r>
        <w:t>Mục tiêu tổng quát: Bàn giao một monorepo có frontend Next.js kết nối backend Spring Boot và PostgreSQL, triển khai được trên môi trường demo, phân quyền đúng theo vai trò và có bằng chứng kiểm thử để team phát triển tiếp nhận.</w:t>
      </w:r>
    </w:p>
    <w:p>
      <w:pPr>
        <w:spacing w:after="60"/>
      </w:pPr>
      <w:r>
        <w:t>Mục tiêu đo lường: hoàn thành các mốc từ 01/09/2026 đến 04/12/2026; các route chính trả về đúng dữ liệu qua API; frontend không tràn ngang tại 320, 390, 768, 1024 và 1440px; API và migration chạy ổn định; unit, E2E, smoke và responsive test có evidence; không còn lỗi P0/P1 chưa được quyết định.</w:t>
      </w:r>
    </w:p>
    <w:p>
      <w:pPr>
        <w:pStyle w:val="Heading1"/>
        <w:keepNext/>
      </w:pPr>
      <w:r>
        <w:t>2. Phạm vi cấp cao</w:t>
      </w:r>
    </w:p>
    <w:tbl>
      <w:tblPr>
        <w:tblW w:type="auto" w:w="0"/>
        <w:jc w:val="center"/>
        <w:tblLayout w:type="fixed"/>
        <w:tblLook w:firstColumn="1" w:firstRow="1" w:lastColumn="0" w:lastRow="0" w:noHBand="0" w:noVBand="1" w:val="04A0"/>
      </w:tblPr>
      <w:tblGrid>
        <w:gridCol w:w="5004"/>
        <w:gridCol w:w="5004"/>
      </w:tblGrid>
      <w:tr>
        <w:trPr>
          <w:tblHeader w:val="true"/>
        </w:trPr>
        <w:tc>
          <w:tcPr>
            <w:tcW w:type="dxa" w:w="4968"/>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Trong phạm vi cấp cao</w:t>
            </w:r>
          </w:p>
        </w:tc>
        <w:tc>
          <w:tcPr>
            <w:tcW w:type="dxa" w:w="4968"/>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Ngoài phạm vi cấp cao</w:t>
            </w:r>
          </w:p>
        </w:tc>
      </w:tr>
      <w:tr>
        <w:tc>
          <w:tcPr>
            <w:tcW w:type="dxa" w:w="4968"/>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Ứng dụng web cho khách vãng lai, khách hàng và hội viên trên Next.js 16 App Router, React 19, TypeScript và CSS; gồm tìm chuyến, trạng thái chuyến bay, đặt vé, chọn hành khách/ghế, checkout, quản lý đặt chỗ, check-in, hỗ trợ và cẩm nang.</w:t>
            </w:r>
          </w:p>
        </w:tc>
        <w:tc>
          <w:tcPr>
            <w:tcW w:type="dxa" w:w="4968"/>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Ứng dụng native iOS/Android, PWA riêng và chương trình khai thác bay thật.</w:t>
            </w:r>
          </w:p>
        </w:tc>
      </w:tr>
      <w:tr>
        <w:tc>
          <w:tcPr>
            <w:tcW w:type="dxa" w:w="4968"/>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API Spring Boot 3.5 trên Java 21, REST, Spring Data JPA, Spring Security/JWT, Flyway; PostgreSQL làm cơ sở dữ liệu; gồm auth, tìm chuyến, booking, thanh toán mô phỏng, check-in, hỗ trợ và backoffice.</w:t>
            </w:r>
          </w:p>
        </w:tc>
        <w:tc>
          <w:tcPr>
            <w:tcW w:type="dxa" w:w="4968"/>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Kết nối trực tiếp hệ thống lõi hãng hàng không, GDS, payment production, email/SMS thương mại.</w:t>
            </w:r>
          </w:p>
        </w:tc>
      </w:tr>
      <w:tr>
        <w:tc>
          <w:tcPr>
            <w:tcW w:type="dxa" w:w="4968"/>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Backoffice web cho vận hành chuyến bay, bán vé, voucher, doanh thu/tài chính, CMS và hỗ trợ; Docker/GitHub Actions; kiểm thử Vitest, Playwright và JUnit; deploy demo trên Coolify hoặc Azure.</w:t>
            </w:r>
          </w:p>
        </w:tc>
        <w:tc>
          <w:tcPr>
            <w:tcW w:type="dxa" w:w="4968"/>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Thay đổi chính sách giá, hoàn vé, check-in, hành lý hoặc voucher ngoài yêu cầu; SLA production và vận hành thương mại.</w:t>
            </w:r>
          </w:p>
        </w:tc>
      </w:tr>
    </w:tbl>
    <w:p>
      <w:pPr>
        <w:spacing w:after="0"/>
      </w:pPr>
    </w:p>
    <w:p>
      <w:pPr>
        <w:pStyle w:val="Heading1"/>
        <w:keepNext/>
      </w:pPr>
      <w:r>
        <w:t>3. Sản phẩm bàn giao cấp cao</w:t>
      </w:r>
    </w:p>
    <w:p>
      <w:pPr>
        <w:pStyle w:val="ListBullet"/>
        <w:spacing w:after="40"/>
        <w:ind w:left="259" w:hanging="173"/>
      </w:pPr>
      <w:r>
        <w:t>Mã nguồn monorepo gồm apps/web chạy Next.js 16 App Router, React 19, TypeScript và CSS; apps/api chạy Spring Boot 3.5 trên Java 21; packages/shared-types và cấu hình Docker/GitHub Actions.</w:t>
      </w:r>
    </w:p>
    <w:p>
      <w:pPr>
        <w:pStyle w:val="ListBullet"/>
        <w:spacing w:after="40"/>
        <w:ind w:left="259" w:hanging="173"/>
      </w:pPr>
      <w:r>
        <w:t>Frontend web responsive cho khách vãng lai, khách hàng, hội viên và nhân viên backoffice: tìm chuyến, trạng thái chuyến bay, đặt vé, chọn hành khách/ghế, checkout, quản lý đặt chỗ, check-in, hỗ trợ, cẩm nang, vận hành, bán vé, voucher, tài chính và CMS.</w:t>
      </w:r>
    </w:p>
    <w:p>
      <w:pPr>
        <w:pStyle w:val="ListBullet"/>
        <w:spacing w:after="40"/>
        <w:ind w:left="259" w:hanging="173"/>
      </w:pPr>
      <w:r>
        <w:t>Backend REST API dùng Spring Web, Spring Data JPA, Spring Security và JWT/JJWT; PostgreSQL lưu dữ liệu; Flyway quản lý migration; có xác thực, RBAC, booking, giữ chỗ, thanh toán mô phỏng, check-in, hỗ trợ và API backoffice.</w:t>
      </w:r>
    </w:p>
    <w:p>
      <w:pPr>
        <w:pStyle w:val="ListBullet"/>
        <w:spacing w:after="40"/>
        <w:ind w:left="259" w:hanging="173"/>
      </w:pPr>
      <w:r>
        <w:t>Bản deploy demo chạy bằng Docker với CI/CD GitHub Actions và cấu hình Coolify hoặc Azure theo môi trường; secrets được truyền qua biến môi trường, không lưu trong repository.</w:t>
      </w:r>
    </w:p>
    <w:p>
      <w:pPr>
        <w:pStyle w:val="ListBullet"/>
        <w:spacing w:after="40"/>
        <w:ind w:left="259" w:hanging="173"/>
      </w:pPr>
      <w:r>
        <w:t>Bộ kiểm thử dùng Vitest, Playwright và JUnit/Spring Boot Test; kèm checklist build/release, test matrix, WBS Dictionary, Activity List, Gantt có Start/Finish và bộ tài liệu quản lý theo PMBOK 6.</w:t>
      </w:r>
    </w:p>
    <w:p>
      <w:pPr>
        <w:pStyle w:val="Heading1"/>
        <w:keepNext/>
      </w:pPr>
      <w:r>
        <w:t>4. Nguồn lực tài chính được phê duyệt trước</w:t>
      </w: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rPr>
                <w:rFonts w:ascii="Arial" w:hAnsi="Arial"/>
                <w:b/>
                <w:i w:val="0"/>
                <w:color w:val="17365D"/>
                <w:sz w:val="19"/>
              </w:rPr>
              <w:t>Ngân sách trực tiếp</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pPr>
              <w:spacing w:after="0"/>
            </w:pPr>
            <w:r>
              <w:rPr>
                <w:rFonts w:ascii="Arial" w:hAnsi="Arial"/>
                <w:b w:val="0"/>
                <w:i w:val="0"/>
                <w:color w:val="1F2937"/>
                <w:sz w:val="19"/>
              </w:rPr>
              <w:t>0 VND cho phạm vi demo học thuật; sử dụng tài nguyên sẵn có và dịch vụ free tier khi phù hợp.</w:t>
            </w:r>
          </w:p>
        </w:tc>
      </w:tr>
    </w:tbl>
    <w:p>
      <w:pPr>
        <w:spacing w:after="0"/>
      </w:pP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rPr>
                <w:rFonts w:ascii="Arial" w:hAnsi="Arial"/>
                <w:b/>
                <w:i w:val="0"/>
                <w:color w:val="17365D"/>
                <w:sz w:val="19"/>
              </w:rPr>
              <w:t>Chi phí có thể phát sinh</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pPr>
              <w:spacing w:after="0"/>
            </w:pPr>
            <w:r>
              <w:rPr>
                <w:rFonts w:ascii="Arial" w:hAnsi="Arial"/>
                <w:b w:val="0"/>
                <w:i w:val="0"/>
                <w:color w:val="1F2937"/>
                <w:sz w:val="19"/>
              </w:rPr>
              <w:t>Hosting, database, email/OTP, API tin tức hoặc thanh toán thật chỉ được dùng khi có phê duyệt riêng và giới hạn ngân sách.</w:t>
            </w:r>
          </w:p>
        </w:tc>
      </w:tr>
    </w:tbl>
    <w:p>
      <w:pPr>
        <w:spacing w:after="0"/>
      </w:pP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rPr>
                <w:rFonts w:ascii="Arial" w:hAnsi="Arial"/>
                <w:b/>
                <w:i w:val="0"/>
                <w:color w:val="17365D"/>
                <w:sz w:val="19"/>
              </w:rPr>
              <w:t>Nguồn lực hiện vật</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pPr>
              <w:spacing w:after="0"/>
            </w:pPr>
            <w:r>
              <w:rPr>
                <w:rFonts w:ascii="Arial" w:hAnsi="Arial"/>
                <w:b w:val="0"/>
                <w:i w:val="0"/>
                <w:color w:val="1F2937"/>
                <w:sz w:val="19"/>
              </w:rPr>
              <w:t>Máy phát triển của thành viên, GitHub/GitHub Actions, Azure/Coolify theo cấu hình môi trường, công cụ kiểm thử và tài liệu của học phần.</w:t>
            </w:r>
          </w:p>
        </w:tc>
      </w:tr>
    </w:tbl>
    <w:p>
      <w:pPr>
        <w:spacing w:after="0"/>
      </w:pPr>
    </w:p>
    <w:p>
      <w:pPr>
        <w:pStyle w:val="Heading1"/>
        <w:keepNext/>
      </w:pPr>
      <w:r>
        <w:t>5. Các bên liên quan và vai trò nhóm</w:t>
      </w:r>
    </w:p>
    <w:tbl>
      <w:tblPr>
        <w:tblW w:type="auto" w:w="0"/>
        <w:jc w:val="center"/>
        <w:tblLayout w:type="fixed"/>
        <w:tblLook w:firstColumn="1" w:firstRow="1" w:lastColumn="0" w:lastRow="0" w:noHBand="0" w:noVBand="1" w:val="04A0"/>
      </w:tblPr>
      <w:tblGrid>
        <w:gridCol w:w="5004"/>
        <w:gridCol w:w="5004"/>
      </w:tblGrid>
      <w:tr>
        <w:trPr>
          <w:tblHeader w:val="true"/>
        </w:trPr>
        <w:tc>
          <w:tcPr>
            <w:tcW w:type="dxa" w:w="3744"/>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Bên liên quan</w:t>
            </w:r>
          </w:p>
        </w:tc>
        <w:tc>
          <w:tcPr>
            <w:tcW w:type="dxa" w:w="6192"/>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Vai trò / trách nhiệm chính</w:t>
            </w:r>
          </w:p>
        </w:tc>
      </w:tr>
      <w:tr>
        <w:tc>
          <w:tcPr>
            <w:tcW w:type="dxa" w:w="374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Phạm Minh Quân - MSSV 24521449</w:t>
            </w:r>
          </w:p>
        </w:tc>
        <w:tc>
          <w:tcPr>
            <w:tcW w:type="dxa" w:w="6192"/>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Project Manager; quản lý phạm vi, tiến độ, change control, UAT và đóng dự án.</w:t>
            </w:r>
          </w:p>
        </w:tc>
      </w:tr>
      <w:tr>
        <w:tc>
          <w:tcPr>
            <w:tcW w:type="dxa" w:w="3744"/>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Phan Nguyễn Anh Kiệt - MSSV 24520910</w:t>
            </w:r>
          </w:p>
        </w:tc>
        <w:tc>
          <w:tcPr>
            <w:tcW w:type="dxa" w:w="6192"/>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Solution/integration lead; kiến trúc tích hợp, CI/CD, deploy, risk và điều phối kỹ thuật.</w:t>
            </w:r>
          </w:p>
        </w:tc>
      </w:tr>
      <w:tr>
        <w:tc>
          <w:tcPr>
            <w:tcW w:type="dxa" w:w="374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Nguyễn Văn Tin - MSSV 24521788</w:t>
            </w:r>
          </w:p>
        </w:tc>
        <w:tc>
          <w:tcPr>
            <w:tcW w:type="dxa" w:w="6192"/>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Backend/database lead; Spring Boot, PostgreSQL, Flyway, API, auth/RBAC và test backend.</w:t>
            </w:r>
          </w:p>
        </w:tc>
      </w:tr>
      <w:tr>
        <w:tc>
          <w:tcPr>
            <w:tcW w:type="dxa" w:w="3744"/>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Đỗ Lê Tuấn Kiệt - MSSV 24520895</w:t>
            </w:r>
          </w:p>
        </w:tc>
        <w:tc>
          <w:tcPr>
            <w:tcW w:type="dxa" w:w="6192"/>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Frontend/UX lead; Next.js, responsive UI, backoffice, accessibility và test giao diện.</w:t>
            </w:r>
          </w:p>
        </w:tc>
      </w:tr>
      <w:tr>
        <w:tc>
          <w:tcPr>
            <w:tcW w:type="dxa" w:w="374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Giảng viên / đơn vị học phần</w:t>
            </w:r>
          </w:p>
        </w:tc>
        <w:tc>
          <w:tcPr>
            <w:tcW w:type="dxa" w:w="6192"/>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Nhà tài trợ học thuật, phản biện phạm vi và người nghiệm thu kết quả trình diễn.</w:t>
            </w:r>
          </w:p>
        </w:tc>
      </w:tr>
    </w:tbl>
    <w:p>
      <w:pPr>
        <w:spacing w:after="0"/>
      </w:pPr>
    </w:p>
    <w:p>
      <w:pPr>
        <w:pStyle w:val="Heading1"/>
        <w:keepNext/>
      </w:pPr>
      <w:r>
        <w:t>6. Các mốc chính</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376"/>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Mốc</w:t>
            </w:r>
          </w:p>
        </w:tc>
        <w:tc>
          <w:tcPr>
            <w:tcW w:type="dxa" w:w="4320"/>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Kết quả cần đạt</w:t>
            </w:r>
          </w:p>
        </w:tc>
        <w:tc>
          <w:tcPr>
            <w:tcW w:type="dxa" w:w="3240"/>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Điều kiện chấp nhận</w:t>
            </w:r>
          </w:p>
        </w:tc>
      </w:tr>
      <w:tr>
        <w:tc>
          <w:tcPr>
            <w:tcW w:type="dxa" w:w="2376"/>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Khởi động và phân tích</w:t>
            </w:r>
          </w:p>
        </w:tc>
        <w:tc>
          <w:tcPr>
            <w:tcW w:type="dxa" w:w="432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01/09/2026–04/09/2026: chốt mục tiêu, vai trò, route và yêu cầu cấp cao.</w:t>
            </w:r>
          </w:p>
        </w:tc>
        <w:tc>
          <w:tcPr>
            <w:tcW w:type="dxa" w:w="324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Các thành viên xác nhận phạm vi và tiêu chí thành công.</w:t>
            </w:r>
          </w:p>
        </w:tc>
      </w:tr>
      <w:tr>
        <w:tc>
          <w:tcPr>
            <w:tcW w:type="dxa" w:w="2376"/>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Thiết kế và lập kế hoạch</w:t>
            </w:r>
          </w:p>
        </w:tc>
        <w:tc>
          <w:tcPr>
            <w:tcW w:type="dxa" w:w="4320"/>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07/09/2026–18/09/2026: chốt kiến trúc, dữ liệu, UI/UX, WBS, quan hệ phụ thuộc và test plan.</w:t>
            </w:r>
          </w:p>
        </w:tc>
        <w:tc>
          <w:tcPr>
            <w:tcW w:type="dxa" w:w="3240"/>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Có baseline phạm vi, lịch, chất lượng, rủi ro và predecessor.</w:t>
            </w:r>
          </w:p>
        </w:tc>
      </w:tr>
      <w:tr>
        <w:tc>
          <w:tcPr>
            <w:tcW w:type="dxa" w:w="2376"/>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Phát triển backend và frontend</w:t>
            </w:r>
          </w:p>
        </w:tc>
        <w:tc>
          <w:tcPr>
            <w:tcW w:type="dxa" w:w="432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21/09/2026–13/11/2026: hoàn thiện web, API, database, backoffice và tích hợp.</w:t>
            </w:r>
          </w:p>
        </w:tc>
        <w:tc>
          <w:tcPr>
            <w:tcW w:type="dxa" w:w="324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Luồng cốt lõi chạy qua API và đúng quyền.</w:t>
            </w:r>
          </w:p>
        </w:tc>
      </w:tr>
      <w:tr>
        <w:tc>
          <w:tcPr>
            <w:tcW w:type="dxa" w:w="2376"/>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Kiểm thử và phát hành</w:t>
            </w:r>
          </w:p>
        </w:tc>
        <w:tc>
          <w:tcPr>
            <w:tcW w:type="dxa" w:w="4320"/>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09/11/2026–27/11/2026: unit, E2E, responsive, RBAC, build và release readiness.</w:t>
            </w:r>
          </w:p>
        </w:tc>
        <w:tc>
          <w:tcPr>
            <w:tcW w:type="dxa" w:w="3240"/>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Không còn lỗi P0/P1; build production và health check pass.</w:t>
            </w:r>
          </w:p>
        </w:tc>
      </w:tr>
      <w:tr>
        <w:tc>
          <w:tcPr>
            <w:tcW w:type="dxa" w:w="2376"/>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Bàn giao và đóng dự án</w:t>
            </w:r>
          </w:p>
        </w:tc>
        <w:tc>
          <w:tcPr>
            <w:tcW w:type="dxa" w:w="432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30/11/2026–04/12/2026: demo, tài liệu, bàn giao và retrospective.</w:t>
            </w:r>
          </w:p>
        </w:tc>
        <w:tc>
          <w:tcPr>
            <w:tcW w:type="dxa" w:w="324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Bộ deliverable hoàn chỉnh và có xác nhận nghiệm thu.</w:t>
            </w:r>
          </w:p>
        </w:tc>
      </w:tr>
    </w:tbl>
    <w:p>
      <w:pPr>
        <w:spacing w:after="0"/>
      </w:pPr>
    </w:p>
    <w:p>
      <w:pPr>
        <w:pStyle w:val="Heading1"/>
        <w:keepNext/>
      </w:pPr>
      <w:r>
        <w:t>7. Giả định và ràng buộc</w:t>
      </w:r>
    </w:p>
    <w:p>
      <w:pPr>
        <w:pStyle w:val="ListBullet"/>
        <w:spacing w:after="40"/>
        <w:ind w:left="259" w:hanging="173"/>
      </w:pPr>
      <w:r>
        <w:t>Bốn thành viên phối hợp qua GitHub, Jira và họp trực tuyến; Jira là nơi theo dõi work package, predecessor và trạng thái. Thay đổi quan trọng phải có issue hoặc biên bản và PM phê duyệt.</w:t>
      </w:r>
    </w:p>
    <w:p>
      <w:pPr>
        <w:pStyle w:val="ListBullet"/>
        <w:spacing w:after="40"/>
        <w:ind w:left="259" w:hanging="173"/>
      </w:pPr>
      <w:r>
        <w:t>API production và môi trường deploy có thể được truy cập trong giai đoạn kiểm thử; nếu không, nhóm dùng mock/fixture chỉ cho test, không thay đổi API contract đã thống nhất.</w:t>
      </w:r>
    </w:p>
    <w:p>
      <w:pPr>
        <w:pStyle w:val="ListBullet"/>
        <w:spacing w:after="40"/>
        <w:ind w:left="259" w:hanging="173"/>
      </w:pPr>
      <w:r>
        <w:rPr>
          <w:rFonts w:ascii="Arial" w:hAnsi="Arial"/>
          <w:b w:val="0"/>
          <w:i w:val="0"/>
          <w:color w:val="1F2937"/>
          <w:sz w:val="20"/>
        </w:rPr>
        <w:t>Ngân sách demo hạn chế; các tích hợp trả phí, email thật và thanh toán thật là rủi ro ngoài phạm vi nghiệm thu học thuật.</w:t>
      </w:r>
    </w:p>
    <w:p>
      <w:pPr>
        <w:pStyle w:val="ListBullet"/>
        <w:spacing w:after="40"/>
        <w:ind w:left="259" w:hanging="173"/>
      </w:pPr>
      <w:r>
        <w:t>Tiến độ được lập cho giai đoạn 01/09/2026–04/12/2026; ưu tiên các luồng tìm chuyến, booking, checkout, quản lý đặt chỗ, check-in, hỗ trợ và backoffice trước các tính năng mở rộng.</w:t>
      </w:r>
    </w:p>
    <w:p>
      <w:pPr>
        <w:pStyle w:val="Heading1"/>
        <w:keepNext/>
      </w:pPr>
      <w:r>
        <w:t>8. Rủi ro cấp cao</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024"/>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Rủi ro</w:t>
            </w:r>
          </w:p>
        </w:tc>
        <w:tc>
          <w:tcPr>
            <w:tcW w:type="dxa" w:w="3024"/>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Tác động</w:t>
            </w:r>
          </w:p>
        </w:tc>
        <w:tc>
          <w:tcPr>
            <w:tcW w:type="dxa" w:w="3888"/>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Ứng phó cấp cao</w:t>
            </w:r>
          </w:p>
        </w:tc>
      </w:tr>
      <w:tr>
        <w:tc>
          <w:tcPr>
            <w:tcW w:type="dxa" w:w="302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Thiếu secret/hạ tầng production</w:t>
            </w:r>
          </w:p>
        </w:tc>
        <w:tc>
          <w:tcPr>
            <w:tcW w:type="dxa" w:w="302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Không thể xác minh giao dịch thật hoặc redeploy.</w:t>
            </w:r>
          </w:p>
        </w:tc>
        <w:tc>
          <w:tcPr>
            <w:tcW w:type="dxa" w:w="3888"/>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Tách rõ readiness trong repo và việc cần cấu hình ngoài repo; dùng checklist go-live.</w:t>
            </w:r>
          </w:p>
        </w:tc>
      </w:tr>
      <w:tr>
        <w:tc>
          <w:tcPr>
            <w:tcW w:type="dxa" w:w="3024"/>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Sai lệch quyền giữa UI và API</w:t>
            </w:r>
          </w:p>
        </w:tc>
        <w:tc>
          <w:tcPr>
            <w:tcW w:type="dxa" w:w="3024"/>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Lộ hành động hoặc thất bại nghiệp vụ.</w:t>
            </w:r>
          </w:p>
        </w:tc>
        <w:tc>
          <w:tcPr>
            <w:tcW w:type="dxa" w:w="3888"/>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Dùng ma trận vai trò, negative test và kiểm tra cả guard frontend lẫn backend.</w:t>
            </w:r>
          </w:p>
        </w:tc>
      </w:tr>
      <w:tr>
        <w:tc>
          <w:tcPr>
            <w:tcW w:type="dxa" w:w="302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Dữ liệu API bên ngoài không ổn định</w:t>
            </w:r>
          </w:p>
        </w:tc>
        <w:tc>
          <w:tcPr>
            <w:tcW w:type="dxa" w:w="302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Blog/tin tức thiếu nội dung hoặc chậm.</w:t>
            </w:r>
          </w:p>
        </w:tc>
        <w:tc>
          <w:tcPr>
            <w:tcW w:type="dxa" w:w="3888"/>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Cache theo chính sách, fallback có kiểm soát và hiển thị trạng thái empty/error rõ ràng.</w:t>
            </w:r>
          </w:p>
        </w:tc>
      </w:tr>
      <w:tr>
        <w:tc>
          <w:tcPr>
            <w:tcW w:type="dxa" w:w="3024"/>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Thay đổi yêu cầu gần hạn bàn giao</w:t>
            </w:r>
          </w:p>
        </w:tc>
        <w:tc>
          <w:tcPr>
            <w:tcW w:type="dxa" w:w="3024"/>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Trễ lịch, tăng regression.</w:t>
            </w:r>
          </w:p>
        </w:tc>
        <w:tc>
          <w:tcPr>
            <w:tcW w:type="dxa" w:w="3888"/>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Đưa qua quy trình change control; ưu tiên P0/P1 và đóng băng phạm vi trước kiểm thử cuối.</w:t>
            </w:r>
          </w:p>
        </w:tc>
      </w:tr>
    </w:tbl>
    <w:p>
      <w:pPr>
        <w:spacing w:after="0"/>
      </w:pPr>
    </w:p>
    <w:p>
      <w:pPr>
        <w:pStyle w:val="Heading1"/>
        <w:keepNext/>
      </w:pPr>
      <w:r>
        <w:t>9. Tiêu chí kết thúc dự án</w:t>
      </w:r>
    </w:p>
    <w:p>
      <w:pPr>
        <w:pStyle w:val="ListBullet"/>
        <w:spacing w:after="40"/>
        <w:ind w:left="259" w:hanging="173"/>
      </w:pPr>
      <w:r>
        <w:rPr>
          <w:rFonts w:ascii="Arial" w:hAnsi="Arial"/>
          <w:b w:val="0"/>
          <w:i w:val="0"/>
          <w:color w:val="1F2937"/>
          <w:sz w:val="20"/>
        </w:rPr>
        <w:t>Các deliverable trong phạm vi được demo và có người phụ trách bàn giao.</w:t>
      </w:r>
    </w:p>
    <w:p>
      <w:pPr>
        <w:pStyle w:val="ListBullet"/>
        <w:spacing w:after="40"/>
        <w:ind w:left="259" w:hanging="173"/>
      </w:pPr>
      <w:r>
        <w:t>Build production, unit test, contract test, smoke/E2E và responsive test đạt theo ngưỡng đã thống nhất; lỗi P0/P1 trong phạm vi mã nguồn được đóng hoặc có phê duyệt ngoại lệ trước ngày 27/11/2026.</w:t>
      </w:r>
    </w:p>
    <w:p>
      <w:pPr>
        <w:pStyle w:val="ListBullet"/>
        <w:spacing w:after="40"/>
        <w:ind w:left="259" w:hanging="173"/>
      </w:pPr>
      <w:r>
        <w:rPr>
          <w:rFonts w:ascii="Arial" w:hAnsi="Arial"/>
          <w:b w:val="0"/>
          <w:i w:val="0"/>
          <w:color w:val="1F2937"/>
          <w:sz w:val="20"/>
        </w:rPr>
        <w:t>Các route và vai trò chính hoạt động đúng; không có thay đổi ngoài ý muốn về API contract, authentication, authorization hoặc business rule.</w:t>
      </w:r>
    </w:p>
    <w:p>
      <w:pPr>
        <w:pStyle w:val="ListBullet"/>
        <w:spacing w:after="40"/>
        <w:ind w:left="259" w:hanging="173"/>
      </w:pPr>
      <w:r>
        <w:t>Có tài liệu cài đặt, vận hành, kiểm thử, quan hệ phụ thuộc WBS/Jira, rủi ro còn lại và hướng dẫn tiếp nhận cho team phát triển trước ngày 04/12/2026.</w:t>
      </w:r>
    </w:p>
    <w:p>
      <w:pPr>
        <w:pStyle w:val="ListBullet"/>
        <w:spacing w:after="40"/>
        <w:ind w:left="259" w:hanging="173"/>
      </w:pPr>
      <w:r>
        <w:rPr>
          <w:rFonts w:ascii="Arial" w:hAnsi="Arial"/>
          <w:b w:val="0"/>
          <w:i w:val="0"/>
          <w:color w:val="1F2937"/>
          <w:sz w:val="20"/>
        </w:rPr>
        <w:t>Nhóm thực hiện retrospective và nhận xác nhận nghiệm thu từ đại diện học phần.</w:t>
      </w:r>
    </w:p>
    <w:p>
      <w:pPr>
        <w:pStyle w:val="Heading1"/>
        <w:keepNext/>
      </w:pPr>
      <w:r>
        <w:t>10. Phê duyệt Charter</w:t>
      </w:r>
    </w:p>
    <w:p>
      <w:pPr>
        <w:spacing w:after="160"/>
      </w:pPr>
      <w:r>
        <w:rPr>
          <w:rFonts w:ascii="Arial" w:hAnsi="Arial"/>
          <w:b w:val="0"/>
          <w:i w:val="0"/>
          <w:color w:val="1F2937"/>
          <w:sz w:val="21"/>
        </w:rPr>
        <w:t>Việc ký xác nhận dưới đây thể hiện nhóm thống nhất mục tiêu, phạm vi cấp cao, quyền hạn điều phối và tiêu chí kết thúc nêu trong Charter.</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456"/>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Người xác nhận</w:t>
            </w:r>
          </w:p>
        </w:tc>
        <w:tc>
          <w:tcPr>
            <w:tcW w:type="dxa" w:w="2880"/>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Vai trò</w:t>
            </w:r>
          </w:p>
        </w:tc>
        <w:tc>
          <w:tcPr>
            <w:tcW w:type="dxa" w:w="3600"/>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Ngày / chữ ký</w:t>
            </w:r>
          </w:p>
        </w:tc>
      </w:tr>
      <w:tr>
        <w:tc>
          <w:tcPr>
            <w:tcW w:type="dxa" w:w="3456"/>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Phạm Minh Quân - Quản lý dự án</w:t>
            </w:r>
          </w:p>
        </w:tc>
        <w:tc>
          <w:tcPr>
            <w:tcW w:type="dxa" w:w="288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r>
          </w:p>
        </w:tc>
        <w:tc>
          <w:tcPr>
            <w:tcW w:type="dxa" w:w="360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r>
          </w:p>
        </w:tc>
      </w:tr>
      <w:tr>
        <w:tc>
          <w:tcPr>
            <w:tcW w:type="dxa" w:w="3456"/>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Đại diện nhóm dự án</w:t>
            </w:r>
          </w:p>
        </w:tc>
        <w:tc>
          <w:tcPr>
            <w:tcW w:type="dxa" w:w="2880"/>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r>
          </w:p>
        </w:tc>
        <w:tc>
          <w:tcPr>
            <w:tcW w:type="dxa" w:w="3600"/>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r>
          </w:p>
        </w:tc>
      </w:tr>
      <w:tr>
        <w:tc>
          <w:tcPr>
            <w:tcW w:type="dxa" w:w="3456"/>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Giảng viên / đơn vị học phần</w:t>
            </w:r>
          </w:p>
        </w:tc>
        <w:tc>
          <w:tcPr>
            <w:tcW w:type="dxa" w:w="288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r>
          </w:p>
        </w:tc>
        <w:tc>
          <w:tcPr>
            <w:tcW w:type="dxa" w:w="360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r>
          </w:p>
        </w:tc>
      </w:tr>
    </w:tbl>
    <w:p>
      <w:pPr>
        <w:spacing w:after="0"/>
      </w:pPr>
    </w:p>
    <w:sectPr w:rsidR="00FC693F" w:rsidRPr="0006063C" w:rsidSect="00034616">
      <w:headerReference w:type="default" r:id="rId9"/>
      <w:footerReference w:type="default" r:id="rId10"/>
      <w:pgSz w:w="11909" w:h="16834"/>
      <w:pgMar w:top="893" w:right="950" w:bottom="893"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jc w:val="center"/>
    </w:pPr>
    <w:r>
      <w:rPr>
        <w:rFonts w:ascii="Arial" w:hAnsi="Arial"/>
        <w:b w:val="0"/>
        <w:i w:val="0"/>
        <w:color w:val="5B6573"/>
        <w:sz w:val="16"/>
      </w:rPr>
      <w:t xml:space="preserve">Quản lý bán vé máy bay | Tài liệu nhóm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i w:val="0"/>
        <w:color w:val="5B6573"/>
        <w:sz w:val="16"/>
      </w:rPr>
      <w:t>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Theme="majorHAnsi" w:eastAsiaTheme="majorEastAsia" w:hAnsiTheme="majorHAnsi" w:cstheme="majorBidi" w:ascii="Arial" w:hAnsi="Arial"/>
      <w:b/>
      <w:color w:val="4B4F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Quản lý bán vé máy bay</dc:title>
  <dc:subject>Project Charter theo PMBOK 6</dc:subject>
  <dc:creator>Nhóm dự án quản lý bán vé máy bay</dc:creator>
  <cp:keywords/>
  <dc:description>generated by python-docx</dc:description>
  <cp:lastModifiedBy/>
  <cp:revision>1</cp:revision>
  <dcterms:created xsi:type="dcterms:W3CDTF">2013-12-23T23:15:00Z</dcterms:created>
  <dcterms:modified xsi:type="dcterms:W3CDTF">2026-10-05T00:00:00Z</dcterms:modified>
  <cp:category/>
</cp:coreProperties>
</file>