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F4DBA" w14:textId="77777777" w:rsidR="0072154B" w:rsidRDefault="0072154B" w:rsidP="00EC4159">
      <w:pPr>
        <w:autoSpaceDE w:val="0"/>
        <w:autoSpaceDN w:val="0"/>
        <w:adjustRightInd w:val="0"/>
        <w:spacing w:after="0" w:line="240" w:lineRule="auto"/>
        <w:rPr>
          <w:rFonts w:ascii="Souvenir-Light" w:hAnsi="Souvenir-Light" w:cs="Souvenir-Light"/>
          <w:sz w:val="17"/>
          <w:szCs w:val="17"/>
        </w:rPr>
      </w:pPr>
      <w:r>
        <w:t xml:space="preserve">Los pacientes en tratamiento de mantenimiento con opioides son los que reciben al menos 60 mg de morfina oral al día, al menos 25 microgramos de </w:t>
      </w:r>
      <w:proofErr w:type="spellStart"/>
      <w:r>
        <w:t>fentanilo</w:t>
      </w:r>
      <w:proofErr w:type="spellEnd"/>
      <w:r>
        <w:t xml:space="preserve"> </w:t>
      </w:r>
      <w:proofErr w:type="spellStart"/>
      <w:r>
        <w:t>transdérmico</w:t>
      </w:r>
      <w:proofErr w:type="spellEnd"/>
      <w:r>
        <w:t xml:space="preserve"> cada hora, al menos 30 mg de </w:t>
      </w:r>
      <w:proofErr w:type="spellStart"/>
      <w:r>
        <w:t>oxicodona</w:t>
      </w:r>
      <w:proofErr w:type="spellEnd"/>
      <w:r>
        <w:t xml:space="preserve"> al día, al menos 8 mg de </w:t>
      </w:r>
      <w:proofErr w:type="spellStart"/>
      <w:r>
        <w:t>hidromorfona</w:t>
      </w:r>
      <w:proofErr w:type="spellEnd"/>
      <w:r>
        <w:t xml:space="preserve"> al día o una dosis </w:t>
      </w:r>
      <w:proofErr w:type="spellStart"/>
      <w:r>
        <w:t>equianalgésica</w:t>
      </w:r>
      <w:proofErr w:type="spellEnd"/>
      <w:r>
        <w:t xml:space="preserve"> de otro opioide durante un mínimo de una semana</w:t>
      </w:r>
    </w:p>
    <w:p w14:paraId="3F659DBB" w14:textId="77777777" w:rsidR="0072154B" w:rsidRDefault="0072154B" w:rsidP="00EC4159">
      <w:pPr>
        <w:autoSpaceDE w:val="0"/>
        <w:autoSpaceDN w:val="0"/>
        <w:adjustRightInd w:val="0"/>
        <w:spacing w:after="0" w:line="240" w:lineRule="auto"/>
        <w:rPr>
          <w:rFonts w:ascii="Souvenir-Light" w:hAnsi="Souvenir-Light" w:cs="Souvenir-Light"/>
          <w:sz w:val="17"/>
          <w:szCs w:val="17"/>
        </w:rPr>
      </w:pPr>
    </w:p>
    <w:p w14:paraId="3860DB83" w14:textId="77777777" w:rsidR="00EC4159" w:rsidRDefault="00EC4159" w:rsidP="00EC4159">
      <w:pPr>
        <w:autoSpaceDE w:val="0"/>
        <w:autoSpaceDN w:val="0"/>
        <w:adjustRightInd w:val="0"/>
        <w:spacing w:after="0" w:line="240" w:lineRule="auto"/>
        <w:rPr>
          <w:rFonts w:ascii="Souvenir-Light" w:hAnsi="Souvenir-Light" w:cs="Souvenir-Light"/>
          <w:sz w:val="17"/>
          <w:szCs w:val="17"/>
        </w:rPr>
      </w:pPr>
      <w:r>
        <w:rPr>
          <w:rFonts w:ascii="Souvenir-Light" w:hAnsi="Souvenir-Light" w:cs="Souvenir-Light"/>
          <w:sz w:val="17"/>
          <w:szCs w:val="17"/>
        </w:rPr>
        <w:t>La Sociedad Española de Oncología Médica (SEOM), la Sociedad</w:t>
      </w:r>
    </w:p>
    <w:p w14:paraId="76D1FC7D" w14:textId="77777777" w:rsidR="00EC4159" w:rsidRDefault="00EC4159" w:rsidP="00EC4159">
      <w:pPr>
        <w:autoSpaceDE w:val="0"/>
        <w:autoSpaceDN w:val="0"/>
        <w:adjustRightInd w:val="0"/>
        <w:spacing w:after="0" w:line="240" w:lineRule="auto"/>
        <w:rPr>
          <w:rFonts w:ascii="Souvenir-Light" w:hAnsi="Souvenir-Light" w:cs="Souvenir-Light"/>
          <w:sz w:val="17"/>
          <w:szCs w:val="17"/>
        </w:rPr>
      </w:pPr>
      <w:r>
        <w:rPr>
          <w:rFonts w:ascii="Souvenir-Light" w:hAnsi="Souvenir-Light" w:cs="Souvenir-Light"/>
          <w:sz w:val="17"/>
          <w:szCs w:val="17"/>
        </w:rPr>
        <w:t xml:space="preserve">Española de Cuidados Paliativos </w:t>
      </w:r>
      <w:r w:rsidR="0072154B">
        <w:rPr>
          <w:rFonts w:ascii="Souvenir-Light" w:hAnsi="Souvenir-Light" w:cs="Souvenir-Light"/>
          <w:sz w:val="17"/>
          <w:szCs w:val="17"/>
        </w:rPr>
        <w:t xml:space="preserve">(SECPAL) y la Sociedad Española </w:t>
      </w:r>
      <w:r>
        <w:rPr>
          <w:rFonts w:ascii="Souvenir-Light" w:hAnsi="Souvenir-Light" w:cs="Souvenir-Light"/>
          <w:sz w:val="17"/>
          <w:szCs w:val="17"/>
        </w:rPr>
        <w:t>de Dolor (SED), estable</w:t>
      </w:r>
      <w:r w:rsidR="0072154B">
        <w:rPr>
          <w:rFonts w:ascii="Souvenir-Light" w:hAnsi="Souvenir-Light" w:cs="Souvenir-Light"/>
          <w:sz w:val="17"/>
          <w:szCs w:val="17"/>
        </w:rPr>
        <w:t xml:space="preserve">cieron un documento de consenso </w:t>
      </w:r>
      <w:r>
        <w:rPr>
          <w:rFonts w:ascii="Souvenir-Light" w:hAnsi="Souvenir-Light" w:cs="Souvenir-Light"/>
          <w:sz w:val="17"/>
          <w:szCs w:val="17"/>
        </w:rPr>
        <w:t xml:space="preserve">en el que asumieron el término “dolor </w:t>
      </w:r>
      <w:proofErr w:type="spellStart"/>
      <w:r>
        <w:rPr>
          <w:rFonts w:ascii="Souvenir-Light" w:hAnsi="Souvenir-Light" w:cs="Souvenir-Light"/>
          <w:sz w:val="17"/>
          <w:szCs w:val="17"/>
        </w:rPr>
        <w:t>irruptivo</w:t>
      </w:r>
      <w:proofErr w:type="spellEnd"/>
      <w:r>
        <w:rPr>
          <w:rFonts w:ascii="Souvenir-Light" w:hAnsi="Souvenir-Light" w:cs="Souvenir-Light"/>
          <w:sz w:val="17"/>
          <w:szCs w:val="17"/>
        </w:rPr>
        <w:t>”</w:t>
      </w:r>
      <w:r w:rsidR="0072154B">
        <w:rPr>
          <w:rFonts w:ascii="Souvenir-Light" w:hAnsi="Souvenir-Light" w:cs="Souvenir-Light"/>
          <w:sz w:val="17"/>
          <w:szCs w:val="17"/>
        </w:rPr>
        <w:t xml:space="preserve">, para definir </w:t>
      </w:r>
      <w:r>
        <w:rPr>
          <w:rFonts w:ascii="Souvenir-Light" w:hAnsi="Souvenir-Light" w:cs="Souvenir-Light"/>
          <w:sz w:val="17"/>
          <w:szCs w:val="17"/>
        </w:rPr>
        <w:t>una exacerbación del dolor de form</w:t>
      </w:r>
      <w:r w:rsidR="0072154B">
        <w:rPr>
          <w:rFonts w:ascii="Souvenir-Light" w:hAnsi="Souvenir-Light" w:cs="Souvenir-Light"/>
          <w:sz w:val="17"/>
          <w:szCs w:val="17"/>
        </w:rPr>
        <w:t xml:space="preserve">a súbita y transitoria, de gran </w:t>
      </w:r>
      <w:r>
        <w:rPr>
          <w:rFonts w:ascii="Souvenir-Light" w:hAnsi="Souvenir-Light" w:cs="Souvenir-Light"/>
          <w:sz w:val="17"/>
          <w:szCs w:val="17"/>
        </w:rPr>
        <w:t>intensidad (EVA &gt; 7) y de corta duración (usualmente inferior a</w:t>
      </w:r>
    </w:p>
    <w:p w14:paraId="70D047AF" w14:textId="77777777" w:rsidR="00EC4159" w:rsidRDefault="00EC4159" w:rsidP="00EC4159">
      <w:pPr>
        <w:autoSpaceDE w:val="0"/>
        <w:autoSpaceDN w:val="0"/>
        <w:adjustRightInd w:val="0"/>
        <w:spacing w:after="0" w:line="240" w:lineRule="auto"/>
        <w:rPr>
          <w:rFonts w:ascii="Souvenir-Light" w:hAnsi="Souvenir-Light" w:cs="Souvenir-Light"/>
          <w:sz w:val="17"/>
          <w:szCs w:val="17"/>
        </w:rPr>
      </w:pPr>
      <w:r>
        <w:rPr>
          <w:rFonts w:ascii="Souvenir-Light" w:hAnsi="Souvenir-Light" w:cs="Souvenir-Light"/>
          <w:sz w:val="17"/>
          <w:szCs w:val="17"/>
        </w:rPr>
        <w:t xml:space="preserve">20-30 minutos), que aparece sobre </w:t>
      </w:r>
      <w:r w:rsidR="0072154B">
        <w:rPr>
          <w:rFonts w:ascii="Souvenir-Light" w:hAnsi="Souvenir-Light" w:cs="Souvenir-Light"/>
          <w:sz w:val="17"/>
          <w:szCs w:val="17"/>
        </w:rPr>
        <w:t xml:space="preserve">la base de un dolor persistente </w:t>
      </w:r>
      <w:r>
        <w:rPr>
          <w:rFonts w:ascii="Souvenir-Light" w:hAnsi="Souvenir-Light" w:cs="Souvenir-Light"/>
          <w:sz w:val="17"/>
          <w:szCs w:val="17"/>
        </w:rPr>
        <w:t>estable, cuando este se encuentra reducido a un nivel tolera</w:t>
      </w:r>
      <w:r w:rsidR="0072154B">
        <w:rPr>
          <w:rFonts w:ascii="Souvenir-Light" w:hAnsi="Souvenir-Light" w:cs="Souvenir-Light"/>
          <w:sz w:val="17"/>
          <w:szCs w:val="17"/>
        </w:rPr>
        <w:t xml:space="preserve">ble </w:t>
      </w:r>
      <w:r>
        <w:rPr>
          <w:rFonts w:ascii="Souvenir-Light" w:hAnsi="Souvenir-Light" w:cs="Souvenir-Light"/>
          <w:sz w:val="17"/>
          <w:szCs w:val="17"/>
        </w:rPr>
        <w:t>(EVA &lt; 5) mediante el uso fund</w:t>
      </w:r>
      <w:r w:rsidR="0072154B">
        <w:rPr>
          <w:rFonts w:ascii="Souvenir-Light" w:hAnsi="Souvenir-Light" w:cs="Souvenir-Light"/>
          <w:sz w:val="17"/>
          <w:szCs w:val="17"/>
        </w:rPr>
        <w:t xml:space="preserve">amental de opioides mayores. La </w:t>
      </w:r>
      <w:r>
        <w:rPr>
          <w:rFonts w:ascii="Souvenir-Light" w:hAnsi="Souvenir-Light" w:cs="Souvenir-Light"/>
          <w:sz w:val="17"/>
          <w:szCs w:val="17"/>
        </w:rPr>
        <w:t xml:space="preserve">clasificación del dolor </w:t>
      </w:r>
      <w:proofErr w:type="spellStart"/>
      <w:r>
        <w:rPr>
          <w:rFonts w:ascii="Souvenir-Light" w:hAnsi="Souvenir-Light" w:cs="Souvenir-Light"/>
          <w:sz w:val="17"/>
          <w:szCs w:val="17"/>
        </w:rPr>
        <w:t>irruptivo</w:t>
      </w:r>
      <w:proofErr w:type="spellEnd"/>
      <w:r>
        <w:rPr>
          <w:rFonts w:ascii="Souvenir-Light" w:hAnsi="Souvenir-Light" w:cs="Souvenir-Light"/>
          <w:sz w:val="17"/>
          <w:szCs w:val="17"/>
        </w:rPr>
        <w:t xml:space="preserve"> má</w:t>
      </w:r>
      <w:r w:rsidR="0072154B">
        <w:rPr>
          <w:rFonts w:ascii="Souvenir-Light" w:hAnsi="Souvenir-Light" w:cs="Souvenir-Light"/>
          <w:sz w:val="17"/>
          <w:szCs w:val="17"/>
        </w:rPr>
        <w:t xml:space="preserve">s utilizada es la que distingue </w:t>
      </w:r>
      <w:r>
        <w:rPr>
          <w:rFonts w:ascii="Souvenir-Light" w:hAnsi="Souvenir-Light" w:cs="Souvenir-Light"/>
          <w:sz w:val="17"/>
          <w:szCs w:val="17"/>
        </w:rPr>
        <w:t xml:space="preserve">entre dolor </w:t>
      </w:r>
      <w:proofErr w:type="spellStart"/>
      <w:r>
        <w:rPr>
          <w:rFonts w:ascii="Souvenir-Light" w:hAnsi="Souvenir-Light" w:cs="Souvenir-Light"/>
          <w:sz w:val="17"/>
          <w:szCs w:val="17"/>
        </w:rPr>
        <w:t>irruptivo</w:t>
      </w:r>
      <w:proofErr w:type="spellEnd"/>
      <w:r>
        <w:rPr>
          <w:rFonts w:ascii="Souvenir-Light" w:hAnsi="Souvenir-Light" w:cs="Souvenir-Light"/>
          <w:sz w:val="17"/>
          <w:szCs w:val="17"/>
        </w:rPr>
        <w:t xml:space="preserve"> incidental (predeci</w:t>
      </w:r>
      <w:r w:rsidR="0072154B">
        <w:rPr>
          <w:rFonts w:ascii="Souvenir-Light" w:hAnsi="Souvenir-Light" w:cs="Souvenir-Light"/>
          <w:sz w:val="17"/>
          <w:szCs w:val="17"/>
        </w:rPr>
        <w:t xml:space="preserve">ble o impredecible), idiopático </w:t>
      </w:r>
      <w:r>
        <w:rPr>
          <w:rFonts w:ascii="Souvenir-Light" w:hAnsi="Souvenir-Light" w:cs="Souvenir-Light"/>
          <w:sz w:val="17"/>
          <w:szCs w:val="17"/>
        </w:rPr>
        <w:t>y relacionado con el final de dosis. El manejo ad</w:t>
      </w:r>
      <w:r w:rsidR="0072154B">
        <w:rPr>
          <w:rFonts w:ascii="Souvenir-Light" w:hAnsi="Souvenir-Light" w:cs="Souvenir-Light"/>
          <w:sz w:val="17"/>
          <w:szCs w:val="17"/>
        </w:rPr>
        <w:t xml:space="preserve">ecuado </w:t>
      </w:r>
      <w:r>
        <w:rPr>
          <w:rFonts w:ascii="Souvenir-Light" w:hAnsi="Souvenir-Light" w:cs="Souvenir-Light"/>
          <w:sz w:val="17"/>
          <w:szCs w:val="17"/>
        </w:rPr>
        <w:t xml:space="preserve">del dolor </w:t>
      </w:r>
      <w:proofErr w:type="spellStart"/>
      <w:r>
        <w:rPr>
          <w:rFonts w:ascii="Souvenir-Light" w:hAnsi="Souvenir-Light" w:cs="Souvenir-Light"/>
          <w:sz w:val="17"/>
          <w:szCs w:val="17"/>
        </w:rPr>
        <w:t>irruptivo</w:t>
      </w:r>
      <w:proofErr w:type="spellEnd"/>
      <w:r>
        <w:rPr>
          <w:rFonts w:ascii="Souvenir-Light" w:hAnsi="Souvenir-Light" w:cs="Souvenir-Light"/>
          <w:sz w:val="17"/>
          <w:szCs w:val="17"/>
        </w:rPr>
        <w:t xml:space="preserve"> se basa en tres asp</w:t>
      </w:r>
      <w:r w:rsidR="0072154B">
        <w:rPr>
          <w:rFonts w:ascii="Souvenir-Light" w:hAnsi="Souvenir-Light" w:cs="Souvenir-Light"/>
          <w:sz w:val="17"/>
          <w:szCs w:val="17"/>
        </w:rPr>
        <w:t xml:space="preserve">ectos: prevención, anticipación </w:t>
      </w:r>
      <w:r>
        <w:rPr>
          <w:rFonts w:ascii="Souvenir-Light" w:hAnsi="Souvenir-Light" w:cs="Souvenir-Light"/>
          <w:sz w:val="17"/>
          <w:szCs w:val="17"/>
        </w:rPr>
        <w:t>y uso de la medicación ade</w:t>
      </w:r>
      <w:r w:rsidR="0072154B">
        <w:rPr>
          <w:rFonts w:ascii="Souvenir-Light" w:hAnsi="Souvenir-Light" w:cs="Souvenir-Light"/>
          <w:sz w:val="17"/>
          <w:szCs w:val="17"/>
        </w:rPr>
        <w:t xml:space="preserve">cuada. Existen formulaciones de </w:t>
      </w:r>
      <w:r>
        <w:rPr>
          <w:rFonts w:ascii="Souvenir-Light" w:hAnsi="Souvenir-Light" w:cs="Souvenir-Light"/>
          <w:sz w:val="17"/>
          <w:szCs w:val="17"/>
        </w:rPr>
        <w:t>opioides de inicio de acción rá</w:t>
      </w:r>
      <w:r w:rsidR="0072154B">
        <w:rPr>
          <w:rFonts w:ascii="Souvenir-Light" w:hAnsi="Souvenir-Light" w:cs="Souvenir-Light"/>
          <w:sz w:val="17"/>
          <w:szCs w:val="17"/>
        </w:rPr>
        <w:t xml:space="preserve">pida y duración de acción corta </w:t>
      </w:r>
      <w:r>
        <w:rPr>
          <w:rFonts w:ascii="Souvenir-Light" w:hAnsi="Souvenir-Light" w:cs="Souvenir-Light"/>
          <w:sz w:val="17"/>
          <w:szCs w:val="17"/>
        </w:rPr>
        <w:t>(</w:t>
      </w:r>
      <w:proofErr w:type="spellStart"/>
      <w:r>
        <w:rPr>
          <w:rFonts w:ascii="Souvenir-Light" w:hAnsi="Souvenir-Light" w:cs="Souvenir-Light"/>
          <w:sz w:val="17"/>
          <w:szCs w:val="17"/>
        </w:rPr>
        <w:t>ROOs</w:t>
      </w:r>
      <w:proofErr w:type="spellEnd"/>
      <w:r>
        <w:rPr>
          <w:rFonts w:ascii="Souvenir-Light" w:hAnsi="Souvenir-Light" w:cs="Souvenir-Light"/>
          <w:sz w:val="17"/>
          <w:szCs w:val="17"/>
        </w:rPr>
        <w:t>) que se ajustan mucho mejor al perfil y al tratamie</w:t>
      </w:r>
      <w:r w:rsidR="0072154B">
        <w:rPr>
          <w:rFonts w:ascii="Souvenir-Light" w:hAnsi="Souvenir-Light" w:cs="Souvenir-Light"/>
          <w:sz w:val="17"/>
          <w:szCs w:val="17"/>
        </w:rPr>
        <w:t xml:space="preserve">nto de </w:t>
      </w:r>
      <w:r>
        <w:rPr>
          <w:rFonts w:ascii="Souvenir-Light" w:hAnsi="Souvenir-Light" w:cs="Souvenir-Light"/>
          <w:sz w:val="17"/>
          <w:szCs w:val="17"/>
        </w:rPr>
        <w:t>este tipo de dolor. Todas ellas cont</w:t>
      </w:r>
      <w:r w:rsidR="0072154B">
        <w:rPr>
          <w:rFonts w:ascii="Souvenir-Light" w:hAnsi="Souvenir-Light" w:cs="Souvenir-Light"/>
          <w:sz w:val="17"/>
          <w:szCs w:val="17"/>
        </w:rPr>
        <w:t xml:space="preserve">ienen citrato de </w:t>
      </w:r>
      <w:proofErr w:type="spellStart"/>
      <w:r w:rsidR="0072154B">
        <w:rPr>
          <w:rFonts w:ascii="Souvenir-Light" w:hAnsi="Souvenir-Light" w:cs="Souvenir-Light"/>
          <w:sz w:val="17"/>
          <w:szCs w:val="17"/>
        </w:rPr>
        <w:t>fentanilo</w:t>
      </w:r>
      <w:proofErr w:type="spellEnd"/>
      <w:r w:rsidR="0072154B">
        <w:rPr>
          <w:rFonts w:ascii="Souvenir-Light" w:hAnsi="Souvenir-Light" w:cs="Souvenir-Light"/>
          <w:sz w:val="17"/>
          <w:szCs w:val="17"/>
        </w:rPr>
        <w:t xml:space="preserve"> y se </w:t>
      </w:r>
      <w:r>
        <w:rPr>
          <w:rFonts w:ascii="Souvenir-Light" w:hAnsi="Souvenir-Light" w:cs="Souvenir-Light"/>
          <w:sz w:val="17"/>
          <w:szCs w:val="17"/>
        </w:rPr>
        <w:t xml:space="preserve">administran a través de la mucosa </w:t>
      </w:r>
      <w:r w:rsidR="0072154B">
        <w:rPr>
          <w:rFonts w:ascii="Souvenir-Light" w:hAnsi="Souvenir-Light" w:cs="Souvenir-Light"/>
          <w:sz w:val="17"/>
          <w:szCs w:val="17"/>
        </w:rPr>
        <w:t>oral (</w:t>
      </w:r>
      <w:proofErr w:type="spellStart"/>
      <w:r w:rsidR="0072154B">
        <w:rPr>
          <w:rFonts w:ascii="Souvenir-Light" w:hAnsi="Souvenir-Light" w:cs="Souvenir-Light"/>
          <w:sz w:val="17"/>
          <w:szCs w:val="17"/>
        </w:rPr>
        <w:t>transmucosa</w:t>
      </w:r>
      <w:proofErr w:type="spellEnd"/>
      <w:r w:rsidR="0072154B">
        <w:rPr>
          <w:rFonts w:ascii="Souvenir-Light" w:hAnsi="Souvenir-Light" w:cs="Souvenir-Light"/>
          <w:sz w:val="17"/>
          <w:szCs w:val="17"/>
        </w:rPr>
        <w:t xml:space="preserve"> oral, bucal o </w:t>
      </w:r>
      <w:r>
        <w:rPr>
          <w:rFonts w:ascii="Souvenir-Light" w:hAnsi="Souvenir-Light" w:cs="Souvenir-Light"/>
          <w:sz w:val="17"/>
          <w:szCs w:val="17"/>
        </w:rPr>
        <w:t>sublingual) o nasal. Todos tienen un inicio precoz del efecto, entre</w:t>
      </w:r>
    </w:p>
    <w:p w14:paraId="015B0395" w14:textId="77777777" w:rsidR="00EC4159" w:rsidRPr="00F229C9" w:rsidRDefault="00EC4159" w:rsidP="00F229C9">
      <w:pPr>
        <w:autoSpaceDE w:val="0"/>
        <w:autoSpaceDN w:val="0"/>
        <w:adjustRightInd w:val="0"/>
        <w:spacing w:after="0" w:line="240" w:lineRule="auto"/>
        <w:rPr>
          <w:rFonts w:ascii="Souvenir-Light" w:hAnsi="Souvenir-Light" w:cs="Souvenir-Light"/>
          <w:sz w:val="17"/>
          <w:szCs w:val="17"/>
        </w:rPr>
      </w:pPr>
      <w:r>
        <w:rPr>
          <w:rFonts w:ascii="Souvenir-Light" w:hAnsi="Souvenir-Light" w:cs="Souvenir-Light"/>
          <w:sz w:val="17"/>
          <w:szCs w:val="17"/>
        </w:rPr>
        <w:t>5-15 minutos tras la administración y un tiemp</w:t>
      </w:r>
      <w:r w:rsidR="0072154B">
        <w:rPr>
          <w:rFonts w:ascii="Souvenir-Light" w:hAnsi="Souvenir-Light" w:cs="Souvenir-Light"/>
          <w:sz w:val="17"/>
          <w:szCs w:val="17"/>
        </w:rPr>
        <w:t xml:space="preserve">o de duración </w:t>
      </w:r>
      <w:r>
        <w:rPr>
          <w:rFonts w:ascii="Souvenir-Light" w:hAnsi="Souvenir-Light" w:cs="Souvenir-Light"/>
          <w:sz w:val="17"/>
          <w:szCs w:val="17"/>
        </w:rPr>
        <w:t>entre 2-4 h y una biodisponibilidad que pued</w:t>
      </w:r>
      <w:r w:rsidR="0072154B">
        <w:rPr>
          <w:rFonts w:ascii="Souvenir-Light" w:hAnsi="Souvenir-Light" w:cs="Souvenir-Light"/>
          <w:sz w:val="17"/>
          <w:szCs w:val="17"/>
        </w:rPr>
        <w:t xml:space="preserve">e variar según la presentación. </w:t>
      </w:r>
      <w:proofErr w:type="spellStart"/>
      <w:r>
        <w:rPr>
          <w:rFonts w:ascii="Souvenir-Light" w:hAnsi="Souvenir-Light" w:cs="Souvenir-Light"/>
          <w:sz w:val="17"/>
          <w:szCs w:val="17"/>
        </w:rPr>
        <w:t>Fentanilo</w:t>
      </w:r>
      <w:proofErr w:type="spellEnd"/>
      <w:r>
        <w:rPr>
          <w:rFonts w:ascii="Souvenir-Light" w:hAnsi="Souvenir-Light" w:cs="Souvenir-Light"/>
          <w:sz w:val="17"/>
          <w:szCs w:val="17"/>
        </w:rPr>
        <w:t xml:space="preserve"> sublingual, buca</w:t>
      </w:r>
      <w:r w:rsidR="00F229C9">
        <w:rPr>
          <w:rFonts w:ascii="Souvenir-Light" w:hAnsi="Souvenir-Light" w:cs="Souvenir-Light"/>
          <w:sz w:val="17"/>
          <w:szCs w:val="17"/>
        </w:rPr>
        <w:t xml:space="preserve">l e </w:t>
      </w:r>
      <w:proofErr w:type="spellStart"/>
      <w:r w:rsidR="00F229C9">
        <w:rPr>
          <w:rFonts w:ascii="Souvenir-Light" w:hAnsi="Souvenir-Light" w:cs="Souvenir-Light"/>
          <w:sz w:val="17"/>
          <w:szCs w:val="17"/>
        </w:rPr>
        <w:t>intranasal</w:t>
      </w:r>
      <w:proofErr w:type="spellEnd"/>
      <w:r w:rsidR="00F229C9">
        <w:rPr>
          <w:rFonts w:ascii="Souvenir-Light" w:hAnsi="Souvenir-Light" w:cs="Souvenir-Light"/>
          <w:sz w:val="17"/>
          <w:szCs w:val="17"/>
        </w:rPr>
        <w:t xml:space="preserve"> tienen un inicio </w:t>
      </w:r>
      <w:r>
        <w:rPr>
          <w:rFonts w:ascii="Souvenir-Light" w:hAnsi="Souvenir-Light" w:cs="Souvenir-Light"/>
          <w:sz w:val="17"/>
          <w:szCs w:val="17"/>
        </w:rPr>
        <w:t xml:space="preserve">de acción más rápido y una mayor </w:t>
      </w:r>
      <w:r w:rsidR="00F229C9">
        <w:rPr>
          <w:rFonts w:ascii="Souvenir-Light" w:hAnsi="Souvenir-Light" w:cs="Souvenir-Light"/>
          <w:sz w:val="17"/>
          <w:szCs w:val="17"/>
        </w:rPr>
        <w:t xml:space="preserve">biodisponibilidad que </w:t>
      </w:r>
      <w:proofErr w:type="spellStart"/>
      <w:r w:rsidR="00F229C9">
        <w:rPr>
          <w:rFonts w:ascii="Souvenir-Light" w:hAnsi="Souvenir-Light" w:cs="Souvenir-Light"/>
          <w:sz w:val="17"/>
          <w:szCs w:val="17"/>
        </w:rPr>
        <w:t>fentanilo</w:t>
      </w:r>
      <w:proofErr w:type="spellEnd"/>
      <w:r w:rsidR="00F229C9">
        <w:rPr>
          <w:rFonts w:ascii="Souvenir-Light" w:hAnsi="Souvenir-Light" w:cs="Souvenir-Light"/>
          <w:sz w:val="17"/>
          <w:szCs w:val="17"/>
        </w:rPr>
        <w:t xml:space="preserve"> </w:t>
      </w:r>
      <w:proofErr w:type="spellStart"/>
      <w:r>
        <w:rPr>
          <w:rFonts w:ascii="Souvenir-Light" w:hAnsi="Souvenir-Light" w:cs="Souvenir-Light"/>
          <w:sz w:val="17"/>
          <w:szCs w:val="17"/>
        </w:rPr>
        <w:t>transmucosa</w:t>
      </w:r>
      <w:proofErr w:type="spellEnd"/>
      <w:r>
        <w:rPr>
          <w:rFonts w:ascii="Souvenir-Light" w:hAnsi="Souvenir-Light" w:cs="Souvenir-Light"/>
          <w:sz w:val="17"/>
          <w:szCs w:val="17"/>
        </w:rPr>
        <w:t xml:space="preserve"> oral. Aunque la mayoría de los </w:t>
      </w:r>
      <w:r w:rsidR="00F229C9">
        <w:rPr>
          <w:rFonts w:ascii="Souvenir-Light" w:hAnsi="Souvenir-Light" w:cs="Souvenir-Light"/>
          <w:sz w:val="17"/>
          <w:szCs w:val="17"/>
        </w:rPr>
        <w:t xml:space="preserve">estudios controlados </w:t>
      </w:r>
      <w:r>
        <w:rPr>
          <w:rFonts w:ascii="Souvenir-Light" w:hAnsi="Souvenir-Light" w:cs="Souvenir-Light"/>
          <w:sz w:val="17"/>
          <w:szCs w:val="17"/>
        </w:rPr>
        <w:t xml:space="preserve">publicados al respecto, sobre la </w:t>
      </w:r>
      <w:r w:rsidR="00F229C9">
        <w:rPr>
          <w:rFonts w:ascii="Souvenir-Light" w:hAnsi="Souvenir-Light" w:cs="Souvenir-Light"/>
          <w:sz w:val="17"/>
          <w:szCs w:val="17"/>
        </w:rPr>
        <w:t xml:space="preserve">utilización de </w:t>
      </w:r>
      <w:proofErr w:type="spellStart"/>
      <w:r w:rsidR="00F229C9">
        <w:rPr>
          <w:rFonts w:ascii="Souvenir-Light" w:hAnsi="Souvenir-Light" w:cs="Souvenir-Light"/>
          <w:sz w:val="17"/>
          <w:szCs w:val="17"/>
        </w:rPr>
        <w:t>ROOs</w:t>
      </w:r>
      <w:proofErr w:type="spellEnd"/>
      <w:r w:rsidR="00F229C9">
        <w:rPr>
          <w:rFonts w:ascii="Souvenir-Light" w:hAnsi="Souvenir-Light" w:cs="Souvenir-Light"/>
          <w:sz w:val="17"/>
          <w:szCs w:val="17"/>
        </w:rPr>
        <w:t xml:space="preserve"> en el dolor </w:t>
      </w:r>
      <w:proofErr w:type="spellStart"/>
      <w:r>
        <w:rPr>
          <w:rFonts w:ascii="Souvenir-Light" w:hAnsi="Souvenir-Light" w:cs="Souvenir-Light"/>
          <w:sz w:val="17"/>
          <w:szCs w:val="17"/>
        </w:rPr>
        <w:t>irruptivo</w:t>
      </w:r>
      <w:proofErr w:type="spellEnd"/>
      <w:r>
        <w:rPr>
          <w:rFonts w:ascii="Souvenir-Light" w:hAnsi="Souvenir-Light" w:cs="Souvenir-Light"/>
          <w:sz w:val="17"/>
          <w:szCs w:val="17"/>
        </w:rPr>
        <w:t>, recomiendan la necesida</w:t>
      </w:r>
      <w:r w:rsidR="00F229C9">
        <w:rPr>
          <w:rFonts w:ascii="Souvenir-Light" w:hAnsi="Souvenir-Light" w:cs="Souvenir-Light"/>
          <w:sz w:val="17"/>
          <w:szCs w:val="17"/>
        </w:rPr>
        <w:t xml:space="preserve">d de titulación de dosis (sobre </w:t>
      </w:r>
      <w:r>
        <w:rPr>
          <w:rFonts w:ascii="Souvenir-Light" w:hAnsi="Souvenir-Light" w:cs="Souvenir-Light"/>
          <w:sz w:val="17"/>
          <w:szCs w:val="17"/>
        </w:rPr>
        <w:t xml:space="preserve">todo los que incluyen CFOT y </w:t>
      </w:r>
      <w:proofErr w:type="spellStart"/>
      <w:r>
        <w:rPr>
          <w:rFonts w:ascii="Souvenir-Light" w:hAnsi="Souvenir-Light" w:cs="Souvenir-Light"/>
          <w:sz w:val="17"/>
          <w:szCs w:val="17"/>
        </w:rPr>
        <w:t>fenta</w:t>
      </w:r>
      <w:r w:rsidR="00F229C9">
        <w:rPr>
          <w:rFonts w:ascii="Souvenir-Light" w:hAnsi="Souvenir-Light" w:cs="Souvenir-Light"/>
          <w:sz w:val="17"/>
          <w:szCs w:val="17"/>
        </w:rPr>
        <w:t>nilo</w:t>
      </w:r>
      <w:proofErr w:type="spellEnd"/>
      <w:r w:rsidR="00F229C9">
        <w:rPr>
          <w:rFonts w:ascii="Souvenir-Light" w:hAnsi="Souvenir-Light" w:cs="Souvenir-Light"/>
          <w:sz w:val="17"/>
          <w:szCs w:val="17"/>
        </w:rPr>
        <w:t xml:space="preserve"> bucal), la elección de una </w:t>
      </w:r>
      <w:r>
        <w:rPr>
          <w:rFonts w:ascii="Souvenir-Light" w:hAnsi="Souvenir-Light" w:cs="Souvenir-Light"/>
          <w:sz w:val="17"/>
          <w:szCs w:val="17"/>
        </w:rPr>
        <w:t>dosis eficaz sigue siendo dificultosa.</w:t>
      </w:r>
    </w:p>
    <w:p w14:paraId="1BA51A1D" w14:textId="77777777" w:rsidR="00EC4159" w:rsidRDefault="00EC4159" w:rsidP="00EC4159"/>
    <w:p w14:paraId="27E779BE" w14:textId="77777777" w:rsidR="00E35900" w:rsidRDefault="00EC4159" w:rsidP="00F229C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Una evaluación adecuada de</w:t>
      </w:r>
      <w:r w:rsidR="00F229C9">
        <w:rPr>
          <w:rFonts w:ascii="Times-Roman" w:hAnsi="Times-Roman" w:cs="Times-Roman"/>
          <w:sz w:val="20"/>
          <w:szCs w:val="20"/>
        </w:rPr>
        <w:t xml:space="preserve">l dolor </w:t>
      </w:r>
      <w:proofErr w:type="spellStart"/>
      <w:r w:rsidR="00F229C9">
        <w:rPr>
          <w:rFonts w:ascii="Times-Roman" w:hAnsi="Times-Roman" w:cs="Times-Roman"/>
          <w:sz w:val="20"/>
          <w:szCs w:val="20"/>
        </w:rPr>
        <w:t>irruptivo</w:t>
      </w:r>
      <w:proofErr w:type="spellEnd"/>
      <w:r w:rsidR="00F229C9">
        <w:rPr>
          <w:rFonts w:ascii="Times-Roman" w:hAnsi="Times-Roman" w:cs="Times-Roman"/>
          <w:sz w:val="20"/>
          <w:szCs w:val="20"/>
        </w:rPr>
        <w:t xml:space="preserve">, considerando </w:t>
      </w:r>
      <w:r>
        <w:rPr>
          <w:rFonts w:ascii="Times-Roman" w:hAnsi="Times-Roman" w:cs="Times-Roman"/>
          <w:sz w:val="20"/>
          <w:szCs w:val="20"/>
        </w:rPr>
        <w:t xml:space="preserve">su clasificación, </w:t>
      </w:r>
      <w:r w:rsidR="00F229C9">
        <w:rPr>
          <w:rFonts w:ascii="Times-Roman" w:hAnsi="Times-Roman" w:cs="Times-Roman"/>
          <w:sz w:val="20"/>
          <w:szCs w:val="20"/>
        </w:rPr>
        <w:t>debería incluir la frecuencia</w:t>
      </w:r>
      <w:bookmarkStart w:id="0" w:name="_GoBack"/>
      <w:bookmarkEnd w:id="0"/>
      <w:r w:rsidR="00F229C9">
        <w:rPr>
          <w:rFonts w:ascii="Times-Roman" w:hAnsi="Times-Roman" w:cs="Times-Roman"/>
          <w:sz w:val="20"/>
          <w:szCs w:val="20"/>
        </w:rPr>
        <w:t xml:space="preserve"> y </w:t>
      </w:r>
      <w:r>
        <w:rPr>
          <w:rFonts w:ascii="Times-Roman" w:hAnsi="Times-Roman" w:cs="Times-Roman"/>
          <w:sz w:val="20"/>
          <w:szCs w:val="20"/>
        </w:rPr>
        <w:t xml:space="preserve">duración los episodios, la </w:t>
      </w:r>
      <w:r w:rsidR="00F229C9">
        <w:rPr>
          <w:rFonts w:ascii="Times-Roman" w:hAnsi="Times-Roman" w:cs="Times-Roman"/>
          <w:sz w:val="20"/>
          <w:szCs w:val="20"/>
        </w:rPr>
        <w:t xml:space="preserve">intensidad y tipo de dolor, los </w:t>
      </w:r>
      <w:r>
        <w:rPr>
          <w:rFonts w:ascii="Times-Roman" w:hAnsi="Times-Roman" w:cs="Times-Roman"/>
          <w:sz w:val="20"/>
          <w:szCs w:val="20"/>
        </w:rPr>
        <w:t xml:space="preserve">factores precipitantes, la medicación previa y la efectividad del tratamiento de rescate. </w:t>
      </w:r>
      <w:r w:rsidR="00F229C9">
        <w:rPr>
          <w:rFonts w:ascii="Times-Roman" w:hAnsi="Times-Roman" w:cs="Times-Roman"/>
          <w:sz w:val="20"/>
          <w:szCs w:val="20"/>
        </w:rPr>
        <w:t xml:space="preserve">Cuando el problema es frecuente </w:t>
      </w:r>
      <w:r>
        <w:rPr>
          <w:rFonts w:ascii="Times-Roman" w:hAnsi="Times-Roman" w:cs="Times-Roman"/>
          <w:sz w:val="20"/>
          <w:szCs w:val="20"/>
        </w:rPr>
        <w:t>e importante, se recomienda incluso llevar un “</w:t>
      </w:r>
      <w:r w:rsidR="00F229C9">
        <w:rPr>
          <w:rFonts w:ascii="Times-Roman" w:hAnsi="Times-Roman" w:cs="Times-Roman"/>
          <w:sz w:val="20"/>
          <w:szCs w:val="20"/>
        </w:rPr>
        <w:t xml:space="preserve">diario del </w:t>
      </w:r>
      <w:r>
        <w:rPr>
          <w:rFonts w:ascii="Times-Roman" w:hAnsi="Times-Roman" w:cs="Times-Roman"/>
          <w:sz w:val="20"/>
          <w:szCs w:val="20"/>
        </w:rPr>
        <w:t>dolor” para apuntar todas estas circunstancias.</w:t>
      </w:r>
    </w:p>
    <w:p w14:paraId="76363DA2" w14:textId="77777777" w:rsidR="00EC4159" w:rsidRDefault="00EC4159" w:rsidP="00EC4159">
      <w:pPr>
        <w:rPr>
          <w:rFonts w:ascii="Times-Roman" w:hAnsi="Times-Roman" w:cs="Times-Roman"/>
          <w:sz w:val="20"/>
          <w:szCs w:val="20"/>
        </w:rPr>
      </w:pPr>
    </w:p>
    <w:p w14:paraId="19E75C9D" w14:textId="77777777" w:rsidR="001B6F53" w:rsidRDefault="00145786" w:rsidP="00F229C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El </w:t>
      </w:r>
      <w:proofErr w:type="spellStart"/>
      <w:r>
        <w:rPr>
          <w:rFonts w:ascii="Times-Roman" w:hAnsi="Times-Roman" w:cs="Times-Roman"/>
          <w:sz w:val="20"/>
          <w:szCs w:val="20"/>
        </w:rPr>
        <w:t>fentanilo</w:t>
      </w:r>
      <w:proofErr w:type="spellEnd"/>
      <w:r>
        <w:rPr>
          <w:rFonts w:ascii="Times-Roman" w:hAnsi="Times-Roman" w:cs="Times-Roman"/>
          <w:sz w:val="20"/>
          <w:szCs w:val="20"/>
        </w:rPr>
        <w:t xml:space="preserve"> es un opioide </w:t>
      </w:r>
      <w:proofErr w:type="spellStart"/>
      <w:r>
        <w:rPr>
          <w:rFonts w:ascii="Times-Roman" w:hAnsi="Times-Roman" w:cs="Times-Roman"/>
          <w:sz w:val="20"/>
          <w:szCs w:val="20"/>
        </w:rPr>
        <w:t>lip</w:t>
      </w:r>
      <w:r w:rsidR="00F229C9">
        <w:rPr>
          <w:rFonts w:ascii="Times-Roman" w:hAnsi="Times-Roman" w:cs="Times-Roman"/>
          <w:sz w:val="20"/>
          <w:szCs w:val="20"/>
        </w:rPr>
        <w:t>ofílico</w:t>
      </w:r>
      <w:proofErr w:type="spellEnd"/>
      <w:r w:rsidR="00F229C9">
        <w:rPr>
          <w:rFonts w:ascii="Times-Roman" w:hAnsi="Times-Roman" w:cs="Times-Roman"/>
          <w:sz w:val="20"/>
          <w:szCs w:val="20"/>
        </w:rPr>
        <w:t xml:space="preserve">, rápidamente absorbible </w:t>
      </w:r>
      <w:r>
        <w:rPr>
          <w:rFonts w:ascii="Times-Roman" w:hAnsi="Times-Roman" w:cs="Times-Roman"/>
          <w:sz w:val="20"/>
          <w:szCs w:val="20"/>
        </w:rPr>
        <w:t>a través de las membranas m</w:t>
      </w:r>
      <w:r w:rsidR="00F229C9">
        <w:rPr>
          <w:rFonts w:ascii="Times-Roman" w:hAnsi="Times-Roman" w:cs="Times-Roman"/>
          <w:sz w:val="20"/>
          <w:szCs w:val="20"/>
        </w:rPr>
        <w:t xml:space="preserve">ucosas, proporcionando </w:t>
      </w:r>
      <w:r>
        <w:rPr>
          <w:rFonts w:ascii="Times-Roman" w:hAnsi="Times-Roman" w:cs="Times-Roman"/>
          <w:sz w:val="20"/>
          <w:szCs w:val="20"/>
        </w:rPr>
        <w:t>un inicio rápido y una meno</w:t>
      </w:r>
      <w:r w:rsidR="00F229C9">
        <w:rPr>
          <w:rFonts w:ascii="Times-Roman" w:hAnsi="Times-Roman" w:cs="Times-Roman"/>
          <w:sz w:val="20"/>
          <w:szCs w:val="20"/>
        </w:rPr>
        <w:t xml:space="preserve">r duración de su efecto. Varias </w:t>
      </w:r>
      <w:r>
        <w:rPr>
          <w:rFonts w:ascii="Times-Roman" w:hAnsi="Times-Roman" w:cs="Times-Roman"/>
          <w:sz w:val="20"/>
          <w:szCs w:val="20"/>
        </w:rPr>
        <w:t xml:space="preserve">formulaciones de </w:t>
      </w:r>
      <w:proofErr w:type="spellStart"/>
      <w:r>
        <w:rPr>
          <w:rFonts w:ascii="Times-Roman" w:hAnsi="Times-Roman" w:cs="Times-Roman"/>
          <w:sz w:val="20"/>
          <w:szCs w:val="20"/>
        </w:rPr>
        <w:t>fentanilo</w:t>
      </w:r>
      <w:proofErr w:type="spellEnd"/>
      <w:r w:rsidR="00F229C9">
        <w:rPr>
          <w:rFonts w:ascii="Times-Roman" w:hAnsi="Times-Roman" w:cs="Times-Roman"/>
          <w:sz w:val="20"/>
          <w:szCs w:val="20"/>
        </w:rPr>
        <w:t xml:space="preserve"> han sido desarrolladas para el </w:t>
      </w:r>
      <w:r>
        <w:rPr>
          <w:rFonts w:ascii="Times-Roman" w:hAnsi="Times-Roman" w:cs="Times-Roman"/>
          <w:sz w:val="20"/>
          <w:szCs w:val="20"/>
        </w:rPr>
        <w:t xml:space="preserve">tratamiento del dolor </w:t>
      </w:r>
      <w:proofErr w:type="spellStart"/>
      <w:r>
        <w:rPr>
          <w:rFonts w:ascii="Times-Roman" w:hAnsi="Times-Roman" w:cs="Times-Roman"/>
          <w:sz w:val="20"/>
          <w:szCs w:val="20"/>
        </w:rPr>
        <w:t>irruptivo</w:t>
      </w:r>
      <w:proofErr w:type="spellEnd"/>
      <w:r>
        <w:rPr>
          <w:rFonts w:ascii="Times-Roman" w:hAnsi="Times-Roman" w:cs="Times-Roman"/>
          <w:sz w:val="20"/>
          <w:szCs w:val="20"/>
        </w:rPr>
        <w:t>.</w:t>
      </w:r>
    </w:p>
    <w:p w14:paraId="5BD8AC5B" w14:textId="77777777" w:rsidR="001B6F53" w:rsidRDefault="001B6F53" w:rsidP="00EC4159">
      <w:pPr>
        <w:rPr>
          <w:rFonts w:ascii="Times-Roman" w:hAnsi="Times-Roman" w:cs="Times-Roman"/>
          <w:sz w:val="20"/>
          <w:szCs w:val="20"/>
        </w:rPr>
      </w:pPr>
      <w:r w:rsidRPr="001B6F53">
        <w:rPr>
          <w:noProof/>
          <w:lang w:val="es-ES_tradnl" w:eastAsia="es-ES_tradnl"/>
        </w:rPr>
        <w:drawing>
          <wp:inline distT="0" distB="0" distL="0" distR="0" wp14:anchorId="0E581818" wp14:editId="64A11593">
            <wp:extent cx="4247619" cy="3466667"/>
            <wp:effectExtent l="0" t="0" r="63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47619" cy="3466667"/>
                    </a:xfrm>
                    <a:prstGeom prst="rect">
                      <a:avLst/>
                    </a:prstGeom>
                  </pic:spPr>
                </pic:pic>
              </a:graphicData>
            </a:graphic>
          </wp:inline>
        </w:drawing>
      </w:r>
    </w:p>
    <w:p w14:paraId="2258F72D" w14:textId="77777777" w:rsidR="00EC4159" w:rsidRDefault="00EC4159" w:rsidP="00EC4159">
      <w:r w:rsidRPr="00EC4159">
        <w:rPr>
          <w:noProof/>
          <w:lang w:val="es-ES_tradnl" w:eastAsia="es-ES_tradnl"/>
        </w:rPr>
        <w:lastRenderedPageBreak/>
        <w:drawing>
          <wp:inline distT="0" distB="0" distL="0" distR="0" wp14:anchorId="12C5A5D6" wp14:editId="4377B8C4">
            <wp:extent cx="5400040" cy="390797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3907972"/>
                    </a:xfrm>
                    <a:prstGeom prst="rect">
                      <a:avLst/>
                    </a:prstGeom>
                  </pic:spPr>
                </pic:pic>
              </a:graphicData>
            </a:graphic>
          </wp:inline>
        </w:drawing>
      </w:r>
    </w:p>
    <w:p w14:paraId="4A0F4433" w14:textId="77777777" w:rsidR="0072154B" w:rsidRDefault="0072154B" w:rsidP="00EC4159"/>
    <w:p w14:paraId="46B843F9" w14:textId="77777777" w:rsidR="0072154B" w:rsidRDefault="0072154B" w:rsidP="0072154B">
      <w:pPr>
        <w:pStyle w:val="Default"/>
        <w:rPr>
          <w:sz w:val="22"/>
          <w:szCs w:val="22"/>
        </w:rPr>
      </w:pPr>
      <w:r>
        <w:rPr>
          <w:sz w:val="22"/>
          <w:szCs w:val="22"/>
        </w:rPr>
        <w:t xml:space="preserve">Se deberá ajustar individualmente la dosis hasta obtener una analgesia adecuada con reacciones adversas tolerables. Durante el proceso de ajuste de la dosis se realizará una estrecha monitorización a los pacientes. </w:t>
      </w:r>
    </w:p>
    <w:p w14:paraId="2614936E" w14:textId="77777777" w:rsidR="0072154B" w:rsidRDefault="0072154B" w:rsidP="0072154B">
      <w:pPr>
        <w:pStyle w:val="Default"/>
        <w:rPr>
          <w:sz w:val="22"/>
          <w:szCs w:val="22"/>
        </w:rPr>
      </w:pPr>
      <w:r>
        <w:rPr>
          <w:sz w:val="22"/>
          <w:szCs w:val="22"/>
        </w:rPr>
        <w:t xml:space="preserve">El ajuste a dosis más altas requiere la intervención de un profesional sanitario. </w:t>
      </w:r>
    </w:p>
    <w:p w14:paraId="7E68B2FB" w14:textId="77777777" w:rsidR="0072154B" w:rsidRDefault="0072154B" w:rsidP="0072154B">
      <w:r>
        <w:t xml:space="preserve">En los ensayos clínicos la dosis de </w:t>
      </w:r>
      <w:proofErr w:type="spellStart"/>
      <w:r>
        <w:t>Instanyl</w:t>
      </w:r>
      <w:proofErr w:type="spellEnd"/>
      <w:r>
        <w:t xml:space="preserve"> utilizada para el tratamiento del dolor </w:t>
      </w:r>
      <w:proofErr w:type="spellStart"/>
      <w:r>
        <w:t>irruptivo</w:t>
      </w:r>
      <w:proofErr w:type="spellEnd"/>
      <w:r>
        <w:t xml:space="preserve"> fue independiente de la dosis diaria de mantenimiento con opioides (ver sección 5.1).</w:t>
      </w:r>
    </w:p>
    <w:p w14:paraId="11A74717" w14:textId="77777777" w:rsidR="0072154B" w:rsidRDefault="0072154B" w:rsidP="0072154B"/>
    <w:p w14:paraId="595EF33A" w14:textId="77777777" w:rsidR="0072154B" w:rsidRDefault="0072154B" w:rsidP="0072154B"/>
    <w:p w14:paraId="2AA5E8EA" w14:textId="77777777" w:rsidR="0072154B" w:rsidRDefault="0072154B" w:rsidP="0072154B">
      <w:pPr>
        <w:pStyle w:val="Default"/>
        <w:rPr>
          <w:sz w:val="22"/>
          <w:szCs w:val="22"/>
        </w:rPr>
      </w:pPr>
      <w:r>
        <w:rPr>
          <w:sz w:val="22"/>
          <w:szCs w:val="22"/>
        </w:rPr>
        <w:t xml:space="preserve">Dosis diaria máxima: tratamiento de un máximo de cuatro episodios de dolor </w:t>
      </w:r>
      <w:proofErr w:type="spellStart"/>
      <w:r>
        <w:rPr>
          <w:sz w:val="22"/>
          <w:szCs w:val="22"/>
        </w:rPr>
        <w:t>irruptivo</w:t>
      </w:r>
      <w:proofErr w:type="spellEnd"/>
      <w:r>
        <w:rPr>
          <w:sz w:val="22"/>
          <w:szCs w:val="22"/>
        </w:rPr>
        <w:t xml:space="preserve">, administrándose en cada episodio un máximo de dos dosis, con una separación entre ambas de al menos 10 minutos. </w:t>
      </w:r>
    </w:p>
    <w:p w14:paraId="39E5219D" w14:textId="77777777" w:rsidR="0072154B" w:rsidRDefault="0072154B" w:rsidP="0072154B">
      <w:pPr>
        <w:pStyle w:val="Default"/>
        <w:rPr>
          <w:sz w:val="22"/>
          <w:szCs w:val="22"/>
        </w:rPr>
      </w:pPr>
      <w:r>
        <w:rPr>
          <w:sz w:val="22"/>
          <w:szCs w:val="22"/>
        </w:rPr>
        <w:t xml:space="preserve">Durante la titulación y la terapia de mantenimiento, el paciente deberá esperar al menos 4 horas antes de tratar con </w:t>
      </w:r>
      <w:proofErr w:type="spellStart"/>
      <w:r>
        <w:rPr>
          <w:sz w:val="22"/>
          <w:szCs w:val="22"/>
        </w:rPr>
        <w:t>Instanyl</w:t>
      </w:r>
      <w:proofErr w:type="spellEnd"/>
      <w:r>
        <w:rPr>
          <w:sz w:val="22"/>
          <w:szCs w:val="22"/>
        </w:rPr>
        <w:t xml:space="preserve"> otro episodio de dolor </w:t>
      </w:r>
      <w:proofErr w:type="spellStart"/>
      <w:r>
        <w:rPr>
          <w:sz w:val="22"/>
          <w:szCs w:val="22"/>
        </w:rPr>
        <w:t>irruptivo</w:t>
      </w:r>
      <w:proofErr w:type="spellEnd"/>
      <w:r>
        <w:rPr>
          <w:sz w:val="22"/>
          <w:szCs w:val="22"/>
        </w:rPr>
        <w:t xml:space="preserve">. </w:t>
      </w:r>
    </w:p>
    <w:p w14:paraId="26475E40" w14:textId="77777777" w:rsidR="0072154B" w:rsidRDefault="0072154B" w:rsidP="0072154B">
      <w:pPr>
        <w:pStyle w:val="Default"/>
        <w:rPr>
          <w:i/>
          <w:iCs/>
          <w:sz w:val="22"/>
          <w:szCs w:val="22"/>
        </w:rPr>
      </w:pPr>
    </w:p>
    <w:p w14:paraId="1AF78B67" w14:textId="77777777" w:rsidR="0072154B" w:rsidRDefault="0072154B" w:rsidP="0072154B">
      <w:pPr>
        <w:pStyle w:val="Default"/>
        <w:rPr>
          <w:sz w:val="22"/>
          <w:szCs w:val="22"/>
        </w:rPr>
      </w:pPr>
      <w:r>
        <w:rPr>
          <w:i/>
          <w:iCs/>
          <w:sz w:val="22"/>
          <w:szCs w:val="22"/>
        </w:rPr>
        <w:t xml:space="preserve">Titulación o ajuste de la dosis </w:t>
      </w:r>
    </w:p>
    <w:p w14:paraId="25ABB334" w14:textId="77777777" w:rsidR="0072154B" w:rsidRDefault="0072154B" w:rsidP="0072154B">
      <w:pPr>
        <w:pStyle w:val="Default"/>
        <w:rPr>
          <w:sz w:val="22"/>
          <w:szCs w:val="22"/>
        </w:rPr>
      </w:pPr>
      <w:r>
        <w:rPr>
          <w:sz w:val="22"/>
          <w:szCs w:val="22"/>
        </w:rPr>
        <w:t xml:space="preserve">Antes de ajustar la dosis de </w:t>
      </w:r>
      <w:proofErr w:type="spellStart"/>
      <w:r>
        <w:rPr>
          <w:sz w:val="22"/>
          <w:szCs w:val="22"/>
        </w:rPr>
        <w:t>Instanyl</w:t>
      </w:r>
      <w:proofErr w:type="spellEnd"/>
      <w:r>
        <w:rPr>
          <w:sz w:val="22"/>
          <w:szCs w:val="22"/>
        </w:rPr>
        <w:t xml:space="preserve">, se confirmará que el dolor de base persistente está controlado mediante terapia crónica con opioides y que no padecen más de cuatro episodios de dolor </w:t>
      </w:r>
      <w:proofErr w:type="spellStart"/>
      <w:r>
        <w:rPr>
          <w:sz w:val="22"/>
          <w:szCs w:val="22"/>
        </w:rPr>
        <w:t>irruptivo</w:t>
      </w:r>
      <w:proofErr w:type="spellEnd"/>
      <w:r>
        <w:rPr>
          <w:sz w:val="22"/>
          <w:szCs w:val="22"/>
        </w:rPr>
        <w:t xml:space="preserve"> al día. </w:t>
      </w:r>
    </w:p>
    <w:p w14:paraId="4706A1FD" w14:textId="77777777" w:rsidR="0072154B" w:rsidRDefault="0072154B" w:rsidP="0072154B">
      <w:pPr>
        <w:pStyle w:val="Default"/>
        <w:rPr>
          <w:i/>
          <w:iCs/>
          <w:sz w:val="22"/>
          <w:szCs w:val="22"/>
        </w:rPr>
      </w:pPr>
    </w:p>
    <w:p w14:paraId="6481476A" w14:textId="77777777" w:rsidR="0072154B" w:rsidRDefault="0072154B" w:rsidP="0072154B">
      <w:pPr>
        <w:pStyle w:val="Default"/>
        <w:rPr>
          <w:sz w:val="22"/>
          <w:szCs w:val="22"/>
        </w:rPr>
      </w:pPr>
      <w:r>
        <w:rPr>
          <w:i/>
          <w:iCs/>
          <w:sz w:val="22"/>
          <w:szCs w:val="22"/>
        </w:rPr>
        <w:t xml:space="preserve">Ajuste de la dosis </w:t>
      </w:r>
    </w:p>
    <w:p w14:paraId="4E9DABE9" w14:textId="77777777" w:rsidR="0072154B" w:rsidRDefault="0072154B" w:rsidP="0072154B">
      <w:r>
        <w:t xml:space="preserve">La concentración inicial deberá ser una dosis de 50 microgramos en una fosa nasal, ajustando a dosis superiores según sea necesario dentro del rango de concentraciones disponibles (50, 100 y 200 microgramos). Si no se obtiene la analgesia adecuada, se puede administrar de nuevo la </w:t>
      </w:r>
      <w:r>
        <w:lastRenderedPageBreak/>
        <w:t>misma dosis una vez transcurridos un mínimo de 10 minutos. Cada etapa del ajuste de la dosis (concentración de la dosis) se deberá evaluar en varios episodios.</w:t>
      </w:r>
    </w:p>
    <w:p w14:paraId="11D8F3E5" w14:textId="77777777" w:rsidR="0072154B" w:rsidRDefault="0072154B" w:rsidP="0072154B"/>
    <w:p w14:paraId="4B116165" w14:textId="77777777" w:rsidR="0072154B" w:rsidRDefault="0072154B" w:rsidP="0072154B">
      <w:r w:rsidRPr="0072154B">
        <w:rPr>
          <w:noProof/>
          <w:lang w:val="es-ES_tradnl" w:eastAsia="es-ES_tradnl"/>
        </w:rPr>
        <w:drawing>
          <wp:inline distT="0" distB="0" distL="0" distR="0" wp14:anchorId="62F80F9E" wp14:editId="617C0720">
            <wp:extent cx="5209524" cy="3352381"/>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09524" cy="3352381"/>
                    </a:xfrm>
                    <a:prstGeom prst="rect">
                      <a:avLst/>
                    </a:prstGeom>
                  </pic:spPr>
                </pic:pic>
              </a:graphicData>
            </a:graphic>
          </wp:inline>
        </w:drawing>
      </w:r>
    </w:p>
    <w:p w14:paraId="74D24B49" w14:textId="77777777" w:rsidR="0072154B" w:rsidRDefault="0072154B" w:rsidP="0072154B">
      <w:pPr>
        <w:pStyle w:val="Default"/>
        <w:rPr>
          <w:sz w:val="22"/>
          <w:szCs w:val="22"/>
        </w:rPr>
      </w:pPr>
      <w:r>
        <w:rPr>
          <w:sz w:val="22"/>
          <w:szCs w:val="22"/>
        </w:rPr>
        <w:t xml:space="preserve">Una vez se ha establecido la dosis de acuerdo con las etapas descritas anteriormente, se deberá mantener al paciente con esta concentración de </w:t>
      </w:r>
      <w:proofErr w:type="spellStart"/>
      <w:r>
        <w:rPr>
          <w:sz w:val="22"/>
          <w:szCs w:val="22"/>
        </w:rPr>
        <w:t>Instanyl</w:t>
      </w:r>
      <w:proofErr w:type="spellEnd"/>
      <w:r>
        <w:rPr>
          <w:sz w:val="22"/>
          <w:szCs w:val="22"/>
        </w:rPr>
        <w:t xml:space="preserve">. Si el paciente experimenta un alivio insuficiente del dolor se puede administrar de nuevo la misma dosis una vez transcurridos un mínimo de 10 minutos. </w:t>
      </w:r>
    </w:p>
    <w:p w14:paraId="429F296E" w14:textId="77777777" w:rsidR="0072154B" w:rsidRDefault="0072154B" w:rsidP="0072154B">
      <w:pPr>
        <w:pStyle w:val="Default"/>
        <w:rPr>
          <w:i/>
          <w:iCs/>
          <w:sz w:val="22"/>
          <w:szCs w:val="22"/>
        </w:rPr>
      </w:pPr>
    </w:p>
    <w:p w14:paraId="6F0528D1" w14:textId="77777777" w:rsidR="0072154B" w:rsidRDefault="0072154B" w:rsidP="0072154B">
      <w:pPr>
        <w:pStyle w:val="Default"/>
        <w:rPr>
          <w:sz w:val="22"/>
          <w:szCs w:val="22"/>
        </w:rPr>
      </w:pPr>
      <w:r>
        <w:rPr>
          <w:i/>
          <w:iCs/>
          <w:sz w:val="22"/>
          <w:szCs w:val="22"/>
        </w:rPr>
        <w:t xml:space="preserve">Ajuste de la dosis </w:t>
      </w:r>
    </w:p>
    <w:p w14:paraId="33FBBB2F" w14:textId="77777777" w:rsidR="0072154B" w:rsidRDefault="0072154B" w:rsidP="0072154B">
      <w:pPr>
        <w:pStyle w:val="Default"/>
        <w:rPr>
          <w:sz w:val="22"/>
          <w:szCs w:val="22"/>
        </w:rPr>
      </w:pPr>
      <w:r>
        <w:rPr>
          <w:sz w:val="22"/>
          <w:szCs w:val="22"/>
        </w:rPr>
        <w:t xml:space="preserve">En general, se deberá aumentar la concentración de mantenimiento con </w:t>
      </w:r>
      <w:proofErr w:type="spellStart"/>
      <w:r>
        <w:rPr>
          <w:sz w:val="22"/>
          <w:szCs w:val="22"/>
        </w:rPr>
        <w:t>Instanyl</w:t>
      </w:r>
      <w:proofErr w:type="spellEnd"/>
      <w:r>
        <w:rPr>
          <w:sz w:val="22"/>
          <w:szCs w:val="22"/>
        </w:rPr>
        <w:t xml:space="preserve"> cuando un paciente requiera más de una dosis por episodio de dolor </w:t>
      </w:r>
      <w:proofErr w:type="spellStart"/>
      <w:r>
        <w:rPr>
          <w:sz w:val="22"/>
          <w:szCs w:val="22"/>
        </w:rPr>
        <w:t>irruptivo</w:t>
      </w:r>
      <w:proofErr w:type="spellEnd"/>
      <w:r>
        <w:rPr>
          <w:sz w:val="22"/>
          <w:szCs w:val="22"/>
        </w:rPr>
        <w:t xml:space="preserve"> durante varios episodios consecutivos. </w:t>
      </w:r>
    </w:p>
    <w:p w14:paraId="5B48CB38" w14:textId="77777777" w:rsidR="0072154B" w:rsidRDefault="0072154B" w:rsidP="0072154B">
      <w:r>
        <w:t xml:space="preserve">Puede ser necesario ajustar la dosis del tratamiento de base con opioides si el paciente presenta de forma continuada más de cuatro episodios de dolor </w:t>
      </w:r>
      <w:proofErr w:type="spellStart"/>
      <w:r>
        <w:t>irruptivo</w:t>
      </w:r>
      <w:proofErr w:type="spellEnd"/>
      <w:r>
        <w:t xml:space="preserve"> cada 24 horas.</w:t>
      </w:r>
    </w:p>
    <w:p w14:paraId="12A918AF" w14:textId="77777777" w:rsidR="0072154B" w:rsidRDefault="0072154B" w:rsidP="0072154B"/>
    <w:p w14:paraId="7C24B648" w14:textId="77777777" w:rsidR="0072154B" w:rsidRDefault="0072154B" w:rsidP="0072154B">
      <w:pPr>
        <w:pStyle w:val="Default"/>
        <w:rPr>
          <w:sz w:val="22"/>
          <w:szCs w:val="22"/>
        </w:rPr>
      </w:pPr>
      <w:r>
        <w:rPr>
          <w:sz w:val="22"/>
          <w:szCs w:val="22"/>
        </w:rPr>
        <w:t xml:space="preserve">Si las reacciones adversas son intolerables o persistentes, se deberá reducir la dosis o bien reemplazar el tratamiento con </w:t>
      </w:r>
      <w:proofErr w:type="spellStart"/>
      <w:r>
        <w:rPr>
          <w:sz w:val="22"/>
          <w:szCs w:val="22"/>
        </w:rPr>
        <w:t>Instanyl</w:t>
      </w:r>
      <w:proofErr w:type="spellEnd"/>
      <w:r>
        <w:rPr>
          <w:sz w:val="22"/>
          <w:szCs w:val="22"/>
        </w:rPr>
        <w:t xml:space="preserve"> por otros analgésicos. </w:t>
      </w:r>
    </w:p>
    <w:p w14:paraId="2771D7A7" w14:textId="77777777" w:rsidR="0072154B" w:rsidRDefault="0072154B" w:rsidP="0072154B">
      <w:pPr>
        <w:pStyle w:val="Default"/>
        <w:rPr>
          <w:i/>
          <w:iCs/>
          <w:sz w:val="22"/>
          <w:szCs w:val="22"/>
        </w:rPr>
      </w:pPr>
    </w:p>
    <w:p w14:paraId="556ADFEF" w14:textId="77777777" w:rsidR="0072154B" w:rsidRDefault="0072154B" w:rsidP="0072154B">
      <w:pPr>
        <w:pStyle w:val="Default"/>
        <w:rPr>
          <w:sz w:val="22"/>
          <w:szCs w:val="22"/>
        </w:rPr>
      </w:pPr>
      <w:r>
        <w:rPr>
          <w:i/>
          <w:iCs/>
          <w:sz w:val="22"/>
          <w:szCs w:val="22"/>
        </w:rPr>
        <w:t xml:space="preserve">Interrupción del tratamiento </w:t>
      </w:r>
    </w:p>
    <w:p w14:paraId="001DAB7F" w14:textId="77777777" w:rsidR="0072154B" w:rsidRDefault="0072154B" w:rsidP="0072154B">
      <w:pPr>
        <w:pStyle w:val="Default"/>
        <w:rPr>
          <w:sz w:val="22"/>
          <w:szCs w:val="22"/>
        </w:rPr>
      </w:pPr>
      <w:r>
        <w:rPr>
          <w:sz w:val="22"/>
          <w:szCs w:val="22"/>
        </w:rPr>
        <w:t xml:space="preserve">Se deberá suspender inmediatamente el tratamiento con </w:t>
      </w:r>
      <w:proofErr w:type="spellStart"/>
      <w:r>
        <w:rPr>
          <w:sz w:val="22"/>
          <w:szCs w:val="22"/>
        </w:rPr>
        <w:t>Instanyl</w:t>
      </w:r>
      <w:proofErr w:type="spellEnd"/>
      <w:r>
        <w:rPr>
          <w:sz w:val="22"/>
          <w:szCs w:val="22"/>
        </w:rPr>
        <w:t xml:space="preserve"> si el paciente deja de padecer episodios de dolor </w:t>
      </w:r>
      <w:proofErr w:type="spellStart"/>
      <w:r>
        <w:rPr>
          <w:sz w:val="22"/>
          <w:szCs w:val="22"/>
        </w:rPr>
        <w:t>irruptivo</w:t>
      </w:r>
      <w:proofErr w:type="spellEnd"/>
      <w:r>
        <w:rPr>
          <w:sz w:val="22"/>
          <w:szCs w:val="22"/>
        </w:rPr>
        <w:t xml:space="preserve">. El tratamiento para el dolor de base persistente deberá mantenerse según lo prescrito. </w:t>
      </w:r>
    </w:p>
    <w:p w14:paraId="0D48C82F" w14:textId="77777777" w:rsidR="0072154B" w:rsidRDefault="0072154B" w:rsidP="0072154B">
      <w:r>
        <w:t>En caso de que sea necesario interrumpir el tratamiento con opioides, se realizará un estrecho control médico al paciente para evitar los efectos repentinos de la retirada, ya que los opioides requieren una reducción gradual de la dosis.</w:t>
      </w:r>
    </w:p>
    <w:p w14:paraId="3C346A86" w14:textId="77777777" w:rsidR="00F229C9" w:rsidRDefault="00F229C9" w:rsidP="0072154B"/>
    <w:p w14:paraId="41E7686B" w14:textId="77777777" w:rsidR="00F229C9" w:rsidRDefault="00F229C9" w:rsidP="0072154B">
      <w:r w:rsidRPr="00F229C9">
        <w:rPr>
          <w:noProof/>
          <w:lang w:val="es-ES_tradnl" w:eastAsia="es-ES_tradnl"/>
        </w:rPr>
        <w:lastRenderedPageBreak/>
        <w:drawing>
          <wp:inline distT="0" distB="0" distL="0" distR="0" wp14:anchorId="6E2A3196" wp14:editId="63BD34F6">
            <wp:extent cx="5400040" cy="3303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303690"/>
                    </a:xfrm>
                    <a:prstGeom prst="rect">
                      <a:avLst/>
                    </a:prstGeom>
                  </pic:spPr>
                </pic:pic>
              </a:graphicData>
            </a:graphic>
          </wp:inline>
        </w:drawing>
      </w:r>
    </w:p>
    <w:p w14:paraId="659DA1F1" w14:textId="77777777" w:rsidR="00F229C9" w:rsidRDefault="00F229C9" w:rsidP="0072154B"/>
    <w:p w14:paraId="6B5A88EB" w14:textId="77777777" w:rsidR="00F229C9" w:rsidRPr="00F229C9" w:rsidRDefault="00F229C9" w:rsidP="00F229C9">
      <w:pPr>
        <w:autoSpaceDE w:val="0"/>
        <w:autoSpaceDN w:val="0"/>
        <w:adjustRightInd w:val="0"/>
        <w:spacing w:after="0" w:line="240" w:lineRule="auto"/>
        <w:rPr>
          <w:rFonts w:cs="TwCenMT-Regular"/>
          <w:color w:val="775F55"/>
          <w:sz w:val="32"/>
          <w:szCs w:val="88"/>
        </w:rPr>
      </w:pPr>
      <w:r w:rsidRPr="00F229C9">
        <w:rPr>
          <w:rFonts w:cs="TwCenMT-Regular"/>
          <w:color w:val="775F55"/>
          <w:sz w:val="32"/>
          <w:szCs w:val="88"/>
        </w:rPr>
        <w:t>A tener en cuenta…</w:t>
      </w:r>
    </w:p>
    <w:p w14:paraId="0B438E91" w14:textId="77777777" w:rsidR="00F229C9" w:rsidRPr="00F229C9" w:rsidRDefault="00F229C9" w:rsidP="00F229C9">
      <w:pPr>
        <w:pStyle w:val="Prrafodelista"/>
        <w:numPr>
          <w:ilvl w:val="0"/>
          <w:numId w:val="1"/>
        </w:numPr>
        <w:autoSpaceDE w:val="0"/>
        <w:autoSpaceDN w:val="0"/>
        <w:adjustRightInd w:val="0"/>
        <w:spacing w:after="0" w:line="240" w:lineRule="auto"/>
        <w:rPr>
          <w:rFonts w:cs="TwCenMT-Regular"/>
          <w:color w:val="000000"/>
          <w:sz w:val="24"/>
          <w:szCs w:val="56"/>
        </w:rPr>
      </w:pPr>
      <w:r w:rsidRPr="00F229C9">
        <w:rPr>
          <w:rFonts w:cs="TwCenMT-Regular"/>
          <w:color w:val="000000"/>
          <w:sz w:val="24"/>
          <w:szCs w:val="56"/>
        </w:rPr>
        <w:t>Efectos adversos de los opioides (mareo, cefalea, náuseas, vómitos, reacciones locales,…)</w:t>
      </w:r>
    </w:p>
    <w:p w14:paraId="39C1196F" w14:textId="77777777" w:rsidR="00F229C9" w:rsidRPr="00F229C9" w:rsidRDefault="00F229C9" w:rsidP="00F229C9">
      <w:pPr>
        <w:pStyle w:val="Prrafodelista"/>
        <w:numPr>
          <w:ilvl w:val="0"/>
          <w:numId w:val="1"/>
        </w:numPr>
        <w:autoSpaceDE w:val="0"/>
        <w:autoSpaceDN w:val="0"/>
        <w:adjustRightInd w:val="0"/>
        <w:spacing w:after="0" w:line="240" w:lineRule="auto"/>
        <w:rPr>
          <w:rFonts w:cs="TwCenMT-Regular"/>
          <w:color w:val="000000"/>
          <w:sz w:val="24"/>
          <w:szCs w:val="56"/>
        </w:rPr>
      </w:pPr>
      <w:r w:rsidRPr="00F229C9">
        <w:rPr>
          <w:rFonts w:cs="TwCenMT-Regular"/>
          <w:color w:val="000000"/>
          <w:sz w:val="24"/>
          <w:szCs w:val="56"/>
        </w:rPr>
        <w:t xml:space="preserve">Precauciones uso en depresión respiratoria, insuficiencia hepática o renal, </w:t>
      </w:r>
      <w:proofErr w:type="spellStart"/>
      <w:r w:rsidRPr="00F229C9">
        <w:rPr>
          <w:rFonts w:cs="TwCenMT-Regular"/>
          <w:color w:val="000000"/>
          <w:sz w:val="24"/>
          <w:szCs w:val="56"/>
        </w:rPr>
        <w:t>bradiarritmias</w:t>
      </w:r>
      <w:proofErr w:type="spellEnd"/>
      <w:r w:rsidRPr="00F229C9">
        <w:rPr>
          <w:rFonts w:cs="TwCenMT-Regular"/>
          <w:color w:val="000000"/>
          <w:sz w:val="24"/>
          <w:szCs w:val="56"/>
        </w:rPr>
        <w:t>, hipovolemia e hipotensión,…</w:t>
      </w:r>
    </w:p>
    <w:p w14:paraId="3FF9791D" w14:textId="77777777" w:rsidR="00F229C9" w:rsidRPr="00F229C9" w:rsidRDefault="00F229C9" w:rsidP="00F229C9">
      <w:pPr>
        <w:pStyle w:val="Prrafodelista"/>
        <w:numPr>
          <w:ilvl w:val="0"/>
          <w:numId w:val="1"/>
        </w:numPr>
        <w:autoSpaceDE w:val="0"/>
        <w:autoSpaceDN w:val="0"/>
        <w:adjustRightInd w:val="0"/>
        <w:spacing w:after="0" w:line="240" w:lineRule="auto"/>
        <w:rPr>
          <w:rFonts w:cs="TwCenMT-Regular"/>
          <w:color w:val="000000"/>
          <w:sz w:val="24"/>
          <w:szCs w:val="56"/>
        </w:rPr>
      </w:pPr>
      <w:r w:rsidRPr="00F229C9">
        <w:rPr>
          <w:rFonts w:cs="TwCenMT-Regular"/>
          <w:color w:val="000000"/>
          <w:sz w:val="24"/>
          <w:szCs w:val="56"/>
        </w:rPr>
        <w:t xml:space="preserve">Interacciones farmacológicas (metabolismo por medio del </w:t>
      </w:r>
      <w:proofErr w:type="spellStart"/>
      <w:r w:rsidRPr="00F229C9">
        <w:rPr>
          <w:rFonts w:cs="TwCenMT-Regular"/>
          <w:color w:val="000000"/>
          <w:sz w:val="24"/>
          <w:szCs w:val="56"/>
        </w:rPr>
        <w:t>isoenzima</w:t>
      </w:r>
      <w:proofErr w:type="spellEnd"/>
      <w:r w:rsidRPr="00F229C9">
        <w:rPr>
          <w:rFonts w:cs="TwCenMT-Regular"/>
          <w:color w:val="000000"/>
          <w:sz w:val="24"/>
          <w:szCs w:val="56"/>
        </w:rPr>
        <w:t xml:space="preserve"> 3A4 del citocromo p450).</w:t>
      </w:r>
    </w:p>
    <w:p w14:paraId="60A81371" w14:textId="77777777" w:rsidR="00F229C9" w:rsidRPr="00F229C9" w:rsidRDefault="00F229C9" w:rsidP="0072154B">
      <w:pPr>
        <w:rPr>
          <w:sz w:val="14"/>
        </w:rPr>
      </w:pPr>
    </w:p>
    <w:p w14:paraId="2AFEC1F3" w14:textId="77777777" w:rsidR="00F229C9" w:rsidRDefault="00F229C9" w:rsidP="0072154B">
      <w:r w:rsidRPr="00F229C9">
        <w:rPr>
          <w:noProof/>
          <w:lang w:val="es-ES_tradnl" w:eastAsia="es-ES_tradnl"/>
        </w:rPr>
        <w:drawing>
          <wp:inline distT="0" distB="0" distL="0" distR="0" wp14:anchorId="6CA5A9BD" wp14:editId="2A6DB8D7">
            <wp:extent cx="5400040" cy="32444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244423"/>
                    </a:xfrm>
                    <a:prstGeom prst="rect">
                      <a:avLst/>
                    </a:prstGeom>
                  </pic:spPr>
                </pic:pic>
              </a:graphicData>
            </a:graphic>
          </wp:inline>
        </w:drawing>
      </w:r>
    </w:p>
    <w:p w14:paraId="0A635056" w14:textId="77777777" w:rsidR="00F229C9" w:rsidRDefault="00F229C9" w:rsidP="0072154B"/>
    <w:p w14:paraId="1F0DAA8B" w14:textId="77777777" w:rsidR="00F229C9" w:rsidRDefault="00F229C9" w:rsidP="0072154B">
      <w:r>
        <w:rPr>
          <w:noProof/>
          <w:lang w:val="es-ES_tradnl" w:eastAsia="es-ES_tradnl"/>
        </w:rPr>
        <w:drawing>
          <wp:inline distT="0" distB="0" distL="0" distR="0" wp14:anchorId="4E58C946" wp14:editId="3F2E72F9">
            <wp:extent cx="5398770" cy="380873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3808730"/>
                    </a:xfrm>
                    <a:prstGeom prst="rect">
                      <a:avLst/>
                    </a:prstGeom>
                    <a:noFill/>
                    <a:ln>
                      <a:noFill/>
                    </a:ln>
                  </pic:spPr>
                </pic:pic>
              </a:graphicData>
            </a:graphic>
          </wp:inline>
        </w:drawing>
      </w:r>
    </w:p>
    <w:p w14:paraId="6A544BEB" w14:textId="77777777" w:rsidR="00F229C9" w:rsidRDefault="00F229C9" w:rsidP="0072154B"/>
    <w:p w14:paraId="3EF163C4" w14:textId="77777777" w:rsidR="00F229C9" w:rsidRDefault="00F229C9" w:rsidP="0072154B">
      <w:r>
        <w:rPr>
          <w:noProof/>
          <w:lang w:val="es-ES_tradnl" w:eastAsia="es-ES_tradnl"/>
        </w:rPr>
        <w:drawing>
          <wp:inline distT="0" distB="0" distL="0" distR="0" wp14:anchorId="73FD8D8D" wp14:editId="612C44EB">
            <wp:extent cx="5398770" cy="42144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4214495"/>
                    </a:xfrm>
                    <a:prstGeom prst="rect">
                      <a:avLst/>
                    </a:prstGeom>
                    <a:noFill/>
                    <a:ln>
                      <a:noFill/>
                    </a:ln>
                  </pic:spPr>
                </pic:pic>
              </a:graphicData>
            </a:graphic>
          </wp:inline>
        </w:drawing>
      </w:r>
    </w:p>
    <w:p w14:paraId="4D8D3789" w14:textId="77777777" w:rsidR="00F229C9" w:rsidRDefault="00F229C9" w:rsidP="0072154B">
      <w:r>
        <w:rPr>
          <w:noProof/>
          <w:lang w:val="es-ES_tradnl" w:eastAsia="es-ES_tradnl"/>
        </w:rPr>
        <w:lastRenderedPageBreak/>
        <w:drawing>
          <wp:inline distT="0" distB="0" distL="0" distR="0" wp14:anchorId="7A5CDE62" wp14:editId="57CC4ED6">
            <wp:extent cx="5391150" cy="43649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4364990"/>
                    </a:xfrm>
                    <a:prstGeom prst="rect">
                      <a:avLst/>
                    </a:prstGeom>
                    <a:noFill/>
                    <a:ln>
                      <a:noFill/>
                    </a:ln>
                  </pic:spPr>
                </pic:pic>
              </a:graphicData>
            </a:graphic>
          </wp:inline>
        </w:drawing>
      </w:r>
    </w:p>
    <w:p w14:paraId="3D985ABC" w14:textId="77777777" w:rsidR="00F229C9" w:rsidRDefault="00F229C9" w:rsidP="0072154B"/>
    <w:p w14:paraId="18DDC194" w14:textId="77777777" w:rsidR="00F229C9" w:rsidRPr="00EC4159" w:rsidRDefault="00F229C9" w:rsidP="0072154B">
      <w:r>
        <w:rPr>
          <w:noProof/>
          <w:lang w:val="es-ES_tradnl" w:eastAsia="es-ES_tradnl"/>
        </w:rPr>
        <w:drawing>
          <wp:inline distT="0" distB="0" distL="0" distR="0" wp14:anchorId="53F93DAF" wp14:editId="1BC04987">
            <wp:extent cx="5400675" cy="39909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990975"/>
                    </a:xfrm>
                    <a:prstGeom prst="rect">
                      <a:avLst/>
                    </a:prstGeom>
                    <a:noFill/>
                    <a:ln>
                      <a:noFill/>
                    </a:ln>
                  </pic:spPr>
                </pic:pic>
              </a:graphicData>
            </a:graphic>
          </wp:inline>
        </w:drawing>
      </w:r>
    </w:p>
    <w:sectPr w:rsidR="00F229C9" w:rsidRPr="00EC41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Souvenir-Light">
    <w:altName w:val="Calibri"/>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TwCenMT-Regular">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6B603C"/>
    <w:multiLevelType w:val="hybridMultilevel"/>
    <w:tmpl w:val="32FE8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159"/>
    <w:rsid w:val="00145786"/>
    <w:rsid w:val="001B6F53"/>
    <w:rsid w:val="00496DD9"/>
    <w:rsid w:val="005601D4"/>
    <w:rsid w:val="0072154B"/>
    <w:rsid w:val="009F1372"/>
    <w:rsid w:val="00E47BC9"/>
    <w:rsid w:val="00EC4159"/>
    <w:rsid w:val="00F04801"/>
    <w:rsid w:val="00F229C9"/>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6A0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C41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4159"/>
    <w:rPr>
      <w:rFonts w:ascii="Tahoma" w:hAnsi="Tahoma" w:cs="Tahoma"/>
      <w:sz w:val="16"/>
      <w:szCs w:val="16"/>
    </w:rPr>
  </w:style>
  <w:style w:type="paragraph" w:customStyle="1" w:styleId="Default">
    <w:name w:val="Default"/>
    <w:rsid w:val="0072154B"/>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22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922</Words>
  <Characters>5076</Characters>
  <Application>Microsoft Macintosh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Echave</dc:creator>
  <cp:lastModifiedBy>Ignacio Ferro Picon</cp:lastModifiedBy>
  <cp:revision>3</cp:revision>
  <cp:lastPrinted>2017-01-17T07:28:00Z</cp:lastPrinted>
  <dcterms:created xsi:type="dcterms:W3CDTF">2017-01-17T07:27:00Z</dcterms:created>
  <dcterms:modified xsi:type="dcterms:W3CDTF">2017-01-17T07:28:00Z</dcterms:modified>
</cp:coreProperties>
</file>