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5648" w14:textId="7E9408C2" w:rsidR="00613C34" w:rsidRPr="00C10C82" w:rsidRDefault="00613C34" w:rsidP="00C10C82">
      <w:pPr>
        <w:pStyle w:val="Heading2"/>
        <w:jc w:val="cente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3C3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INTERGENERATIONAL MALNOURISHMENT</w:t>
      </w:r>
      <w:r w:rsidR="00C10C82">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90D70D" w14:textId="4B8F9BEA" w:rsidR="00613C34" w:rsidRPr="00613C34" w:rsidRDefault="00613C34" w:rsidP="00613C34">
      <w:pPr>
        <w:jc w:val="center"/>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3C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Women Eat </w:t>
      </w:r>
      <w:r w:rsidRPr="00613C34">
        <w:rPr>
          <w:bCs/>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w:t>
      </w:r>
      <w:r w:rsidRPr="00613C34">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13C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Women Pay </w:t>
      </w:r>
      <w:r w:rsidRPr="00613C34">
        <w:rPr>
          <w:bCs/>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w:t>
      </w:r>
      <w:r w:rsidRPr="00613C34">
        <w:rPr>
          <w:bCs/>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969E6A" w14:textId="0A8768B0" w:rsidR="00613C34" w:rsidRPr="00613C34" w:rsidRDefault="00613C34" w:rsidP="00613C34">
      <w:pPr>
        <w:rPr>
          <w:rFonts w:ascii="DM Sans" w:eastAsia="Times New Roman" w:hAnsi="DM Sans" w:cs="Times New Roman"/>
          <w:color w:val="4A4540"/>
          <w:kern w:val="0"/>
          <w:sz w:val="27"/>
          <w:szCs w:val="27"/>
          <w14:ligatures w14:val="none"/>
        </w:rPr>
      </w:pPr>
      <w:r w:rsidRPr="00613C34">
        <w:t>In households across South Asia</w:t>
      </w:r>
      <w:r>
        <w:t xml:space="preserve">, there is a </w:t>
      </w:r>
      <w:r w:rsidRPr="00613C34">
        <w:t>meal-time hierarchy so embedded it is rarely spoken aloud: men eat first, children eat next, women eat what remains. In food-insecure homes, what remains is rarely enough.</w:t>
      </w:r>
      <w:r w:rsidRPr="00613C34">
        <w:rPr>
          <w:rFonts w:ascii="DM Sans" w:eastAsia="Times New Roman" w:hAnsi="DM Sans" w:cs="Times New Roman"/>
          <w:color w:val="4A4540"/>
          <w:kern w:val="0"/>
          <w:sz w:val="27"/>
          <w:szCs w:val="27"/>
          <w14:ligatures w14:val="none"/>
        </w:rPr>
        <w:t xml:space="preserve"> </w:t>
      </w:r>
      <w:r w:rsidRPr="00613C34">
        <w:t>This is not simply a social injustice. It is a physiological one with cascading consequences. A malnourished girl becomes a malnourished adolescent. A malnourished adolescent becomes a pregnant woman whose body — already depleted of iron, calcium, folate — is asked to build a human being from its own reserves. Her child is born into the first of those 1,000 critical days already behind. The cycle does not begin at birth. It begins a generation earlier, on a plate that was never full enough.</w:t>
      </w:r>
    </w:p>
    <w:p w14:paraId="7B4807D2" w14:textId="150AB61E" w:rsidR="00613C34" w:rsidRDefault="00613C34" w:rsidP="00613C34">
      <w:r w:rsidRPr="00613C34">
        <w:rPr>
          <w:b/>
          <w:bCs/>
        </w:rPr>
        <w:t>Anemia</w:t>
      </w:r>
      <w:r w:rsidRPr="00613C34">
        <w:rPr>
          <w:b/>
          <w:bCs/>
        </w:rPr>
        <w:t xml:space="preserve"> affects nearly 40% of pregnant women globally.</w:t>
      </w:r>
      <w:r w:rsidRPr="00613C34">
        <w:t xml:space="preserve"> In India alone, over 50% of women of reproductive age are </w:t>
      </w:r>
      <w:r w:rsidRPr="00613C34">
        <w:t>anemic</w:t>
      </w:r>
      <w:r w:rsidRPr="00613C34">
        <w:t xml:space="preserve"> — a figure that has barely shifted in decades. Iron-deficiency </w:t>
      </w:r>
      <w:r w:rsidRPr="00613C34">
        <w:t>anemia</w:t>
      </w:r>
      <w:r w:rsidRPr="00613C34">
        <w:t xml:space="preserve"> during pregnancy raises the risk of maternal death, premature birth, and low birth weight. It contributes directly to the cognitive deficits described above. And it is, overwhelmingly, a disease of women who were taught that their hunger mattered less.</w:t>
      </w:r>
      <w:r>
        <w:br/>
      </w:r>
      <w:r>
        <w:br/>
      </w:r>
      <w:r w:rsidRPr="00613C34">
        <w:t>When a mother is malnourished, her child is more likely to be malnourished — and more likely to grow into a malnourished adult who passes the same deficit to the next generation. Nutritionists call this the intergenerational cycle of malnutrition. Breaking it requires reaching women not just during pregnancy, but throughout adolescence — before the damage is already done.</w:t>
      </w:r>
    </w:p>
    <w:p w14:paraId="3437BBEB" w14:textId="7328AA0B" w:rsidR="00613C34" w:rsidRPr="00613C34" w:rsidRDefault="00613C34" w:rsidP="00613C34">
      <w:r w:rsidRPr="00613C34">
        <w:t>The tragedy compounds further in older age. Women who have spent decades eating last — feeding children, deferring to husbands, skipping meals during economic hardship — arrive at old age with bone density depleted by calcium deficiency, immune systems eroded by protein gaps, and no buffer left for the illnesses that come with age. Hunger, for women, is not an episode. It is a biography.</w:t>
      </w:r>
    </w:p>
    <w:p w14:paraId="1436A5E4" w14:textId="1560EFCA" w:rsidR="00613C34" w:rsidRPr="00613C34" w:rsidRDefault="00613C34" w:rsidP="00613C34"/>
    <w:p w14:paraId="5422316F" w14:textId="77777777" w:rsidR="00613C34" w:rsidRPr="00613C34" w:rsidRDefault="00613C34" w:rsidP="00613C34"/>
    <w:sectPr w:rsidR="00613C34" w:rsidRPr="00613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34"/>
    <w:rsid w:val="00613C34"/>
    <w:rsid w:val="00900BAB"/>
    <w:rsid w:val="00C10C82"/>
    <w:rsid w:val="00E77A26"/>
    <w:rsid w:val="00FC1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88E49"/>
  <w15:chartTrackingRefBased/>
  <w15:docId w15:val="{567975ED-B433-428B-B7E3-0732BD05A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C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3C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C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C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C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3C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C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C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C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C34"/>
    <w:rPr>
      <w:rFonts w:eastAsiaTheme="majorEastAsia" w:cstheme="majorBidi"/>
      <w:color w:val="272727" w:themeColor="text1" w:themeTint="D8"/>
    </w:rPr>
  </w:style>
  <w:style w:type="paragraph" w:styleId="Title">
    <w:name w:val="Title"/>
    <w:basedOn w:val="Normal"/>
    <w:next w:val="Normal"/>
    <w:link w:val="TitleChar"/>
    <w:uiPriority w:val="10"/>
    <w:qFormat/>
    <w:rsid w:val="00613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34"/>
    <w:pPr>
      <w:spacing w:before="160"/>
      <w:jc w:val="center"/>
    </w:pPr>
    <w:rPr>
      <w:i/>
      <w:iCs/>
      <w:color w:val="404040" w:themeColor="text1" w:themeTint="BF"/>
    </w:rPr>
  </w:style>
  <w:style w:type="character" w:customStyle="1" w:styleId="QuoteChar">
    <w:name w:val="Quote Char"/>
    <w:basedOn w:val="DefaultParagraphFont"/>
    <w:link w:val="Quote"/>
    <w:uiPriority w:val="29"/>
    <w:rsid w:val="00613C34"/>
    <w:rPr>
      <w:i/>
      <w:iCs/>
      <w:color w:val="404040" w:themeColor="text1" w:themeTint="BF"/>
    </w:rPr>
  </w:style>
  <w:style w:type="paragraph" w:styleId="ListParagraph">
    <w:name w:val="List Paragraph"/>
    <w:basedOn w:val="Normal"/>
    <w:uiPriority w:val="34"/>
    <w:qFormat/>
    <w:rsid w:val="00613C34"/>
    <w:pPr>
      <w:ind w:left="720"/>
      <w:contextualSpacing/>
    </w:pPr>
  </w:style>
  <w:style w:type="character" w:styleId="IntenseEmphasis">
    <w:name w:val="Intense Emphasis"/>
    <w:basedOn w:val="DefaultParagraphFont"/>
    <w:uiPriority w:val="21"/>
    <w:qFormat/>
    <w:rsid w:val="00613C34"/>
    <w:rPr>
      <w:i/>
      <w:iCs/>
      <w:color w:val="2F5496" w:themeColor="accent1" w:themeShade="BF"/>
    </w:rPr>
  </w:style>
  <w:style w:type="paragraph" w:styleId="IntenseQuote">
    <w:name w:val="Intense Quote"/>
    <w:basedOn w:val="Normal"/>
    <w:next w:val="Normal"/>
    <w:link w:val="IntenseQuoteChar"/>
    <w:uiPriority w:val="30"/>
    <w:qFormat/>
    <w:rsid w:val="00613C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C34"/>
    <w:rPr>
      <w:i/>
      <w:iCs/>
      <w:color w:val="2F5496" w:themeColor="accent1" w:themeShade="BF"/>
    </w:rPr>
  </w:style>
  <w:style w:type="character" w:styleId="IntenseReference">
    <w:name w:val="Intense Reference"/>
    <w:basedOn w:val="DefaultParagraphFont"/>
    <w:uiPriority w:val="32"/>
    <w:qFormat/>
    <w:rsid w:val="00613C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1370</TotalTime>
  <Pages>1</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2026-04-16T07:00:00Z</dcterms:created>
  <dcterms:modified xsi:type="dcterms:W3CDTF">2026-04-17T06:17:00Z</dcterms:modified>
</cp:coreProperties>
</file>