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t xml:space="preserve"/>
      </w:r>
    </w:p>
    <w:p>
      <w:pPr>
        <w:spacing w:after="120" w:before="0"/>
        <w:jc w:val="center"/>
      </w:pPr>
      <w:r>
        <w:rPr>
          <w:rFonts w:ascii="Arial" w:cs="Arial" w:eastAsia="Arial" w:hAnsi="Arial"/>
          <w:b/>
          <w:bCs/>
          <w:color w:val="1F4E79"/>
          <w:sz w:val="52"/>
          <w:szCs w:val="52"/>
        </w:rPr>
        <w:t xml:space="preserve">Part B — Question 1</w:t>
      </w:r>
    </w:p>
    <w:p>
      <w:pPr>
        <w:spacing w:after="100" w:before="0"/>
        <w:jc w:val="center"/>
      </w:pPr>
      <w:r>
        <w:rPr>
          <w:rFonts w:ascii="Arial" w:cs="Arial" w:eastAsia="Arial" w:hAnsi="Arial"/>
          <w:b/>
          <w:bCs/>
          <w:color w:val="2E75B6"/>
          <w:sz w:val="28"/>
          <w:szCs w:val="28"/>
        </w:rPr>
        <w:t xml:space="preserve">Sourcing Methods for Federer Companies Across India</w:t>
      </w:r>
    </w:p>
    <w:p>
      <w:pPr>
        <w:spacing w:after="60" w:before="0"/>
        <w:jc w:val="center"/>
      </w:pPr>
      <w:r>
        <w:rPr>
          <w:rFonts w:ascii="Arial" w:cs="Arial" w:eastAsia="Arial" w:hAnsi="Arial"/>
          <w:color w:val="666666"/>
          <w:sz w:val="22"/>
          <w:szCs w:val="22"/>
        </w:rPr>
        <w:t xml:space="preserve">DeepThought Business Analytics Internship Assignment</w:t>
      </w:r>
    </w:p>
    <w:p>
      <w:pPr>
        <w:spacing w:after="0" w:before="0"/>
        <w:jc w:val="center"/>
      </w:pPr>
      <w:r>
        <w:rPr>
          <w:rFonts w:ascii="Arial" w:cs="Arial" w:eastAsia="Arial" w:hAnsi="Arial"/>
          <w:i/>
          <w:iCs/>
          <w:color w:val="888888"/>
          <w:sz w:val="20"/>
          <w:szCs w:val="20"/>
        </w:rPr>
        <w:t xml:space="preserve">How to find Federer-profile specialty manufacturers at scale</w:t>
      </w:r>
    </w:p>
    <w:p>
      <w:pPr>
        <w:pBdr>
          <w:bottom w:val="single" w:color="2E75B6" w:sz="6" w:space="4"/>
        </w:pBdr>
        <w:spacing w:after="0" w:before="600"/>
      </w:pPr>
      <w:r>
        <w:t xml:space="preserve"/>
      </w:r>
    </w:p>
    <w:p>
      <w:pPr>
        <w:spacing w:after="0" w:before="15840"/>
      </w:pPr>
      <w:r>
        <w:t xml:space="preserve"/>
      </w:r>
    </w:p>
    <w:p>
      <w:r>
        <w:t xml:space="preserve"/>
      </w:r>
    </w:p>
    <w:p>
      <w:pPr>
        <w:pStyle w:val="Heading1"/>
        <w:shd w:fill="1F4E79" w:val="clear"/>
        <w:spacing w:after="160" w:before="240"/>
        <w:ind w:left="200"/>
      </w:pPr>
      <w:r>
        <w:rPr>
          <w:rFonts w:ascii="Arial" w:cs="Arial" w:eastAsia="Arial" w:hAnsi="Arial"/>
          <w:b/>
          <w:bCs/>
          <w:color w:val="FFFFFF"/>
          <w:sz w:val="28"/>
          <w:szCs w:val="28"/>
        </w:rPr>
        <w:t xml:space="preserve">Question 1: Sourcing Methods for Federer Companies</w:t>
      </w:r>
    </w:p>
    <w:p>
      <w:pPr>
        <w:spacing w:after="0" w:before="80"/>
      </w:pPr>
      <w:r>
        <w:t xml:space="preserve"/>
      </w:r>
    </w:p>
    <w:p>
      <w:pPr>
        <w:spacing w:after="80" w:before="60"/>
        <w:jc w:val="both"/>
      </w:pPr>
      <w:r>
        <w:rPr>
          <w:rFonts w:ascii="Arial" w:cs="Arial" w:eastAsia="Arial" w:hAnsi="Arial"/>
          <w:sz w:val="20"/>
          <w:szCs w:val="20"/>
        </w:rPr>
        <w:t xml:space="preserve">The core sourcing problem is a signal-to-noise problem. India has millions of registered manufacturers. The Federer profile — specialty product, technical founder, growth mode, Rs.50Cr–Rs.500Cr — is maybe 2–5% of that universe. The question is how to get to the right 2–5% without manually sifting through everything else.</w:t>
      </w:r>
    </w:p>
    <w:p>
      <w:pPr>
        <w:spacing w:after="80" w:before="60"/>
        <w:jc w:val="both"/>
      </w:pPr>
      <w:r>
        <w:rPr>
          <w:rFonts w:ascii="Arial" w:cs="Arial" w:eastAsia="Arial" w:hAnsi="Arial"/>
          <w:sz w:val="20"/>
          <w:szCs w:val="20"/>
        </w:rPr>
        <w:t xml:space="preserve">Below are 8 sourcing methods, ordered from highest to lowest signal quality for this specific ICP. Each includes a specific explanation of why it works for Federer companies, not just generically.</w:t>
      </w:r>
    </w:p>
    <w:p>
      <w:pPr>
        <w:spacing w:after="0" w:before="100"/>
      </w:pPr>
      <w:r>
        <w:t xml:space="preserve"/>
      </w:r>
    </w:p>
    <w:p>
      <w:pPr>
        <w:spacing w:after="80" w:before="200"/>
      </w:pPr>
      <w:r>
        <w:rPr>
          <w:rFonts w:ascii="Arial" w:cs="Arial" w:eastAsia="Arial" w:hAnsi="Arial"/>
          <w:b/>
          <w:bCs/>
          <w:color w:val="2E75B6"/>
          <w:sz w:val="22"/>
          <w:szCs w:val="22"/>
        </w:rPr>
        <w:t xml:space="preserve">1. DSIR Recognition List</w:t>
      </w:r>
    </w:p>
    <w:p>
      <w:pPr>
        <w:spacing w:after="60" w:before="60"/>
      </w:pPr>
      <w:r>
        <w:rPr>
          <w:rFonts w:ascii="Arial" w:cs="Arial" w:eastAsia="Arial" w:hAnsi="Arial"/>
          <w:b/>
          <w:bCs/>
          <w:sz w:val="20"/>
          <w:szCs w:val="20"/>
        </w:rPr>
        <w:t xml:space="preserve">What it is:  </w:t>
      </w:r>
      <w:r>
        <w:rPr>
          <w:rFonts w:ascii="Arial" w:cs="Arial" w:eastAsia="Arial" w:hAnsi="Arial"/>
          <w:sz w:val="20"/>
          <w:szCs w:val="20"/>
        </w:rPr>
        <w:t xml:space="preserve">The Department of Scientific and Industrial Research maintains a public list of companies with government-recognized in-house R&amp;D units. Updated periodically. Downloadable from dsir.gov.in as a PDF or Excel.</w:t>
      </w:r>
    </w:p>
    <w:p>
      <w:pPr>
        <w:spacing w:after="60" w:before="60"/>
      </w:pPr>
      <w:r>
        <w:rPr>
          <w:rFonts w:ascii="Arial" w:cs="Arial" w:eastAsia="Arial" w:hAnsi="Arial"/>
          <w:b/>
          <w:bCs/>
          <w:sz w:val="20"/>
          <w:szCs w:val="20"/>
        </w:rPr>
        <w:t xml:space="preserve">Why it works for this ICP:  </w:t>
      </w:r>
      <w:r>
        <w:rPr>
          <w:rFonts w:ascii="Arial" w:cs="Arial" w:eastAsia="Arial" w:hAnsi="Arial"/>
          <w:sz w:val="20"/>
          <w:szCs w:val="20"/>
        </w:rPr>
        <w:t xml:space="preserve">DSIR recognition is not something a trading company or distributor has. You need a functioning R&amp;D facility, qualified scientists, and a formal application — meaning the company has already self-selected for technical seriousness. It is a direct proxy for C3 (differentiation) and C4 (technical decision-maker). Of all sources on this list, DSIR has the highest signal-to-noise ratio for the Federer profile.</w:t>
      </w:r>
    </w:p>
    <w:p>
      <w:pPr>
        <w:spacing w:after="60" w:before="60"/>
      </w:pPr>
      <w:r>
        <w:rPr>
          <w:rFonts w:ascii="Arial" w:cs="Arial" w:eastAsia="Arial" w:hAnsi="Arial"/>
          <w:b/>
          <w:bCs/>
          <w:sz w:val="20"/>
          <w:szCs w:val="20"/>
        </w:rPr>
        <w:t xml:space="preserve">How to use it:  </w:t>
      </w:r>
      <w:r>
        <w:rPr>
          <w:rFonts w:ascii="Arial" w:cs="Arial" w:eastAsia="Arial" w:hAnsi="Arial"/>
          <w:sz w:val="20"/>
          <w:szCs w:val="20"/>
        </w:rPr>
        <w:t xml:space="preserve">Download the full list (~3,000+ entries), filter by city and NIC code (manufacturing sub-segments), cross-reference against the ICP segment list. Then prioritize for scoring.</w:t>
      </w:r>
    </w:p>
    <w:p>
      <w:pPr>
        <w:spacing w:after="60" w:before="60"/>
      </w:pPr>
      <w:r>
        <w:rPr>
          <w:rFonts w:ascii="Arial" w:cs="Arial" w:eastAsia="Arial" w:hAnsi="Arial"/>
          <w:b/>
          <w:bCs/>
          <w:sz w:val="20"/>
          <w:szCs w:val="20"/>
        </w:rPr>
        <w:t xml:space="preserve">Limitation:  </w:t>
      </w:r>
      <w:r>
        <w:rPr>
          <w:rFonts w:ascii="Arial" w:cs="Arial" w:eastAsia="Arial" w:hAnsi="Arial"/>
          <w:sz w:val="20"/>
          <w:szCs w:val="20"/>
        </w:rPr>
        <w:t xml:space="preserve">Skews toward older, established companies. Newer specialty manufacturers — particularly in deep biotech and medtech — often have not applied for DSIR recognition yet. Also misses defence electronics companies, many of which operate under DRDO relationships rather than DSIR.</w:t>
      </w:r>
    </w:p>
    <w:p>
      <w:pPr>
        <w:spacing w:after="0" w:before="100"/>
      </w:pPr>
      <w:r>
        <w:t xml:space="preserve"/>
      </w:r>
    </w:p>
    <w:p>
      <w:pPr>
        <w:spacing w:after="80" w:before="200"/>
      </w:pPr>
      <w:r>
        <w:rPr>
          <w:rFonts w:ascii="Arial" w:cs="Arial" w:eastAsia="Arial" w:hAnsi="Arial"/>
          <w:b/>
          <w:bCs/>
          <w:color w:val="2E75B6"/>
          <w:sz w:val="22"/>
          <w:szCs w:val="22"/>
        </w:rPr>
        <w:t xml:space="preserve">2. USFDA / WHO-GMP / AS9100 Facility Databases</w:t>
      </w:r>
    </w:p>
    <w:p>
      <w:pPr>
        <w:spacing w:after="60" w:before="60"/>
      </w:pPr>
      <w:r>
        <w:rPr>
          <w:rFonts w:ascii="Arial" w:cs="Arial" w:eastAsia="Arial" w:hAnsi="Arial"/>
          <w:b/>
          <w:bCs/>
          <w:sz w:val="20"/>
          <w:szCs w:val="20"/>
        </w:rPr>
        <w:t xml:space="preserve">What it is:  </w:t>
      </w:r>
      <w:r>
        <w:rPr>
          <w:rFonts w:ascii="Arial" w:cs="Arial" w:eastAsia="Arial" w:hAnsi="Arial"/>
          <w:sz w:val="20"/>
          <w:szCs w:val="20"/>
        </w:rPr>
        <w:t xml:space="preserve">Regulatory bodies publish approved facility lists. USFDA has a searchable database at fda.gov. WHO prequalification is at extranet.who.int. AS9100 certification lists are available through SAI Global and similar registrars.</w:t>
      </w:r>
    </w:p>
    <w:p>
      <w:pPr>
        <w:spacing w:after="60" w:before="60"/>
      </w:pPr>
      <w:r>
        <w:rPr>
          <w:rFonts w:ascii="Arial" w:cs="Arial" w:eastAsia="Arial" w:hAnsi="Arial"/>
          <w:b/>
          <w:bCs/>
          <w:sz w:val="20"/>
          <w:szCs w:val="20"/>
        </w:rPr>
        <w:t xml:space="preserve">Why it works for this ICP:  </w:t>
      </w:r>
      <w:r>
        <w:rPr>
          <w:rFonts w:ascii="Arial" w:cs="Arial" w:eastAsia="Arial" w:hAnsi="Arial"/>
          <w:sz w:val="20"/>
          <w:szCs w:val="20"/>
        </w:rPr>
        <w:t xml:space="preserve">Getting USFDA approval or WHO prequalification requires a real manufacturing facility, real quality systems, and real investment. A commodity manufacturer does not pursue this — the economics do not work unless you have a differentiated product going to regulated markets. These lists are pre-filtered for C1 (manufacturer) and C3 (differentiation). For pharma, biotech, and medical device segments, this is the most reliable sourcing method.</w:t>
      </w:r>
    </w:p>
    <w:p>
      <w:pPr>
        <w:spacing w:after="60" w:before="60"/>
      </w:pPr>
      <w:r>
        <w:rPr>
          <w:rFonts w:ascii="Arial" w:cs="Arial" w:eastAsia="Arial" w:hAnsi="Arial"/>
          <w:b/>
          <w:bCs/>
          <w:sz w:val="20"/>
          <w:szCs w:val="20"/>
        </w:rPr>
        <w:t xml:space="preserve">How to use it:  </w:t>
      </w:r>
      <w:r>
        <w:rPr>
          <w:rFonts w:ascii="Arial" w:cs="Arial" w:eastAsia="Arial" w:hAnsi="Arial"/>
          <w:sz w:val="20"/>
          <w:szCs w:val="20"/>
        </w:rPr>
        <w:t xml:space="preserve">Filter USFDA list to India by product category. Exclude large companies by cross-referencing revenue. Same process for WHO-GMP. AS9100 registrar databases work for aerospace and defence segments.</w:t>
      </w:r>
    </w:p>
    <w:p>
      <w:pPr>
        <w:spacing w:after="60" w:before="60"/>
      </w:pPr>
      <w:r>
        <w:rPr>
          <w:rFonts w:ascii="Arial" w:cs="Arial" w:eastAsia="Arial" w:hAnsi="Arial"/>
          <w:b/>
          <w:bCs/>
          <w:sz w:val="20"/>
          <w:szCs w:val="20"/>
        </w:rPr>
        <w:t xml:space="preserve">Limitation:  </w:t>
      </w:r>
      <w:r>
        <w:rPr>
          <w:rFonts w:ascii="Arial" w:cs="Arial" w:eastAsia="Arial" w:hAnsi="Arial"/>
          <w:sz w:val="20"/>
          <w:szCs w:val="20"/>
        </w:rPr>
        <w:t xml:space="preserve">Heavy pharma and chemical bias. Poor coverage of defence electronics, sensors, and agri-inputs. Does not distinguish large from small manufacturers at first pass — Cipla and a small specialty API manufacturer both appear in USFDA lists.</w:t>
      </w:r>
    </w:p>
    <w:p>
      <w:pPr>
        <w:spacing w:after="0" w:before="100"/>
      </w:pPr>
      <w:r>
        <w:t xml:space="preserve"/>
      </w:r>
    </w:p>
    <w:p>
      <w:pPr>
        <w:spacing w:after="80" w:before="200"/>
      </w:pPr>
      <w:r>
        <w:rPr>
          <w:rFonts w:ascii="Arial" w:cs="Arial" w:eastAsia="Arial" w:hAnsi="Arial"/>
          <w:b/>
          <w:bCs/>
          <w:color w:val="2E75B6"/>
          <w:sz w:val="22"/>
          <w:szCs w:val="22"/>
        </w:rPr>
        <w:t xml:space="preserve">3. Trade Expo Exhibitor Directories</w:t>
      </w:r>
    </w:p>
    <w:p>
      <w:pPr>
        <w:spacing w:after="60" w:before="60"/>
      </w:pPr>
      <w:r>
        <w:rPr>
          <w:rFonts w:ascii="Arial" w:cs="Arial" w:eastAsia="Arial" w:hAnsi="Arial"/>
          <w:b/>
          <w:bCs/>
          <w:sz w:val="20"/>
          <w:szCs w:val="20"/>
        </w:rPr>
        <w:t xml:space="preserve">What it is:  </w:t>
      </w:r>
      <w:r>
        <w:rPr>
          <w:rFonts w:ascii="Arial" w:cs="Arial" w:eastAsia="Arial" w:hAnsi="Arial"/>
          <w:sz w:val="20"/>
          <w:szCs w:val="20"/>
        </w:rPr>
        <w:t xml:space="preserve">Major industry expos publish exhibitor lists online. Relevant ones for this ICP: BioAsia (Hyderabad, biotech), CPHI India (pharma/chem), Aero India (Bengaluru, defence/aerospace), ELECRAMA (electronics), IMTEX (machine tools/precision engineering), Agri Intex (agri-inputs), Medica India (medtech), Analytica Anacon (diagnostics).</w:t>
      </w:r>
    </w:p>
    <w:p>
      <w:pPr>
        <w:spacing w:after="60" w:before="60"/>
      </w:pPr>
      <w:r>
        <w:rPr>
          <w:rFonts w:ascii="Arial" w:cs="Arial" w:eastAsia="Arial" w:hAnsi="Arial"/>
          <w:b/>
          <w:bCs/>
          <w:sz w:val="20"/>
          <w:szCs w:val="20"/>
        </w:rPr>
        <w:t xml:space="preserve">Why it works for this ICP:  </w:t>
      </w:r>
      <w:r>
        <w:rPr>
          <w:rFonts w:ascii="Arial" w:cs="Arial" w:eastAsia="Arial" w:hAnsi="Arial"/>
          <w:sz w:val="20"/>
          <w:szCs w:val="20"/>
        </w:rPr>
        <w:t xml:space="preserve">A company paying Rs.2–10 lakh for an expo booth is, by definition, in growth mode — that is a direct C6 signal. And exhibitor categories map almost perfectly to our segment list. These lists are also self-curated: expo organizers already filter out pure traders.</w:t>
      </w:r>
    </w:p>
    <w:p>
      <w:pPr>
        <w:spacing w:after="60" w:before="60"/>
      </w:pPr>
      <w:r>
        <w:rPr>
          <w:rFonts w:ascii="Arial" w:cs="Arial" w:eastAsia="Arial" w:hAnsi="Arial"/>
          <w:b/>
          <w:bCs/>
          <w:sz w:val="20"/>
          <w:szCs w:val="20"/>
        </w:rPr>
        <w:t xml:space="preserve">How to use it:  </w:t>
      </w:r>
      <w:r>
        <w:rPr>
          <w:rFonts w:ascii="Arial" w:cs="Arial" w:eastAsia="Arial" w:hAnsi="Arial"/>
          <w:sz w:val="20"/>
          <w:szCs w:val="20"/>
        </w:rPr>
        <w:t xml:space="preserve">Scrape exhibitor directories from target expos using Python + BeautifulSoup or Playwright. Most are public PDFs or HTML pages. Pull name, booth category, website, city. Deduplicate across expos. Priority: biotech and specialty chem expos, then defence and medtech.</w:t>
      </w:r>
    </w:p>
    <w:p>
      <w:pPr>
        <w:spacing w:after="60" w:before="60"/>
      </w:pPr>
      <w:r>
        <w:rPr>
          <w:rFonts w:ascii="Arial" w:cs="Arial" w:eastAsia="Arial" w:hAnsi="Arial"/>
          <w:b/>
          <w:bCs/>
          <w:sz w:val="20"/>
          <w:szCs w:val="20"/>
        </w:rPr>
        <w:t xml:space="preserve">Limitation:  </w:t>
      </w:r>
      <w:r>
        <w:rPr>
          <w:rFonts w:ascii="Arial" w:cs="Arial" w:eastAsia="Arial" w:hAnsi="Arial"/>
          <w:sz w:val="20"/>
          <w:szCs w:val="20"/>
        </w:rPr>
        <w:t xml:space="preserve">Biased toward companies with marketing budgets. Misses genuinely excellent small manufacturers who do not attend expos because they are capacity-constrained. Also some expos have stale exhibitor lists online.</w:t>
      </w:r>
    </w:p>
    <w:p>
      <w:pPr>
        <w:spacing w:after="0" w:before="100"/>
      </w:pPr>
      <w:r>
        <w:t xml:space="preserve"/>
      </w:r>
    </w:p>
    <w:p>
      <w:pPr>
        <w:spacing w:after="80" w:before="200"/>
      </w:pPr>
      <w:r>
        <w:rPr>
          <w:rFonts w:ascii="Arial" w:cs="Arial" w:eastAsia="Arial" w:hAnsi="Arial"/>
          <w:b/>
          <w:bCs/>
          <w:color w:val="2E75B6"/>
          <w:sz w:val="22"/>
          <w:szCs w:val="22"/>
        </w:rPr>
        <w:t xml:space="preserve">4. State Industrial Development Corporation Directories</w:t>
      </w:r>
    </w:p>
    <w:p>
      <w:pPr>
        <w:spacing w:after="60" w:before="60"/>
      </w:pPr>
      <w:r>
        <w:rPr>
          <w:rFonts w:ascii="Arial" w:cs="Arial" w:eastAsia="Arial" w:hAnsi="Arial"/>
          <w:b/>
          <w:bCs/>
          <w:sz w:val="20"/>
          <w:szCs w:val="20"/>
        </w:rPr>
        <w:t xml:space="preserve">What it is:  </w:t>
      </w:r>
      <w:r>
        <w:rPr>
          <w:rFonts w:ascii="Arial" w:cs="Arial" w:eastAsia="Arial" w:hAnsi="Arial"/>
          <w:sz w:val="20"/>
          <w:szCs w:val="20"/>
        </w:rPr>
        <w:t xml:space="preserve">Each state has an industrial development body maintaining directories of companies in their industrial estates: TSIIC (Telangana), MIDC (Maharashtra), GIDC (Gujarat), SIPCOT (Tamil Nadu), KIADB (Karnataka).</w:t>
      </w:r>
    </w:p>
    <w:p>
      <w:pPr>
        <w:spacing w:after="60" w:before="60"/>
      </w:pPr>
      <w:r>
        <w:rPr>
          <w:rFonts w:ascii="Arial" w:cs="Arial" w:eastAsia="Arial" w:hAnsi="Arial"/>
          <w:b/>
          <w:bCs/>
          <w:sz w:val="20"/>
          <w:szCs w:val="20"/>
        </w:rPr>
        <w:t xml:space="preserve">Why it works for this ICP:  </w:t>
      </w:r>
      <w:r>
        <w:rPr>
          <w:rFonts w:ascii="Arial" w:cs="Arial" w:eastAsia="Arial" w:hAnsi="Arial"/>
          <w:sz w:val="20"/>
          <w:szCs w:val="20"/>
        </w:rPr>
        <w:t xml:space="preserve">Every serious manufacturer in India operates out of an industrial estate or SEZ. These directories are essentially a company census by geography and sector. They capture companies too small or private to appear in databases, expos, or regulatory lists.</w:t>
      </w:r>
    </w:p>
    <w:p>
      <w:pPr>
        <w:spacing w:after="60" w:before="60"/>
      </w:pPr>
      <w:r>
        <w:rPr>
          <w:rFonts w:ascii="Arial" w:cs="Arial" w:eastAsia="Arial" w:hAnsi="Arial"/>
          <w:b/>
          <w:bCs/>
          <w:sz w:val="20"/>
          <w:szCs w:val="20"/>
        </w:rPr>
        <w:t xml:space="preserve">How to use it:  </w:t>
      </w:r>
      <w:r>
        <w:rPr>
          <w:rFonts w:ascii="Arial" w:cs="Arial" w:eastAsia="Arial" w:hAnsi="Arial"/>
          <w:sz w:val="20"/>
          <w:szCs w:val="20"/>
        </w:rPr>
        <w:t xml:space="preserve">Download or scrape state directories. Filter by industrial estate type — pharma zones, electronics clusters, engineering parks — and cross-reference with segment requirements.</w:t>
      </w:r>
    </w:p>
    <w:p>
      <w:pPr>
        <w:spacing w:after="60" w:before="60"/>
      </w:pPr>
      <w:r>
        <w:rPr>
          <w:rFonts w:ascii="Arial" w:cs="Arial" w:eastAsia="Arial" w:hAnsi="Arial"/>
          <w:b/>
          <w:bCs/>
          <w:sz w:val="20"/>
          <w:szCs w:val="20"/>
        </w:rPr>
        <w:t xml:space="preserve">Limitation:  </w:t>
      </w:r>
      <w:r>
        <w:rPr>
          <w:rFonts w:ascii="Arial" w:cs="Arial" w:eastAsia="Arial" w:hAnsi="Arial"/>
          <w:sz w:val="20"/>
          <w:szCs w:val="20"/>
        </w:rPr>
        <w:t xml:space="preserve">Very noisy. These directories include everything — tiny fabrication shops, traders operating out of godowns, dormant companies. Pre-filtering is time-intensive. Data quality also varies significantly by state.</w:t>
      </w:r>
    </w:p>
    <w:p>
      <w:pPr>
        <w:spacing w:after="0" w:before="100"/>
      </w:pPr>
      <w:r>
        <w:t xml:space="preserve"/>
      </w:r>
    </w:p>
    <w:p>
      <w:pPr>
        <w:spacing w:after="80" w:before="200"/>
      </w:pPr>
      <w:r>
        <w:rPr>
          <w:rFonts w:ascii="Arial" w:cs="Arial" w:eastAsia="Arial" w:hAnsi="Arial"/>
          <w:b/>
          <w:bCs/>
          <w:color w:val="2E75B6"/>
          <w:sz w:val="22"/>
          <w:szCs w:val="22"/>
        </w:rPr>
        <w:t xml:space="preserve">5. LinkedIn Sales Navigator — Inverted Search</w:t>
      </w:r>
    </w:p>
    <w:p>
      <w:pPr>
        <w:spacing w:after="60" w:before="60"/>
      </w:pPr>
      <w:r>
        <w:rPr>
          <w:rFonts w:ascii="Arial" w:cs="Arial" w:eastAsia="Arial" w:hAnsi="Arial"/>
          <w:b/>
          <w:bCs/>
          <w:sz w:val="20"/>
          <w:szCs w:val="20"/>
        </w:rPr>
        <w:t xml:space="preserve">What it is:  </w:t>
      </w:r>
      <w:r>
        <w:rPr>
          <w:rFonts w:ascii="Arial" w:cs="Arial" w:eastAsia="Arial" w:hAnsi="Arial"/>
          <w:sz w:val="20"/>
          <w:szCs w:val="20"/>
        </w:rPr>
        <w:t xml:space="preserve">Rather than finding companies and checking if the founder is technical, invert the search: find technical founders first, then check if their company is a manufacturer.</w:t>
      </w:r>
    </w:p>
    <w:p>
      <w:pPr>
        <w:spacing w:after="60" w:before="60"/>
      </w:pPr>
      <w:r>
        <w:rPr>
          <w:rFonts w:ascii="Arial" w:cs="Arial" w:eastAsia="Arial" w:hAnsi="Arial"/>
          <w:b/>
          <w:bCs/>
          <w:sz w:val="20"/>
          <w:szCs w:val="20"/>
        </w:rPr>
        <w:t xml:space="preserve">Why it works for this ICP:  </w:t>
      </w:r>
      <w:r>
        <w:rPr>
          <w:rFonts w:ascii="Arial" w:cs="Arial" w:eastAsia="Arial" w:hAnsi="Arial"/>
          <w:sz w:val="20"/>
          <w:szCs w:val="20"/>
        </w:rPr>
        <w:t xml:space="preserve">The Federer profile is partly defined by a technical decision-maker. Searching for founders/MDs with PhD in their bio, or education at IIT/IISc/BITS, in manufacturing industries across target cities directly filters for C4. The company then needs C1–C3 and C6 verified — but the hardest filter is already passed.</w:t>
      </w:r>
    </w:p>
    <w:p>
      <w:pPr>
        <w:spacing w:after="60" w:before="60"/>
      </w:pPr>
      <w:r>
        <w:rPr>
          <w:rFonts w:ascii="Arial" w:cs="Arial" w:eastAsia="Arial" w:hAnsi="Arial"/>
          <w:b/>
          <w:bCs/>
          <w:sz w:val="20"/>
          <w:szCs w:val="20"/>
        </w:rPr>
        <w:t xml:space="preserve">How to use it:  </w:t>
      </w:r>
      <w:r>
        <w:rPr>
          <w:rFonts w:ascii="Arial" w:cs="Arial" w:eastAsia="Arial" w:hAnsi="Arial"/>
          <w:sz w:val="20"/>
          <w:szCs w:val="20"/>
        </w:rPr>
        <w:t xml:space="preserve">Sales Navigator filters: Geography (target manufacturing cities), Industry (manufacturing sub-sectors), Seniority (founder, owner, CXO), Keywords (PhD OR IIT OR ex-ISRO OR DRDO). Export profiles, extract company names, build research list.</w:t>
      </w:r>
    </w:p>
    <w:p>
      <w:pPr>
        <w:spacing w:after="60" w:before="60"/>
      </w:pPr>
      <w:r>
        <w:rPr>
          <w:rFonts w:ascii="Arial" w:cs="Arial" w:eastAsia="Arial" w:hAnsi="Arial"/>
          <w:b/>
          <w:bCs/>
          <w:sz w:val="20"/>
          <w:szCs w:val="20"/>
        </w:rPr>
        <w:t xml:space="preserve">Limitation:  </w:t>
      </w:r>
      <w:r>
        <w:rPr>
          <w:rFonts w:ascii="Arial" w:cs="Arial" w:eastAsia="Arial" w:hAnsi="Arial"/>
          <w:sz w:val="20"/>
          <w:szCs w:val="20"/>
        </w:rPr>
        <w:t xml:space="preserve">LinkedIn data for Indian MSMEs is patchy. Many technical founders do not maintain active profiles. LinkedIn also does not reliably distinguish product manufacturers from service companies in Indian manufacturing contexts.</w:t>
      </w:r>
    </w:p>
    <w:p>
      <w:pPr>
        <w:spacing w:after="0" w:before="100"/>
      </w:pPr>
      <w:r>
        <w:t xml:space="preserve"/>
      </w:r>
    </w:p>
    <w:p>
      <w:pPr>
        <w:spacing w:after="80" w:before="200"/>
      </w:pPr>
      <w:r>
        <w:rPr>
          <w:rFonts w:ascii="Arial" w:cs="Arial" w:eastAsia="Arial" w:hAnsi="Arial"/>
          <w:b/>
          <w:bCs/>
          <w:color w:val="2E75B6"/>
          <w:sz w:val="22"/>
          <w:szCs w:val="22"/>
        </w:rPr>
        <w:t xml:space="preserve">6. BSE SME / NSE Emerge Platform</w:t>
      </w:r>
    </w:p>
    <w:p>
      <w:pPr>
        <w:spacing w:after="60" w:before="60"/>
      </w:pPr>
      <w:r>
        <w:rPr>
          <w:rFonts w:ascii="Arial" w:cs="Arial" w:eastAsia="Arial" w:hAnsi="Arial"/>
          <w:b/>
          <w:bCs/>
          <w:sz w:val="20"/>
          <w:szCs w:val="20"/>
        </w:rPr>
        <w:t xml:space="preserve">What it is:  </w:t>
      </w:r>
      <w:r>
        <w:rPr>
          <w:rFonts w:ascii="Arial" w:cs="Arial" w:eastAsia="Arial" w:hAnsi="Arial"/>
          <w:sz w:val="20"/>
          <w:szCs w:val="20"/>
        </w:rPr>
        <w:t xml:space="preserve">Both exchanges have platforms for small-cap listed companies with public annual reports and sector-filtered company lists.</w:t>
      </w:r>
    </w:p>
    <w:p>
      <w:pPr>
        <w:spacing w:after="60" w:before="60"/>
      </w:pPr>
      <w:r>
        <w:rPr>
          <w:rFonts w:ascii="Arial" w:cs="Arial" w:eastAsia="Arial" w:hAnsi="Arial"/>
          <w:b/>
          <w:bCs/>
          <w:sz w:val="20"/>
          <w:szCs w:val="20"/>
        </w:rPr>
        <w:t xml:space="preserve">Why it works for this ICP:  </w:t>
      </w:r>
      <w:r>
        <w:rPr>
          <w:rFonts w:ascii="Arial" w:cs="Arial" w:eastAsia="Arial" w:hAnsi="Arial"/>
          <w:sz w:val="20"/>
          <w:szCs w:val="20"/>
        </w:rPr>
        <w:t xml:space="preserve">Listed companies have public financials — revenue band is immediately available, which is critical for checking the Rs.500Cr ceiling and the Rs.50Cr floor. Annual reports contain leadership bios, facility descriptions, and ownership structure. Scoring is significantly faster for listed companies.</w:t>
      </w:r>
    </w:p>
    <w:p>
      <w:pPr>
        <w:spacing w:after="60" w:before="60"/>
      </w:pPr>
      <w:r>
        <w:rPr>
          <w:rFonts w:ascii="Arial" w:cs="Arial" w:eastAsia="Arial" w:hAnsi="Arial"/>
          <w:b/>
          <w:bCs/>
          <w:sz w:val="20"/>
          <w:szCs w:val="20"/>
        </w:rPr>
        <w:t xml:space="preserve">How to use it:  </w:t>
      </w:r>
      <w:r>
        <w:rPr>
          <w:rFonts w:ascii="Arial" w:cs="Arial" w:eastAsia="Arial" w:hAnsi="Arial"/>
          <w:sz w:val="20"/>
          <w:szCs w:val="20"/>
        </w:rPr>
        <w:t xml:space="preserve">Download sector-wise company lists from BSE/NSE. Filter by sector: chemicals, pharma (specialty only), engineering, electronics, biotech, medical devices. Priority-score these first because they are fastest to research.</w:t>
      </w:r>
    </w:p>
    <w:p>
      <w:pPr>
        <w:spacing w:after="60" w:before="60"/>
      </w:pPr>
      <w:r>
        <w:rPr>
          <w:rFonts w:ascii="Arial" w:cs="Arial" w:eastAsia="Arial" w:hAnsi="Arial"/>
          <w:b/>
          <w:bCs/>
          <w:sz w:val="20"/>
          <w:szCs w:val="20"/>
        </w:rPr>
        <w:t xml:space="preserve">Limitation:  </w:t>
      </w:r>
      <w:r>
        <w:rPr>
          <w:rFonts w:ascii="Arial" w:cs="Arial" w:eastAsia="Arial" w:hAnsi="Arial"/>
          <w:sz w:val="20"/>
          <w:szCs w:val="20"/>
        </w:rPr>
        <w:t xml:space="preserve">Captures only listed companies. The majority of the Federer ICP — founder-driven private MSMEs — are unlisted. High-quality source but limited in volume.</w:t>
      </w:r>
    </w:p>
    <w:p>
      <w:pPr>
        <w:spacing w:after="0" w:before="100"/>
      </w:pPr>
      <w:r>
        <w:t xml:space="preserve"/>
      </w:r>
    </w:p>
    <w:p>
      <w:pPr>
        <w:spacing w:after="80" w:before="200"/>
      </w:pPr>
      <w:r>
        <w:rPr>
          <w:rFonts w:ascii="Arial" w:cs="Arial" w:eastAsia="Arial" w:hAnsi="Arial"/>
          <w:b/>
          <w:bCs/>
          <w:color w:val="2E75B6"/>
          <w:sz w:val="22"/>
          <w:szCs w:val="22"/>
        </w:rPr>
        <w:t xml:space="preserve">7. Naukri / LinkedIn Jobs — Growth Signal Mining</w:t>
      </w:r>
    </w:p>
    <w:p>
      <w:pPr>
        <w:spacing w:after="60" w:before="60"/>
      </w:pPr>
      <w:r>
        <w:rPr>
          <w:rFonts w:ascii="Arial" w:cs="Arial" w:eastAsia="Arial" w:hAnsi="Arial"/>
          <w:b/>
          <w:bCs/>
          <w:sz w:val="20"/>
          <w:szCs w:val="20"/>
        </w:rPr>
        <w:t xml:space="preserve">What it is:  </w:t>
      </w:r>
      <w:r>
        <w:rPr>
          <w:rFonts w:ascii="Arial" w:cs="Arial" w:eastAsia="Arial" w:hAnsi="Arial"/>
          <w:sz w:val="20"/>
          <w:szCs w:val="20"/>
        </w:rPr>
        <w:t xml:space="preserve">Search for companies actively hiring for technical roles: fermentation scientists, HPLC chemists, embedded engineers, RF designers, regulatory affairs managers — in target cities.</w:t>
      </w:r>
    </w:p>
    <w:p>
      <w:pPr>
        <w:spacing w:after="60" w:before="60"/>
      </w:pPr>
      <w:r>
        <w:rPr>
          <w:rFonts w:ascii="Arial" w:cs="Arial" w:eastAsia="Arial" w:hAnsi="Arial"/>
          <w:b/>
          <w:bCs/>
          <w:sz w:val="20"/>
          <w:szCs w:val="20"/>
        </w:rPr>
        <w:t xml:space="preserve">Why it works for this ICP:  </w:t>
      </w:r>
      <w:r>
        <w:rPr>
          <w:rFonts w:ascii="Arial" w:cs="Arial" w:eastAsia="Arial" w:hAnsi="Arial"/>
          <w:sz w:val="20"/>
          <w:szCs w:val="20"/>
        </w:rPr>
        <w:t xml:space="preserve">Active technical hiring is a direct C6 growth signal. A company posting 5+ chemistry or engineering roles is investing in capability, which is exactly the Federer growth mindset. This method also surfaces companies invisible to directories because they are young or unlisted.</w:t>
      </w:r>
    </w:p>
    <w:p>
      <w:pPr>
        <w:spacing w:after="60" w:before="60"/>
      </w:pPr>
      <w:r>
        <w:rPr>
          <w:rFonts w:ascii="Arial" w:cs="Arial" w:eastAsia="Arial" w:hAnsi="Arial"/>
          <w:b/>
          <w:bCs/>
          <w:sz w:val="20"/>
          <w:szCs w:val="20"/>
        </w:rPr>
        <w:t xml:space="preserve">How to use it:  </w:t>
      </w:r>
      <w:r>
        <w:rPr>
          <w:rFonts w:ascii="Arial" w:cs="Arial" w:eastAsia="Arial" w:hAnsi="Arial"/>
          <w:sz w:val="20"/>
          <w:szCs w:val="20"/>
        </w:rPr>
        <w:t xml:space="preserve">Naukri company search filtered by sector + city + job category. LinkedIn jobs search similarly. Extract company names, cross-reference against master list, flag as high C6. Partially automatable with Naukri API or scraping.</w:t>
      </w:r>
    </w:p>
    <w:p>
      <w:pPr>
        <w:spacing w:after="60" w:before="60"/>
      </w:pPr>
      <w:r>
        <w:rPr>
          <w:rFonts w:ascii="Arial" w:cs="Arial" w:eastAsia="Arial" w:hAnsi="Arial"/>
          <w:b/>
          <w:bCs/>
          <w:sz w:val="20"/>
          <w:szCs w:val="20"/>
        </w:rPr>
        <w:t xml:space="preserve">Limitation:  </w:t>
      </w:r>
      <w:r>
        <w:rPr>
          <w:rFonts w:ascii="Arial" w:cs="Arial" w:eastAsia="Arial" w:hAnsi="Arial"/>
          <w:sz w:val="20"/>
          <w:szCs w:val="20"/>
        </w:rPr>
        <w:t xml:space="preserve">Only identifies companies currently hiring. Companies in capacity-deployment mode will not appear. Hiring data on Naukri is self-reported and sometimes stale.</w:t>
      </w:r>
    </w:p>
    <w:p>
      <w:pPr>
        <w:spacing w:after="0" w:before="100"/>
      </w:pPr>
      <w:r>
        <w:t xml:space="preserve"/>
      </w:r>
    </w:p>
    <w:p>
      <w:pPr>
        <w:spacing w:after="80" w:before="200"/>
      </w:pPr>
      <w:r>
        <w:rPr>
          <w:rFonts w:ascii="Arial" w:cs="Arial" w:eastAsia="Arial" w:hAnsi="Arial"/>
          <w:b/>
          <w:bCs/>
          <w:color w:val="2E75B6"/>
          <w:sz w:val="22"/>
          <w:szCs w:val="22"/>
        </w:rPr>
        <w:t xml:space="preserve">8. IPO India Patent Filings — The Creative Method</w:t>
      </w:r>
    </w:p>
    <w:p>
      <w:pPr>
        <w:spacing w:after="60" w:before="60"/>
      </w:pPr>
      <w:r>
        <w:rPr>
          <w:rFonts w:ascii="Arial" w:cs="Arial" w:eastAsia="Arial" w:hAnsi="Arial"/>
          <w:b/>
          <w:bCs/>
          <w:sz w:val="20"/>
          <w:szCs w:val="20"/>
        </w:rPr>
        <w:t xml:space="preserve">What it is:  </w:t>
      </w:r>
      <w:r>
        <w:rPr>
          <w:rFonts w:ascii="Arial" w:cs="Arial" w:eastAsia="Arial" w:hAnsi="Arial"/>
          <w:sz w:val="20"/>
          <w:szCs w:val="20"/>
        </w:rPr>
        <w:t xml:space="preserve">The Indian Patent Office (ipindia.gov.in) publishes patent application data searchable by IPC code (International Patent Classification). Filter to pharma, biotech, electronics, and chemicals, then restrict to Indian company applicants in MSME size ranges.</w:t>
      </w:r>
    </w:p>
    <w:p>
      <w:pPr>
        <w:spacing w:after="60" w:before="60"/>
      </w:pPr>
      <w:r>
        <w:rPr>
          <w:rFonts w:ascii="Arial" w:cs="Arial" w:eastAsia="Arial" w:hAnsi="Arial"/>
          <w:b/>
          <w:bCs/>
          <w:sz w:val="20"/>
          <w:szCs w:val="20"/>
        </w:rPr>
        <w:t xml:space="preserve">Why it works for this ICP:  </w:t>
      </w:r>
      <w:r>
        <w:rPr>
          <w:rFonts w:ascii="Arial" w:cs="Arial" w:eastAsia="Arial" w:hAnsi="Arial"/>
          <w:sz w:val="20"/>
          <w:szCs w:val="20"/>
        </w:rPr>
        <w:t xml:space="preserve">Patent filing by an Indian MSME is a direct C3 signal — it requires legal spend, technical documentation, and a clear IP strategy. This source is underdiscovered because it requires knowing IPC codes and is more technical to query. But the signal quality is very high: every company found here has confirmed active IP development.</w:t>
      </w:r>
    </w:p>
    <w:p>
      <w:pPr>
        <w:spacing w:after="60" w:before="60"/>
      </w:pPr>
      <w:r>
        <w:rPr>
          <w:rFonts w:ascii="Arial" w:cs="Arial" w:eastAsia="Arial" w:hAnsi="Arial"/>
          <w:b/>
          <w:bCs/>
          <w:sz w:val="20"/>
          <w:szCs w:val="20"/>
        </w:rPr>
        <w:t xml:space="preserve">How to use it:  </w:t>
      </w:r>
      <w:r>
        <w:rPr>
          <w:rFonts w:ascii="Arial" w:cs="Arial" w:eastAsia="Arial" w:hAnsi="Arial"/>
          <w:sz w:val="20"/>
          <w:szCs w:val="20"/>
        </w:rPr>
        <w:t xml:space="preserve">Query IPO India by IPC code: A61K for pharma/biotech, C07 for organic chemistry, H01 for electronics. Filter to Indian private company applicants. Cross-reference company names against master list to enrich existing entries or surface new candidates.</w:t>
      </w:r>
    </w:p>
    <w:p>
      <w:pPr>
        <w:spacing w:after="60" w:before="60"/>
      </w:pPr>
      <w:r>
        <w:rPr>
          <w:rFonts w:ascii="Arial" w:cs="Arial" w:eastAsia="Arial" w:hAnsi="Arial"/>
          <w:b/>
          <w:bCs/>
          <w:sz w:val="20"/>
          <w:szCs w:val="20"/>
        </w:rPr>
        <w:t xml:space="preserve">Limitation:  </w:t>
      </w:r>
      <w:r>
        <w:rPr>
          <w:rFonts w:ascii="Arial" w:cs="Arial" w:eastAsia="Arial" w:hAnsi="Arial"/>
          <w:sz w:val="20"/>
          <w:szCs w:val="20"/>
        </w:rPr>
        <w:t xml:space="preserve">Low volume. Only captures companies that have filed patents — misses companies with trade secrets, regulatory moats, or DSIR-recognized R&amp;D that have not filed patents. More useful as an enrichment tool than a primary sourcing source.</w:t>
      </w:r>
    </w:p>
    <w:p>
      <w:pPr>
        <w:spacing w:after="0" w:before="100"/>
      </w:pPr>
      <w:r>
        <w:t xml:space="preserve"/>
      </w:r>
    </w:p>
    <w:p>
      <w:pPr>
        <w:pStyle w:val="Heading2"/>
        <w:pBdr>
          <w:bottom w:val="single" w:color="2E75B6" w:sz="4" w:space="2"/>
        </w:pBdr>
        <w:spacing w:after="100" w:before="280"/>
      </w:pPr>
      <w:r>
        <w:rPr>
          <w:rFonts w:ascii="Arial" w:cs="Arial" w:eastAsia="Arial" w:hAnsi="Arial"/>
          <w:b/>
          <w:bCs/>
          <w:color w:val="1F4E79"/>
          <w:sz w:val="24"/>
          <w:szCs w:val="24"/>
        </w:rPr>
        <w:t xml:space="preserve">Summary: All Sources at a Glance</w:t>
      </w:r>
    </w:p>
    <w:p>
      <w:pPr>
        <w:spacing w:after="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1700"/>
        <w:gridCol w:w="19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Best for</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Signal quality</w:t>
            </w:r>
          </w:p>
        </w:tc>
        <w:tc>
          <w:tcPr>
            <w:tcW w:type="dxa" w:w="1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Est. volume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DSIR list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All specialty manufacturing</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Very high</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USFDA / WHO / AS9100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Pharma, biotech, aerospace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Very high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Trade expo directories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All segments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High</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State industrial directories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Private companies, all segments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 but noisy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LinkedIn inverted search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C4-first discovery</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High</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~400–500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BSE SME / NSE Emerge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segments, listed only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Naukri / LinkedIn jobs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Growth signal validation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High</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Supplement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IPO India patents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Biotech, pharma, electronics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Very high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 but precise</w:t>
            </w:r>
          </w:p>
        </w:tc>
      </w:tr>
    </w:tbl>
    <w:p>
      <w:pPr>
        <w:spacing w:after="0" w:before="100"/>
      </w:pPr>
      <w:r>
        <w:t xml:space="preserve"/>
      </w:r>
    </w:p>
    <w:p>
      <w:pPr>
        <w:spacing w:after="80" w:before="60"/>
        <w:jc w:val="both"/>
      </w:pPr>
      <w:r>
        <w:rPr>
          <w:rFonts w:ascii="Arial" w:cs="Arial" w:eastAsia="Arial" w:hAnsi="Arial"/>
          <w:sz w:val="20"/>
          <w:szCs w:val="20"/>
        </w:rPr>
        <w:t xml:space="preserve">The right approach layers these sources — use DSIR and regulatory lists for the backbone, expo and industrial directories for volume, and LinkedIn and job boards for enrichment and validation. No single source covers the full ICP universe; the signal comes from the overlap.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FFFFFF"/>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2026-05-03T21:02:02.833Z</dcterms:created>
  <dcterms:modified xsi:type="dcterms:W3CDTF">2026-05-03T21:02:02.850Z</dcterms:modified>
</cp:coreProperties>
</file>

<file path=docProps/custom.xml><?xml version="1.0" encoding="utf-8"?>
<Properties xmlns="http://schemas.openxmlformats.org/officeDocument/2006/custom-properties" xmlns:vt="http://schemas.openxmlformats.org/officeDocument/2006/docPropsVTypes"/>
</file>