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00" w:before="0"/>
        <w:jc w:val="center"/>
      </w:pPr>
      <w:r>
        <w:rPr>
          <w:rFonts w:ascii="Arial" w:cs="Arial" w:eastAsia="Arial" w:hAnsi="Arial"/>
          <w:b/>
          <w:bCs/>
          <w:color w:val="1F4E79"/>
          <w:sz w:val="56"/>
          <w:szCs w:val="56"/>
        </w:rPr>
        <w:t xml:space="preserve">Research Methodology</w:t>
      </w:r>
    </w:p>
    <w:p>
      <w:pPr>
        <w:spacing w:after="80" w:before="0"/>
        <w:jc w:val="center"/>
      </w:pPr>
      <w:r>
        <w:rPr>
          <w:rFonts w:ascii="Arial" w:cs="Arial" w:eastAsia="Arial" w:hAnsi="Arial"/>
          <w:b/>
          <w:bCs/>
          <w:color w:val="2E75B6"/>
          <w:sz w:val="30"/>
          <w:szCs w:val="30"/>
        </w:rPr>
        <w:t xml:space="preserve">Hyderabad Federer Company List</w:t>
      </w:r>
    </w:p>
    <w:p>
      <w:pPr>
        <w:spacing w:after="0" w:before="0"/>
        <w:jc w:val="center"/>
      </w:pPr>
      <w:r>
        <w:rPr>
          <w:rFonts w:ascii="Arial" w:cs="Arial" w:eastAsia="Arial" w:hAnsi="Arial"/>
          <w:color w:val="666666"/>
          <w:sz w:val="22"/>
          <w:szCs w:val="22"/>
        </w:rPr>
        <w:t xml:space="preserve">DeepThought Business Analytics Assignment | Part A</w:t>
      </w:r>
    </w:p>
    <w:p>
      <w:pPr>
        <w:pBdr>
          <w:bottom w:val="single" w:color="2E75B6" w:sz="8" w:space="4"/>
        </w:pBdr>
        <w:spacing w:after="0" w:before="400"/>
      </w:pPr>
      <w:r>
        <w:t xml:space="preserve"/>
      </w:r>
    </w:p>
    <w:p>
      <w:pPr>
        <w:spacing w:after="0" w:before="140"/>
      </w:pPr>
      <w:r>
        <w:t xml:space="preserve"/>
      </w:r>
    </w:p>
    <w:p>
      <w:pPr>
        <w:shd w:fill="2E75B6" w:val="clear"/>
        <w:spacing w:after="0" w:before="80"/>
        <w:ind w:left="160"/>
      </w:pPr>
      <w:r>
        <w:rPr>
          <w:rFonts w:ascii="Arial" w:cs="Arial" w:eastAsia="Arial" w:hAnsi="Arial"/>
          <w:b/>
          <w:bCs/>
          <w:color w:val="FFFFFF"/>
          <w:sz w:val="20"/>
          <w:szCs w:val="20"/>
        </w:rPr>
        <w:t xml:space="preserve">  ~85 companies screened   |   ~60 rejected (~70%)   |   25 verified Federer companies</w:t>
      </w:r>
    </w:p>
    <w:p>
      <w:pPr>
        <w:shd w:fill="EBF3FB" w:val="clear"/>
        <w:spacing w:after="0" w:before="0"/>
        <w:ind w:left="160"/>
      </w:pPr>
      <w:r>
        <w:rPr>
          <w:rFonts w:ascii="Arial" w:cs="Arial" w:eastAsia="Arial" w:hAnsi="Arial"/>
          <w:color w:val="333333"/>
          <w:sz w:val="18"/>
          <w:szCs w:val="18"/>
        </w:rPr>
        <w:t xml:space="preserve">  Segments: Specialty biotech, complex APIs, defence electronics, aerospace, specialty chemicals, medtech, sensors, agri-inputs</w:t>
      </w:r>
    </w:p>
    <w:p>
      <w:pPr>
        <w:spacing w:after="0" w:before="200"/>
      </w:pPr>
      <w:r>
        <w:t xml:space="preserve"/>
      </w:r>
    </w:p>
    <w:p>
      <w:pPr>
        <w:pStyle w:val="Heading1"/>
        <w:shd w:fill="1F4E79" w:val="clear"/>
        <w:spacing w:after="140" w:before="320"/>
        <w:ind w:left="200"/>
      </w:pPr>
      <w:r>
        <w:rPr>
          <w:rFonts w:ascii="Arial" w:cs="Arial" w:eastAsia="Arial" w:hAnsi="Arial"/>
          <w:b/>
          <w:bCs/>
          <w:color w:val="FFFFFF"/>
          <w:sz w:val="26"/>
          <w:szCs w:val="26"/>
        </w:rPr>
        <w:t xml:space="preserve">1. Objective</w:t>
      </w:r>
    </w:p>
    <w:p>
      <w:pPr>
        <w:spacing w:after="80" w:before="60"/>
        <w:jc w:val="both"/>
      </w:pPr>
      <w:r>
        <w:rPr>
          <w:rFonts w:ascii="Arial" w:cs="Arial" w:eastAsia="Arial" w:hAnsi="Arial"/>
          <w:sz w:val="20"/>
          <w:szCs w:val="20"/>
        </w:rPr>
        <w:t xml:space="preserve">The goal was to identify 25 manufacturing companies in Hyderabad that match DeepThought's Federer ICP: growth-mode specialty manufacturers with a technical decision-maker who wants to build internal capability, not outsource.</w:t>
      </w:r>
    </w:p>
    <w:p>
      <w:pPr>
        <w:spacing w:after="80" w:before="60"/>
        <w:jc w:val="both"/>
      </w:pPr>
      <w:r>
        <w:rPr>
          <w:rFonts w:ascii="Arial" w:cs="Arial" w:eastAsia="Arial" w:hAnsi="Arial"/>
          <w:sz w:val="20"/>
          <w:szCs w:val="20"/>
        </w:rPr>
        <w:t xml:space="preserve">Not just any manufacturer. Companies where the founder has scientific or engineering depth, where the product is genuinely differentiated (patent, DSIR recognition, or regulatory approval), and where there are real, verifiable signals of forward momentum in the last 18 months.</w:t>
      </w:r>
    </w:p>
    <w:p>
      <w:pPr>
        <w:spacing w:after="0" w:before="80"/>
      </w:pPr>
      <w:r>
        <w:t xml:space="preserve"/>
      </w:r>
    </w:p>
    <w:p>
      <w:pPr>
        <w:pStyle w:val="Heading1"/>
        <w:shd w:fill="1F4E79" w:val="clear"/>
        <w:spacing w:after="140" w:before="320"/>
        <w:ind w:left="200"/>
      </w:pPr>
      <w:r>
        <w:rPr>
          <w:rFonts w:ascii="Arial" w:cs="Arial" w:eastAsia="Arial" w:hAnsi="Arial"/>
          <w:b/>
          <w:bCs/>
          <w:color w:val="FFFFFF"/>
          <w:sz w:val="26"/>
          <w:szCs w:val="26"/>
        </w:rPr>
        <w:t xml:space="preserve">2. Universe Creation</w:t>
      </w:r>
    </w:p>
    <w:p>
      <w:pPr>
        <w:spacing w:after="80" w:before="60"/>
        <w:jc w:val="both"/>
      </w:pPr>
      <w:r>
        <w:rPr>
          <w:rFonts w:ascii="Arial" w:cs="Arial" w:eastAsia="Arial" w:hAnsi="Arial"/>
          <w:sz w:val="20"/>
          <w:szCs w:val="20"/>
        </w:rPr>
        <w:t xml:space="preserve">A broad universe of approximately 85-90 companies was built before any filtering. Five sources were used in combination: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40"/>
        <w:gridCol w:w="19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Companies found</w:t>
            </w:r>
          </w:p>
        </w:tc>
        <w:tc>
          <w:tcPr>
            <w:tcW w:type="dxa" w:w="1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of initial universe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Genome Valley / cluster directories</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HMDA industrial estate listings; TIHCL Telangana directory; Genome Valley tenant list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~28</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~32%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LinkedIn search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Searched 'biotech manufacturer Hyderabad', 'defence electronics Hyderabad', 'specialty chemicals Telangana'; checked employee count and recent posts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~25%</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DSIR / USFDA / AS9100 / IN-SPACe lists</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DSIR recognition list filtered to Hyderabad; USFDA facility database for pharma; AS9100 registrar for aerospace; IN-SPACe authorization list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~18</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 MCA / Tofler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Industry-specific searches; verified manufacturing presence via website analysis; revenue cross-checked via Tofler MCA financials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Naukri / LinkedIn Jobs</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Searched active technical job postings in target segments; companies with 5+ technical roles in 6 months flagged for investigation</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W w:type="dxa" w:w="1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r>
    </w:tbl>
    <w:p>
      <w:pPr>
        <w:spacing w:after="0" w:before="80"/>
      </w:pPr>
      <w:r>
        <w:t xml:space="preserve"/>
      </w:r>
    </w:p>
    <w:p>
      <w:pPr>
        <w:spacing w:after="80" w:before="60"/>
        <w:jc w:val="both"/>
      </w:pPr>
      <w:r>
        <w:rPr>
          <w:rFonts w:ascii="Arial" w:cs="Arial" w:eastAsia="Arial" w:hAnsi="Arial"/>
          <w:sz w:val="20"/>
          <w:szCs w:val="20"/>
        </w:rPr>
        <w:t xml:space="preserve">The Genome Valley cluster and LinkedIn search together contributed over half the initial universe. DSIR and regulatory databases were the highest-quality source by signal-to-noise ratio -- every company sourced from DSIR had already cleared a meaningful bar for technical seriousness.</w:t>
      </w:r>
    </w:p>
    <w:p>
      <w:pPr>
        <w:spacing w:after="0" w:before="80"/>
      </w:pPr>
      <w:r>
        <w:t xml:space="preserve"/>
      </w:r>
    </w:p>
    <w:p>
      <w:pPr>
        <w:pStyle w:val="Heading1"/>
        <w:shd w:fill="1F4E79" w:val="clear"/>
        <w:spacing w:after="140" w:before="320"/>
        <w:ind w:left="200"/>
      </w:pPr>
      <w:r>
        <w:rPr>
          <w:rFonts w:ascii="Arial" w:cs="Arial" w:eastAsia="Arial" w:hAnsi="Arial"/>
          <w:b/>
          <w:bCs/>
          <w:color w:val="FFFFFF"/>
          <w:sz w:val="26"/>
          <w:szCs w:val="26"/>
        </w:rPr>
        <w:t xml:space="preserve">3. Filtering Logic</w:t>
      </w:r>
    </w:p>
    <w:p>
      <w:pPr>
        <w:spacing w:after="80" w:before="60"/>
        <w:jc w:val="both"/>
      </w:pPr>
      <w:r>
        <w:rPr>
          <w:rFonts w:ascii="Arial" w:cs="Arial" w:eastAsia="Arial" w:hAnsi="Arial"/>
          <w:sz w:val="20"/>
          <w:szCs w:val="20"/>
        </w:rPr>
        <w:t xml:space="preserve">Approximately 60 companies (roughly 70% of the universe) were rejected before scoring. Below are the disqualifier categories and named examples for each.</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200"/>
        <w:gridCol w:w="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Disqualifier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Criterion failed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Named examples</w:t>
            </w:r>
          </w:p>
        </w:tc>
        <w:tc>
          <w:tcPr>
            <w:tcW w:type="dxa" w:w="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 (~)</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CRO / testing lab -- sells services, not products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C1 auto-fail</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Vimta Labs, Aragen Life Sciences, Eurofins Advinus, smaller Genome Valley analytical labs</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Generic / bulk pharma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Segment exclusion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Aurobindo Pharma, Natco Pharma, Dr. Reddy's Laboratories -- generic APIs and formulations, explicitly excluded segment</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Revenue above Rs.500Cr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Revenue ceiling</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Apollo Micro Systems (Rs.565Cr FY25), Olectra Greentech (Rs.2116Cr FY25), Divi's Laboratories (Rs.8000Cr+), Thermax (Rs.8000Cr+)</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PE/VC-controlled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Promoter dynamic fails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Suven Pharma (Advent International majority stake), Aragen (PE-backed, CEO is professional manager not founder)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Subsidiary of large group</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independent / promoter-driven</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Biocon Biologics (Biocon Group), Indian Immunologicals (NDDB cooperative subsidiary), Eurofins Advinus (Eurofins Belgium parent)</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Sales-only Hyderabad presence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City criterion fails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Privi Speciality Chemicals (HQ and manufacturing in Maharashtra; Hyderabad is a sales office only)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No website or stale presence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Activity signal fails</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Several small-cap companies with single-page placeholder websites or no updates since 2020-2021</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~13</w:t>
            </w:r>
          </w:p>
        </w:tc>
      </w:tr>
    </w:tbl>
    <w:p>
      <w:pPr>
        <w:spacing w:after="0" w:before="80"/>
      </w:pPr>
      <w:r>
        <w:t xml:space="preserve"/>
      </w:r>
    </w:p>
    <w:p>
      <w:pPr>
        <w:spacing w:after="80" w:before="60"/>
        <w:jc w:val="both"/>
      </w:pPr>
      <w:r>
        <w:rPr>
          <w:rFonts w:ascii="Arial" w:cs="Arial" w:eastAsia="Arial" w:hAnsi="Arial"/>
          <w:sz w:val="20"/>
          <w:szCs w:val="20"/>
        </w:rPr>
        <w:t xml:space="preserve">Three rejection patterns were non-obvious and worth calling out explicitly:</w:t>
      </w:r>
    </w:p>
    <w:p>
      <w:pPr>
        <w:pStyle w:val="ListParagraph"/>
        <w:numPr>
          <w:ilvl w:val="0"/>
          <w:numId w:val="2"/>
        </w:numPr>
        <w:spacing w:after="40" w:before="40"/>
      </w:pPr>
      <w:r>
        <w:rPr>
          <w:rFonts w:ascii="Arial" w:cs="Arial" w:eastAsia="Arial" w:hAnsi="Arial"/>
          <w:sz w:val="20"/>
          <w:szCs w:val="20"/>
        </w:rPr>
        <w:t xml:space="preserve">Revenue ceiling breaches required checking current-year filings, not just the most recent annual report. Apollo Micro Systems, for example, crossed Rs.500Cr within a single year on defence order inflow -- the previous annual report would have shown a lower figure.</w:t>
      </w:r>
    </w:p>
    <w:p>
      <w:pPr>
        <w:pStyle w:val="ListParagraph"/>
        <w:numPr>
          <w:ilvl w:val="0"/>
          <w:numId w:val="2"/>
        </w:numPr>
        <w:spacing w:after="40" w:before="40"/>
      </w:pPr>
      <w:r>
        <w:rPr>
          <w:rFonts w:ascii="Arial" w:cs="Arial" w:eastAsia="Arial" w:hAnsi="Arial"/>
          <w:sz w:val="20"/>
          <w:szCs w:val="20"/>
        </w:rPr>
        <w:t xml:space="preserve">CROs and testing labs were the single biggest false positive in Genome Valley. Many operate in the same buildings, attend the same industry events, and use identical language about 'biopharma solutions' on their websites. The test was always: does this company make a physical product, or does it sell hours of scientific work?</w:t>
      </w:r>
    </w:p>
    <w:p>
      <w:pPr>
        <w:pStyle w:val="ListParagraph"/>
        <w:numPr>
          <w:ilvl w:val="0"/>
          <w:numId w:val="2"/>
        </w:numPr>
        <w:spacing w:after="40" w:before="40"/>
      </w:pPr>
      <w:r>
        <w:rPr>
          <w:rFonts w:ascii="Arial" w:cs="Arial" w:eastAsia="Arial" w:hAnsi="Arial"/>
          <w:sz w:val="20"/>
          <w:szCs w:val="20"/>
        </w:rPr>
        <w:t xml:space="preserve">PE ownership was sometimes indirect. Suven Pharma, for instance, still has the original Suven Life Sciences brand and operates from Hyderabad, but Advent International holds majority control. The decision-making dynamic is institutional, not founder-driven.</w:t>
      </w:r>
    </w:p>
    <w:p>
      <w:pPr>
        <w:spacing w:after="0" w:before="80"/>
      </w:pPr>
      <w:r>
        <w:t xml:space="preserve"/>
      </w:r>
    </w:p>
    <w:p>
      <w:pPr>
        <w:pStyle w:val="Heading1"/>
        <w:shd w:fill="1F4E79" w:val="clear"/>
        <w:spacing w:after="140" w:before="320"/>
        <w:ind w:left="200"/>
      </w:pPr>
      <w:r>
        <w:rPr>
          <w:rFonts w:ascii="Arial" w:cs="Arial" w:eastAsia="Arial" w:hAnsi="Arial"/>
          <w:b/>
          <w:bCs/>
          <w:color w:val="FFFFFF"/>
          <w:sz w:val="26"/>
          <w:szCs w:val="26"/>
        </w:rPr>
        <w:t xml:space="preserve">4. Evaluation Framework</w:t>
      </w:r>
    </w:p>
    <w:p>
      <w:pPr>
        <w:spacing w:after="80" w:before="60"/>
        <w:jc w:val="both"/>
      </w:pPr>
      <w:r>
        <w:rPr>
          <w:rFonts w:ascii="Arial" w:cs="Arial" w:eastAsia="Arial" w:hAnsi="Arial"/>
          <w:sz w:val="20"/>
          <w:szCs w:val="20"/>
        </w:rPr>
        <w:t xml:space="preserve">Each surviving company was scored on six criteria. Total possible score: 100 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2400"/>
        <w:gridCol w:w="444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tests</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Strong requires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C1 -- Manufacturer</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Does the company produce physical products in-house?</w:t>
            </w:r>
          </w:p>
        </w:tc>
        <w:tc>
          <w:tcPr>
            <w:tcW w:type="dxa" w:w="4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Own plant, own product, in-house R&amp;D-to-production pipeline. CROs and testing labs fail immediately.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C2 -- India-based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HQ or primary manufacturing in India?</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HQ or primary manufacturing in India. Sales offices elsewhere do not disqualify.</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C3 -- Differentiated</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25</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Is the product genuinely non-commodity?</w:t>
            </w:r>
          </w:p>
        </w:tc>
        <w:tc>
          <w:tcPr>
            <w:tcW w:type="dxa" w:w="4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Confirmed patent, DSIR recognition, USFDA / WHO-GMP / AS9100 approval, OR documented 'first/only/pioneer in India' claim with verifiable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C4 -- Technical DM</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Does the founder or MD have scientific/engineering depth?</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PhD, IIT / IISc / BITS degree, OR ex-ISRO / DRDO background. Industry experience alone = Moderate.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C5 -- Growing sector</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20</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Does the company operate in a segment with real tailwinds?</w:t>
            </w:r>
          </w:p>
        </w:tc>
        <w:tc>
          <w:tcPr>
            <w:tcW w:type="dxa" w:w="4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PLI-eligible, China+1 beneficiary, active government push (defence indigenization, biologics, specialty chem). Stable sector without specific tailwind = Moderate.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C6 -- Growth signals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 the company actively expanding?</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confirmed signals from: facility expansion, revenue growth in MCA filings, 5+ Naukri/LinkedIn roles in 6 months, new regulatory certification, new export markets.</w:t>
            </w:r>
          </w:p>
        </w:tc>
      </w:tr>
    </w:tbl>
    <w:p>
      <w:pPr>
        <w:spacing w:after="0" w:before="80"/>
      </w:pPr>
      <w:r>
        <w:t xml:space="preserve"/>
      </w:r>
    </w:p>
    <w:p>
      <w:pPr>
        <w:pStyle w:val="Heading1"/>
        <w:shd w:fill="1F4E79" w:val="clear"/>
        <w:spacing w:after="140" w:before="320"/>
        <w:ind w:left="200"/>
      </w:pPr>
      <w:r>
        <w:rPr>
          <w:rFonts w:ascii="Arial" w:cs="Arial" w:eastAsia="Arial" w:hAnsi="Arial"/>
          <w:b/>
          <w:bCs/>
          <w:color w:val="FFFFFF"/>
          <w:sz w:val="26"/>
          <w:szCs w:val="26"/>
        </w:rPr>
        <w:t xml:space="preserve">5. Scoring Approach</w:t>
      </w:r>
    </w:p>
    <w:p>
      <w:pPr>
        <w:spacing w:after="80" w:before="60"/>
        <w:jc w:val="both"/>
      </w:pPr>
      <w:r>
        <w:rPr>
          <w:rFonts w:ascii="Arial" w:cs="Arial" w:eastAsia="Arial" w:hAnsi="Arial"/>
          <w:sz w:val="20"/>
          <w:szCs w:val="20"/>
        </w:rPr>
        <w:t xml:space="preserve">Three possible scores per criterion -- Strong (full weight), Moderate (half weight), Weak (0). Conservative defaults applied throughout: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w:trPr>
          <w:tblHeader/>
        </w:trPr>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5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4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Certification listed on website without a date</w:t>
            </w:r>
          </w:p>
        </w:tc>
        <w:tc>
          <w:tcPr>
            <w:tcW w:type="dxa" w:w="5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Moderate, not Strong -- cannot confirm it is current</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DSIR recognition claimed but not found in published list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Moderate, not Strong -- unverified</w:t>
            </w:r>
          </w:p>
        </w:tc>
      </w:tr>
      <w:tr>
        <w:tc>
          <w:tcPr>
            <w:tcW w:type="dxa" w:w="4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ISO 9001 or ISO 14001 cited as differentiation evidence</w:t>
            </w:r>
          </w:p>
        </w:tc>
        <w:tc>
          <w:tcPr>
            <w:tcW w:type="dxa" w:w="5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Weak on C3 -- these are baseline quality standards, not IP moats</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Industry experience without IIT / IISc / BITS / PhD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Moderate on C4 -- domain expertise counts, but not the same as premier institution</w:t>
            </w:r>
          </w:p>
        </w:tc>
      </w:tr>
      <w:tr>
        <w:tc>
          <w:tcPr>
            <w:tcW w:type="dxa" w:w="4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1 growth signal found (e.g., website updated but no hiring or facility news)</w:t>
            </w:r>
          </w:p>
        </w:tc>
        <w:tc>
          <w:tcPr>
            <w:tcW w:type="dxa" w:w="5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Moderate on C6 -- does not meet the 2-signal threshold for Strong</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Borderline company where one key fact could not be verified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Defaulted to lower score; documented caveat in verdict reasoning</w:t>
            </w:r>
          </w:p>
        </w:tc>
      </w:tr>
    </w:tbl>
    <w:p>
      <w:pPr>
        <w:spacing w:after="0" w:before="80"/>
      </w:pPr>
      <w:r>
        <w:t xml:space="preserve"/>
      </w:r>
    </w:p>
    <w:p>
      <w:pPr>
        <w:spacing w:after="80" w:before="60"/>
        <w:jc w:val="both"/>
      </w:pPr>
      <w:r>
        <w:rPr>
          <w:rFonts w:ascii="Arial" w:cs="Arial" w:eastAsia="Arial" w:hAnsi="Arial"/>
          <w:sz w:val="20"/>
          <w:szCs w:val="20"/>
        </w:rPr>
        <w:t xml:space="preserve">The C3 criterion was applied most strictly. Many specialty manufacturing companies have technically demanding products -- but complexity alone is not a moat. What matters is whether there is a regulatory credential, a patent, or a documented first-in-India position that a competitor cannot easily replicate without the same investment. Without that, C3 was Moderate at best.</w:t>
      </w:r>
    </w:p>
    <w:p>
      <w:pPr>
        <w:spacing w:after="0" w:before="80"/>
      </w:pPr>
      <w:r>
        <w:t xml:space="preserve"/>
      </w:r>
    </w:p>
    <w:p>
      <w:pPr>
        <w:pStyle w:val="Heading1"/>
        <w:shd w:fill="1F4E79" w:val="clear"/>
        <w:spacing w:after="140" w:before="320"/>
        <w:ind w:left="200"/>
      </w:pPr>
      <w:r>
        <w:rPr>
          <w:rFonts w:ascii="Arial" w:cs="Arial" w:eastAsia="Arial" w:hAnsi="Arial"/>
          <w:b/>
          <w:bCs/>
          <w:color w:val="FFFFFF"/>
          <w:sz w:val="26"/>
          <w:szCs w:val="26"/>
        </w:rPr>
        <w:t xml:space="preserve">6. Research Workflow</w:t>
      </w:r>
    </w:p>
    <w:p>
      <w:pPr>
        <w:spacing w:after="80" w:before="60"/>
        <w:jc w:val="both"/>
      </w:pPr>
      <w:r>
        <w:rPr>
          <w:rFonts w:ascii="Arial" w:cs="Arial" w:eastAsia="Arial" w:hAnsi="Arial"/>
          <w:sz w:val="20"/>
          <w:szCs w:val="20"/>
        </w:rPr>
        <w:t xml:space="preserve">The process ran in four sequential stages. Each stage had a clear entry and exit condition.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STAGE</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happened / exit condition</w:t>
            </w:r>
          </w:p>
        </w:tc>
      </w:tr>
      <w:tr>
        <w:tc>
          <w:tcPr>
            <w:tcW w:type="dxa" w:w="2000"/>
            <w:tcBorders>
              <w:top w:val="single" w:color="2E75B6" w:sz="1"/>
              <w:left w:val="single" w:color="2E75B6" w:sz="1"/>
              <w:bottom w:val="single" w:color="2E75B6" w:sz="1"/>
              <w:right w:val="single" w:color="2E75B6" w:sz="1"/>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Stage 1
Universe</w:t>
            </w:r>
          </w:p>
        </w:tc>
        <w:tc>
          <w:tcPr>
            <w:tcW w:type="dxa" w:w="7360"/>
            <w:tcBorders>
              <w:top w:val="single" w:color="CCCCCC" w:sz="1"/>
              <w:left w:val="single" w:color="CCCCCC" w:sz="1"/>
              <w:bottom w:val="single" w:color="CCCCCC" w:sz="1"/>
              <w:right w:val="single" w:color="CCCCCC" w:sz="1"/>
            </w:tcBorders>
            <w:shd w:fill="F2F7FC" w:val="clear"/>
            <w:tcMar>
              <w:top w:type="dxa" w:w="120"/>
              <w:left w:type="dxa" w:w="160"/>
              <w:bottom w:type="dxa" w:w="120"/>
              <w:right w:type="dxa" w:w="160"/>
            </w:tcMar>
          </w:tcPr>
          <w:p>
            <w:r>
              <w:rPr>
                <w:rFonts w:ascii="Arial" w:cs="Arial" w:eastAsia="Arial" w:hAnsi="Arial"/>
                <w:color w:val="1A1A1A"/>
                <w:sz w:val="19"/>
                <w:szCs w:val="19"/>
              </w:rPr>
              <w:t xml:space="preserve">5 sources used to build ~85-90 candidate companies. Exit: master list with name, website, city, and rough segment for every candidate.</w:t>
            </w:r>
          </w:p>
        </w:tc>
      </w:tr>
      <w:tr>
        <w:tc>
          <w:tcPr>
            <w:tcW w:type="dxa" w:w="2000"/>
            <w:tcBorders>
              <w:top w:val="single" w:color="375623" w:sz="1"/>
              <w:left w:val="single" w:color="375623" w:sz="1"/>
              <w:bottom w:val="single" w:color="375623" w:sz="1"/>
              <w:right w:val="single" w:color="375623" w:sz="1"/>
            </w:tcBorders>
            <w:shd w:fill="375623"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Stage 2
Hard Filter</w:t>
            </w:r>
          </w:p>
        </w:tc>
        <w:tc>
          <w:tcPr>
            <w:tcW w:type="dxa" w:w="7360"/>
            <w:tcBorders>
              <w:top w:val="single" w:color="CCCCCC" w:sz="1"/>
              <w:left w:val="single" w:color="CCCCCC" w:sz="1"/>
              <w:bottom w:val="single" w:color="CCCCCC" w:sz="1"/>
              <w:right w:val="single" w:color="CCCCCC" w:sz="1"/>
            </w:tcBorders>
            <w:shd w:fill="F2F7FC" w:val="clear"/>
            <w:tcMar>
              <w:top w:type="dxa" w:w="120"/>
              <w:left w:type="dxa" w:w="160"/>
              <w:bottom w:type="dxa" w:w="120"/>
              <w:right w:type="dxa" w:w="160"/>
            </w:tcMar>
          </w:tcPr>
          <w:p>
            <w:r>
              <w:rPr>
                <w:rFonts w:ascii="Arial" w:cs="Arial" w:eastAsia="Arial" w:hAnsi="Arial"/>
                <w:color w:val="1A1A1A"/>
                <w:sz w:val="19"/>
                <w:szCs w:val="19"/>
              </w:rPr>
              <w:t xml:space="preserve">Auto-reject: no website, obvious traders, generic pharma names, confirmed PE-controlled or subsidiary. ~60 companies removed. Exit: ~25-30 candidates remaining for scoring.</w:t>
            </w:r>
          </w:p>
        </w:tc>
      </w:tr>
      <w:tr>
        <w:tc>
          <w:tcPr>
            <w:tcW w:type="dxa" w:w="2000"/>
            <w:tcBorders>
              <w:top w:val="single" w:color="7F6000" w:sz="1"/>
              <w:left w:val="single" w:color="7F6000" w:sz="1"/>
              <w:bottom w:val="single" w:color="7F6000" w:sz="1"/>
              <w:right w:val="single" w:color="7F6000" w:sz="1"/>
            </w:tcBorders>
            <w:shd w:fill="7F600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Stage 3
Full Score</w:t>
            </w:r>
          </w:p>
        </w:tc>
        <w:tc>
          <w:tcPr>
            <w:tcW w:type="dxa" w:w="7360"/>
            <w:tcBorders>
              <w:top w:val="single" w:color="CCCCCC" w:sz="1"/>
              <w:left w:val="single" w:color="CCCCCC" w:sz="1"/>
              <w:bottom w:val="single" w:color="CCCCCC" w:sz="1"/>
              <w:right w:val="single" w:color="CCCCCC" w:sz="1"/>
            </w:tcBorders>
            <w:shd w:fill="F2F7FC" w:val="clear"/>
            <w:tcMar>
              <w:top w:type="dxa" w:w="120"/>
              <w:left w:type="dxa" w:w="160"/>
              <w:bottom w:type="dxa" w:w="120"/>
              <w:right w:type="dxa" w:w="160"/>
            </w:tcMar>
          </w:tcPr>
          <w:p>
            <w:r>
              <w:rPr>
                <w:rFonts w:ascii="Arial" w:cs="Arial" w:eastAsia="Arial" w:hAnsi="Arial"/>
                <w:color w:val="1A1A1A"/>
                <w:sz w:val="19"/>
                <w:szCs w:val="19"/>
              </w:rPr>
              <w:t xml:space="preserve">Each surviving company scored on C1-C6. Evidence documented per criterion. Conservative defaults applied. Exit: scored list with Federer Score and band (A/B/C).</w:t>
            </w:r>
          </w:p>
        </w:tc>
      </w:tr>
      <w:tr>
        <w:tc>
          <w:tcPr>
            <w:tcW w:type="dxa" w:w="2000"/>
            <w:tcBorders>
              <w:top w:val="single" w:color="1F4E79" w:sz="1"/>
              <w:left w:val="single" w:color="1F4E79" w:sz="1"/>
              <w:bottom w:val="single" w:color="1F4E79" w:sz="1"/>
              <w:right w:val="single" w:color="1F4E79" w:sz="1"/>
            </w:tcBorders>
            <w:shd w:fill="1F4E7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Stage 4
Final 25</w:t>
            </w:r>
          </w:p>
        </w:tc>
        <w:tc>
          <w:tcPr>
            <w:tcW w:type="dxa" w:w="7360"/>
            <w:tcBorders>
              <w:top w:val="single" w:color="CCCCCC" w:sz="1"/>
              <w:left w:val="single" w:color="CCCCCC" w:sz="1"/>
              <w:bottom w:val="single" w:color="CCCCCC" w:sz="1"/>
              <w:right w:val="single" w:color="CCCCCC" w:sz="1"/>
            </w:tcBorders>
            <w:shd w:fill="F2F7FC" w:val="clear"/>
            <w:tcMar>
              <w:top w:type="dxa" w:w="120"/>
              <w:left w:type="dxa" w:w="160"/>
              <w:bottom w:type="dxa" w:w="120"/>
              <w:right w:type="dxa" w:w="160"/>
            </w:tcMar>
          </w:tcPr>
          <w:p>
            <w:r>
              <w:rPr>
                <w:rFonts w:ascii="Arial" w:cs="Arial" w:eastAsia="Arial" w:hAnsi="Arial"/>
                <w:color w:val="1A1A1A"/>
                <w:sz w:val="19"/>
                <w:szCs w:val="19"/>
              </w:rPr>
              <w:t xml:space="preserve">Top 25 selected: all A-band included, best B-band included, C-band companies included only where segment coverage required it. Personalization hook generated for each. Exit: final deliverable.</w:t>
            </w:r>
          </w:p>
        </w:tc>
      </w:tr>
    </w:tbl>
    <w:p>
      <w:pPr>
        <w:spacing w:after="0" w:before="80"/>
      </w:pPr>
      <w:r>
        <w:t xml:space="preserve"/>
      </w:r>
    </w:p>
    <w:p>
      <w:pPr>
        <w:spacing w:after="80" w:before="60"/>
        <w:jc w:val="both"/>
      </w:pPr>
      <w:r>
        <w:rPr>
          <w:rFonts w:ascii="Arial" w:cs="Arial" w:eastAsia="Arial" w:hAnsi="Arial"/>
          <w:sz w:val="20"/>
          <w:szCs w:val="20"/>
        </w:rPr>
        <w:t xml:space="preserve">The workflow was not fully linear -- companies sometimes re-entered Stage 2 when new information emerged during Stage 3 scoring. For example, Olectra Greentech initially passed the hard filter (appeared to be a specialty manufacturer) but was removed at Stage 3 when current-year revenue was verified at Rs.2116Cr, far above the ceiling.</w:t>
      </w:r>
    </w:p>
    <w:p>
      <w:pPr>
        <w:spacing w:after="0" w:before="80"/>
      </w:pPr>
      <w:r>
        <w:t xml:space="preserve"/>
      </w:r>
    </w:p>
    <w:p>
      <w:pPr>
        <w:pStyle w:val="Heading1"/>
        <w:shd w:fill="1F4E79" w:val="clear"/>
        <w:spacing w:after="140" w:before="320"/>
        <w:ind w:left="200"/>
      </w:pPr>
      <w:r>
        <w:rPr>
          <w:rFonts w:ascii="Arial" w:cs="Arial" w:eastAsia="Arial" w:hAnsi="Arial"/>
          <w:b/>
          <w:bCs/>
          <w:color w:val="FFFFFF"/>
          <w:sz w:val="26"/>
          <w:szCs w:val="26"/>
        </w:rPr>
        <w:t xml:space="preserve">7. Final Selection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companies sourced</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~85-90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Rejected at hard-filter stage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~60 (~70%)</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Scored on C1-C6</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~28-30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Final 25 selected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25</w:t>
            </w:r>
          </w:p>
        </w:tc>
      </w:tr>
    </w:tbl>
    <w:p>
      <w:pPr>
        <w:spacing w:after="0" w:before="80"/>
      </w:pPr>
      <w:r>
        <w:t xml:space="preserve"/>
      </w:r>
    </w:p>
    <w:p>
      <w:pPr>
        <w:pStyle w:val="Heading2"/>
        <w:pBdr>
          <w:bottom w:val="single" w:color="2E75B6" w:sz="4" w:space="2"/>
        </w:pBdr>
        <w:spacing w:after="80" w:before="240"/>
      </w:pPr>
      <w:r>
        <w:rPr>
          <w:rFonts w:ascii="Arial" w:cs="Arial" w:eastAsia="Arial" w:hAnsi="Arial"/>
          <w:b/>
          <w:bCs/>
          <w:color w:val="1F4E79"/>
          <w:sz w:val="22"/>
          <w:szCs w:val="22"/>
        </w:rPr>
        <w:t xml:space="preserve">Band Distribution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20"/>
        <w:gridCol w:w="564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Band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5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Companies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A -- Strong Federer</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80-100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5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Bharat Biotech, Avantel, Zen Technologies, Virchow Biotech, Novalead Pharma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 -- Probable Federer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60-79</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Biological E, Sai Advantium, Lazuline Biotech, Andhra Organics, ABR Organics, Deccan Fine Chemicals, Nuziveedu Seeds, Srinivasa Cysteine, Azista Industries, Aurea Biolabs, Signalchips, Prescient Biologics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 -- Borderline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40-59</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W w:type="dxa" w:w="5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Tarsus Diagnostics, Hemo Nanotech, Synkromax Biotech, Aris Infotech, Raksha TechnoSolutions, Dhruva Space, Anuvu Biosolutions, Cellix Bio</w:t>
            </w:r>
          </w:p>
        </w:tc>
      </w:tr>
    </w:tbl>
    <w:p>
      <w:pPr>
        <w:spacing w:after="0" w:before="80"/>
      </w:pPr>
      <w:r>
        <w:t xml:space="preserve"/>
      </w:r>
    </w:p>
    <w:p>
      <w:pPr>
        <w:spacing w:after="80" w:before="60"/>
        <w:jc w:val="both"/>
      </w:pPr>
      <w:r>
        <w:rPr>
          <w:rFonts w:ascii="Arial" w:cs="Arial" w:eastAsia="Arial" w:hAnsi="Arial"/>
          <w:sz w:val="20"/>
          <w:szCs w:val="20"/>
        </w:rPr>
        <w:t xml:space="preserve">A-band companies are textbook Federer: PhD or IIT/ex-ISRO founders, WHO-prequalified or USFDA-audited manufacturing, and 2+ active growth signals. C-band companies have strong founders (mostly PhD/IIT) and good sector positioning but lack confirmed IP or regulatory differentiation at the C3 level -- worth watching but not prioritising in the first outreach wave.</w:t>
      </w:r>
    </w:p>
    <w:p>
      <w:pPr>
        <w:spacing w:after="0" w:before="80"/>
      </w:pPr>
      <w:r>
        <w:t xml:space="preserve"/>
      </w:r>
    </w:p>
    <w:p>
      <w:pPr>
        <w:pStyle w:val="Heading2"/>
        <w:pBdr>
          <w:bottom w:val="single" w:color="2E75B6" w:sz="4" w:space="2"/>
        </w:pBdr>
        <w:spacing w:after="80" w:before="240"/>
      </w:pPr>
      <w:r>
        <w:rPr>
          <w:rFonts w:ascii="Arial" w:cs="Arial" w:eastAsia="Arial" w:hAnsi="Arial"/>
          <w:b/>
          <w:bCs/>
          <w:color w:val="1F4E79"/>
          <w:sz w:val="22"/>
          <w:szCs w:val="22"/>
        </w:rPr>
        <w:t xml:space="preserve">What the C-band Score Means</w:t>
      </w:r>
    </w:p>
    <w:p>
      <w:pPr>
        <w:spacing w:after="80" w:before="60"/>
        <w:jc w:val="both"/>
      </w:pPr>
      <w:r>
        <w:rPr>
          <w:rFonts w:ascii="Arial" w:cs="Arial" w:eastAsia="Arial" w:hAnsi="Arial"/>
          <w:sz w:val="20"/>
          <w:szCs w:val="20"/>
        </w:rPr>
        <w:t xml:space="preserve">Eight companies were included in C-band (40-59). Their C3 scored Weak -- meaning no confirmed patent, DSIR recognition, or regulatory approval was found despite strong C4 (technical founder) and C5 (sector tailwind) scores. This is a specific and meaningful weakness: it says the company has a capable founder in a good market, but has not yet built a documented IP or regulatory moat. These companies may be early in their growth curve or simply have not publicised their credentials clearly.</w:t>
      </w:r>
    </w:p>
    <w:p>
      <w:pPr>
        <w:spacing w:after="0" w:before="80"/>
      </w:pPr>
      <w:r>
        <w:t xml:space="preserve"/>
      </w:r>
    </w:p>
    <w:p>
      <w:pPr>
        <w:pStyle w:val="Heading2"/>
        <w:pBdr>
          <w:bottom w:val="single" w:color="2E75B6" w:sz="4" w:space="2"/>
        </w:pBdr>
        <w:spacing w:after="80" w:before="240"/>
      </w:pPr>
      <w:r>
        <w:rPr>
          <w:rFonts w:ascii="Arial" w:cs="Arial" w:eastAsia="Arial" w:hAnsi="Arial"/>
          <w:b/>
          <w:bCs/>
          <w:color w:val="1F4E79"/>
          <w:sz w:val="22"/>
          <w:szCs w:val="22"/>
        </w:rPr>
        <w:t xml:space="preserve">Segments Covered</w:t>
      </w:r>
    </w:p>
    <w:p>
      <w:pPr>
        <w:pStyle w:val="ListParagraph"/>
        <w:numPr>
          <w:ilvl w:val="0"/>
          <w:numId w:val="2"/>
        </w:numPr>
        <w:spacing w:after="40" w:before="40"/>
      </w:pPr>
      <w:r>
        <w:rPr>
          <w:rFonts w:ascii="Arial" w:cs="Arial" w:eastAsia="Arial" w:hAnsi="Arial"/>
          <w:sz w:val="20"/>
          <w:szCs w:val="20"/>
        </w:rPr>
        <w:t xml:space="preserve">Specialty biotech (recombinant proteins, vaccines, fermentation APIs)</w:t>
      </w:r>
    </w:p>
    <w:p>
      <w:pPr>
        <w:pStyle w:val="ListParagraph"/>
        <w:numPr>
          <w:ilvl w:val="0"/>
          <w:numId w:val="2"/>
        </w:numPr>
        <w:spacing w:after="40" w:before="40"/>
      </w:pPr>
      <w:r>
        <w:rPr>
          <w:rFonts w:ascii="Arial" w:cs="Arial" w:eastAsia="Arial" w:hAnsi="Arial"/>
          <w:sz w:val="20"/>
          <w:szCs w:val="20"/>
        </w:rPr>
        <w:t xml:space="preserve">Complex APIs (HPAPIs, peptide APIs, fermentation-derived APIs)</w:t>
      </w:r>
    </w:p>
    <w:p>
      <w:pPr>
        <w:pStyle w:val="ListParagraph"/>
        <w:numPr>
          <w:ilvl w:val="0"/>
          <w:numId w:val="2"/>
        </w:numPr>
        <w:spacing w:after="40" w:before="40"/>
      </w:pPr>
      <w:r>
        <w:rPr>
          <w:rFonts w:ascii="Arial" w:cs="Arial" w:eastAsia="Arial" w:hAnsi="Arial"/>
          <w:sz w:val="20"/>
          <w:szCs w:val="20"/>
        </w:rPr>
        <w:t xml:space="preserve">Defence electronics and aerospace (SDR, simulation, orbital systems, GNSS chips)</w:t>
      </w:r>
    </w:p>
    <w:p>
      <w:pPr>
        <w:pStyle w:val="ListParagraph"/>
        <w:numPr>
          <w:ilvl w:val="0"/>
          <w:numId w:val="2"/>
        </w:numPr>
        <w:spacing w:after="40" w:before="40"/>
      </w:pPr>
      <w:r>
        <w:rPr>
          <w:rFonts w:ascii="Arial" w:cs="Arial" w:eastAsia="Arial" w:hAnsi="Arial"/>
          <w:sz w:val="20"/>
          <w:szCs w:val="20"/>
        </w:rPr>
        <w:t xml:space="preserve">Specialty chemicals (custom synthesis, chiral intermediates, amino acids)</w:t>
      </w:r>
    </w:p>
    <w:p>
      <w:pPr>
        <w:pStyle w:val="ListParagraph"/>
        <w:numPr>
          <w:ilvl w:val="0"/>
          <w:numId w:val="2"/>
        </w:numPr>
        <w:spacing w:after="40" w:before="40"/>
      </w:pPr>
      <w:r>
        <w:rPr>
          <w:rFonts w:ascii="Arial" w:cs="Arial" w:eastAsia="Arial" w:hAnsi="Arial"/>
          <w:sz w:val="20"/>
          <w:szCs w:val="20"/>
        </w:rPr>
        <w:t xml:space="preserve">Medical devices and IVD (diagnostic kits, microfluidics, process analyzers)</w:t>
      </w:r>
    </w:p>
    <w:p>
      <w:pPr>
        <w:pStyle w:val="ListParagraph"/>
        <w:numPr>
          <w:ilvl w:val="0"/>
          <w:numId w:val="2"/>
        </w:numPr>
        <w:spacing w:after="40" w:before="40"/>
      </w:pPr>
      <w:r>
        <w:rPr>
          <w:rFonts w:ascii="Arial" w:cs="Arial" w:eastAsia="Arial" w:hAnsi="Arial"/>
          <w:sz w:val="20"/>
          <w:szCs w:val="20"/>
        </w:rPr>
        <w:t xml:space="preserve">Hybrid seeds and nutraceutical ingredients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FFFFFF"/>
      <w:sz w:val="26"/>
      <w:szCs w:val="26"/>
    </w:rPr>
  </w:style>
  <w:style w:type="paragraph" w:styleId="Heading2">
    <w:name w:val="Heading 2"/>
    <w:basedOn w:val="Normal"/>
    <w:next w:val="Normal"/>
    <w:qFormat/>
    <w:pPr>
      <w:spacing w:after="80" w:before="24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2026-05-04T11:47:10.489Z</dcterms:created>
  <dcterms:modified xsi:type="dcterms:W3CDTF">2026-05-04T11:47:10.506Z</dcterms:modified>
</cp:coreProperties>
</file>

<file path=docProps/custom.xml><?xml version="1.0" encoding="utf-8"?>
<Properties xmlns="http://schemas.openxmlformats.org/officeDocument/2006/custom-properties" xmlns:vt="http://schemas.openxmlformats.org/officeDocument/2006/docPropsVTypes"/>
</file>