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7181A"/>
          <w:sz w:val="56"/>
          <w:szCs w:val="56"/>
        </w:rPr>
        <w:t xml:space="preserve">BinderSync</w:t>
      </w:r>
    </w:p>
    <w:p>
      <w:pPr>
        <w:spacing w:after="60"/>
      </w:pPr>
      <w:r>
        <w:rPr>
          <w:b/>
          <w:bCs/>
          <w:color w:val="B33A2E"/>
          <w:sz w:val="26"/>
          <w:szCs w:val="26"/>
        </w:rPr>
        <w:t xml:space="preserve">Launch Checklist — bindersync.com</w:t>
      </w:r>
    </w:p>
    <w:p>
      <w:pPr>
        <w:pBdr>
          <w:bottom w:val="single" w:color="17181A" w:sz="6"/>
        </w:pBdr>
        <w:spacing w:after="200"/>
      </w:pPr>
      <w:r>
        <w:rPr>
          <w:i/>
          <w:iCs/>
          <w:color w:val="666666"/>
          <w:sz w:val="20"/>
          <w:szCs w:val="20"/>
        </w:rPr>
        <w:t xml:space="preserve">Prepared July 2026 · App code complete, committed to git, and verified locally</w:t>
      </w:r>
    </w:p>
    <w:p>
      <w:pPr>
        <w:pStyle w:val="Heading1"/>
        <w:spacing w:after="120" w:before="300"/>
      </w:pPr>
      <w:r>
        <w:rPr>
          <w:color w:val="17181A"/>
        </w:rPr>
        <w:t xml:space="preserve">Where things stand</w:t>
      </w:r>
    </w:p>
    <w:p>
      <w:pPr>
        <w:spacing w:after="100" w:line="276"/>
      </w:pPr>
      <w:r>
        <w:t xml:space="preserve">The application itself is finished and building cleanly: card catalog (~21,000 cards across every physical era), binder viewer with master sets, collection dashboard, Master-gated sell binders with QR share pages, accounts, and full Stripe billing wiring (checkout, webhook with cancellation handling, and billing portal). What remains is standing up the online services around it. Items marked [YOU] need your accounts or decisions; items marked [CLAUDE] I can run as soon as you hand me what they depend on.</w:t>
      </w:r>
    </w:p>
    <w:p>
      <w:pPr>
        <w:pStyle w:val="ListParagraph"/>
        <w:numPr>
          <w:ilvl w:val="0"/>
          <w:numId w:val="2"/>
        </w:numPr>
        <w:spacing w:after="60" w:line="276"/>
      </w:pPr>
      <w:r>
        <w:rPr>
          <w:strike/>
          <w:color w:val="666666"/>
        </w:rPr>
        <w:t xml:space="preserve">Step 1 — pokemontcg.io API key added to .env</w:t>
      </w:r>
    </w:p>
    <w:p>
      <w:pPr>
        <w:spacing w:after="100" w:line="276"/>
      </w:pPr>
      <w:r>
        <w:rPr>
          <w:color w:val="666666"/>
          <w:sz w:val="20"/>
          <w:szCs w:val="20"/>
        </w:rPr>
        <w:t xml:space="preserve">Done. Ingest runs now use your key automatically, and it goes into GitHub/Vercel settings in the steps below.</w:t>
      </w:r>
    </w:p>
    <w:p>
      <w:pPr>
        <w:pStyle w:val="Heading1"/>
        <w:spacing w:after="120" w:before="300"/>
      </w:pPr>
      <w:r>
        <w:rPr>
          <w:color w:val="17181A"/>
        </w:rPr>
        <w:t xml:space="preserve">Step 2 — GitHub</w:t>
      </w:r>
    </w:p>
    <w:p>
      <w:pPr>
        <w:pStyle w:val="ListParagraph"/>
        <w:numPr>
          <w:ilvl w:val="0"/>
          <w:numId w:val="2"/>
        </w:numPr>
        <w:spacing w:after="60" w:line="276"/>
      </w:pPr>
      <w:r>
        <w:rPr>
          <w:b/>
          <w:bCs/>
          <w:color w:val="B33A2E"/>
        </w:rPr>
        <w:t xml:space="preserve">[YOU] </w:t>
      </w:r>
      <w:r>
        <w:t xml:space="preserve">Create an empty repository (e.g. </w:t>
      </w:r>
      <w:r>
        <w:rPr>
          <w:rFonts w:ascii="Consolas" w:cs="Consolas" w:eastAsia="Consolas" w:hAnsi="Consolas"/>
          <w:sz w:val="19"/>
          <w:szCs w:val="19"/>
        </w:rPr>
        <w:t xml:space="preserve">bindersync</w:t>
      </w:r>
      <w:r>
        <w:t xml:space="preserve">) at github.com. Private is fine, but note the nightly ingest workflow uses ~45 min/day of Actions time — free and unlimited on public repos, but roughly 1,350 of the 2,000 free monthly minutes on private ones.</w:t>
      </w:r>
    </w:p>
    <w:p>
      <w:pPr>
        <w:pStyle w:val="ListParagraph"/>
        <w:numPr>
          <w:ilvl w:val="0"/>
          <w:numId w:val="2"/>
        </w:numPr>
        <w:spacing w:after="60" w:line="276"/>
      </w:pPr>
      <w:r>
        <w:rPr>
          <w:b/>
          <w:bCs/>
          <w:color w:val="2F6F4F"/>
        </w:rPr>
        <w:t xml:space="preserve">[CLAUDE] </w:t>
      </w:r>
      <w:r>
        <w:t xml:space="preserve">Push the existing local repo (one commit, ready to go) once you send me the repository URL.</w:t>
      </w:r>
    </w:p>
    <w:p>
      <w:pPr>
        <w:pStyle w:val="ListParagraph"/>
        <w:numPr>
          <w:ilvl w:val="0"/>
          <w:numId w:val="2"/>
        </w:numPr>
        <w:spacing w:after="60" w:line="276"/>
      </w:pPr>
      <w:r>
        <w:rPr>
          <w:b/>
          <w:bCs/>
          <w:color w:val="B33A2E"/>
        </w:rPr>
        <w:t xml:space="preserve">[YOU] </w:t>
      </w:r>
      <w:r>
        <w:t xml:space="preserve">Repo Settings → Secrets and variables → Actions: add </w:t>
      </w:r>
      <w:r>
        <w:rPr>
          <w:rFonts w:ascii="Consolas" w:cs="Consolas" w:eastAsia="Consolas" w:hAnsi="Consolas"/>
          <w:sz w:val="19"/>
          <w:szCs w:val="19"/>
        </w:rPr>
        <w:t xml:space="preserve">DATABASE_URL</w:t>
      </w:r>
      <w:r>
        <w:t xml:space="preserve"> (Supabase direct URL, from Step 3) and </w:t>
      </w:r>
      <w:r>
        <w:rPr>
          <w:rFonts w:ascii="Consolas" w:cs="Consolas" w:eastAsia="Consolas" w:hAnsi="Consolas"/>
          <w:sz w:val="19"/>
          <w:szCs w:val="19"/>
        </w:rPr>
        <w:t xml:space="preserve">POKEMONTCG_API_KEY</w:t>
      </w:r>
      <w:r>
        <w:t xml:space="preserve">. This arms the nightly card-catalog refresh workflow — it is also what eventually fills in reverse holos for brand-new sets like Chaos Rising once TCGplayer publishes prices.</w:t>
      </w:r>
    </w:p>
    <w:p>
      <w:pPr>
        <w:pStyle w:val="Heading1"/>
        <w:spacing w:after="120" w:before="300"/>
      </w:pPr>
      <w:r>
        <w:rPr>
          <w:color w:val="17181A"/>
        </w:rPr>
        <w:t xml:space="preserve">Step 3 — Database (Supabase)</w:t>
      </w:r>
    </w:p>
    <w:p>
      <w:pPr>
        <w:pStyle w:val="ListParagraph"/>
        <w:numPr>
          <w:ilvl w:val="0"/>
          <w:numId w:val="2"/>
        </w:numPr>
        <w:spacing w:after="60" w:line="276"/>
      </w:pPr>
      <w:r>
        <w:rPr>
          <w:b/>
          <w:bCs/>
          <w:color w:val="B33A2E"/>
        </w:rPr>
        <w:t xml:space="preserve">[YOU] </w:t>
      </w:r>
      <w:r>
        <w:t xml:space="preserve">Create a free account at supabase.com and make a project (pick a US region and a strong database password — you'll need it for the connection strings).</w:t>
      </w:r>
    </w:p>
    <w:p>
      <w:pPr>
        <w:pStyle w:val="ListParagraph"/>
        <w:numPr>
          <w:ilvl w:val="0"/>
          <w:numId w:val="2"/>
        </w:numPr>
        <w:spacing w:after="60" w:line="276"/>
      </w:pPr>
      <w:r>
        <w:rPr>
          <w:b/>
          <w:bCs/>
          <w:color w:val="B33A2E"/>
        </w:rPr>
        <w:t xml:space="preserve">[YOU] </w:t>
      </w:r>
      <w:r>
        <w:t xml:space="preserve">From the project's Connect dialog, copy </w:t>
      </w:r>
      <w:r>
        <w:rPr>
          <w:b/>
          <w:bCs/>
        </w:rPr>
        <w:t xml:space="preserve">both</w:t>
      </w:r>
      <w:r>
        <w:t xml:space="preserve"> connection strings: the </w:t>
      </w:r>
      <w:r>
        <w:rPr>
          <w:b/>
          <w:bCs/>
        </w:rPr>
        <w:t xml:space="preserve">transaction pooler</w:t>
      </w:r>
      <w:r>
        <w:t xml:space="preserve"> URL (port 6543) — used by the app on Vercel — and the </w:t>
      </w:r>
      <w:r>
        <w:rPr>
          <w:b/>
          <w:bCs/>
        </w:rPr>
        <w:t xml:space="preserve">direct/session</w:t>
      </w:r>
      <w:r>
        <w:t xml:space="preserve"> URL (port 5432) — used for migrations, seeding, and the nightly GitHub Action.</w:t>
      </w:r>
    </w:p>
    <w:p>
      <w:pPr>
        <w:pStyle w:val="ListParagraph"/>
        <w:numPr>
          <w:ilvl w:val="0"/>
          <w:numId w:val="2"/>
        </w:numPr>
        <w:spacing w:after="60" w:line="276"/>
      </w:pPr>
      <w:r>
        <w:rPr>
          <w:b/>
          <w:bCs/>
          <w:color w:val="2F6F4F"/>
        </w:rPr>
        <w:t xml:space="preserve">[CLAUDE] </w:t>
      </w:r>
      <w:r>
        <w:t xml:space="preserve">With the direct URL I run the four migrations (</w:t>
      </w:r>
      <w:r>
        <w:rPr>
          <w:rFonts w:ascii="Consolas" w:cs="Consolas" w:eastAsia="Consolas" w:hAnsi="Consolas"/>
          <w:sz w:val="19"/>
          <w:szCs w:val="19"/>
        </w:rPr>
        <w:t xml:space="preserve">npm run migrate:deploy</w:t>
      </w:r>
      <w:r>
        <w:t xml:space="preserve">) and seed the full catalog (</w:t>
      </w:r>
      <w:r>
        <w:rPr>
          <w:rFonts w:ascii="Consolas" w:cs="Consolas" w:eastAsia="Consolas" w:hAnsi="Consolas"/>
          <w:sz w:val="19"/>
          <w:szCs w:val="19"/>
        </w:rPr>
        <w:t xml:space="preserve">npm run ingest -- --details</w:t>
      </w:r>
      <w:r>
        <w:t xml:space="preserve">, 30–45 minutes). Alternatively I can copy your local database wholesale so your existing account and collection carry over.</w:t>
      </w:r>
    </w:p>
    <w:p>
      <w:pPr>
        <w:spacing w:after="100" w:line="276"/>
      </w:pPr>
      <w:r>
        <w:rPr>
          <w:color w:val="666666"/>
          <w:sz w:val="20"/>
          <w:szCs w:val="20"/>
        </w:rPr>
        <w:t xml:space="preserve">Note: BinderSync only uses Supabase's Postgres — its Auth/Storage/Realtime features stay unused (our auth is Auth.js). That's fine; the free tier's 500 MB database comfortably fits the ~21k-card catalog. One quirk to know: free-tier projects pause after a week with no traffic, so visit the dashboard once after long idle stretches during development.</w:t>
      </w:r>
    </w:p>
    <w:p>
      <w:pPr>
        <w:pStyle w:val="Heading1"/>
        <w:spacing w:after="120" w:before="300"/>
      </w:pPr>
      <w:r>
        <w:rPr>
          <w:color w:val="17181A"/>
        </w:rPr>
        <w:t xml:space="preserve">Step 4 — Hosting (Vercel)</w:t>
      </w:r>
    </w:p>
    <w:p>
      <w:pPr>
        <w:pStyle w:val="ListParagraph"/>
        <w:numPr>
          <w:ilvl w:val="0"/>
          <w:numId w:val="2"/>
        </w:numPr>
        <w:spacing w:after="60" w:line="276"/>
      </w:pPr>
      <w:r>
        <w:rPr>
          <w:b/>
          <w:bCs/>
          <w:color w:val="B33A2E"/>
        </w:rPr>
        <w:t xml:space="preserve">[YOU] </w:t>
      </w:r>
      <w:r>
        <w:t xml:space="preserve">Sign up at vercel.com with your GitHub account and import the repo. The build is preconfigured (</w:t>
      </w:r>
      <w:r>
        <w:rPr>
          <w:rFonts w:ascii="Consolas" w:cs="Consolas" w:eastAsia="Consolas" w:hAnsi="Consolas"/>
          <w:sz w:val="19"/>
          <w:szCs w:val="19"/>
        </w:rPr>
        <w:t xml:space="preserve">npm run build</w:t>
      </w:r>
      <w:r>
        <w:t xml:space="preserve"> regenerates the Prisma client), so no settings changes are needed.</w:t>
      </w:r>
    </w:p>
    <w:p>
      <w:pPr>
        <w:pStyle w:val="ListParagraph"/>
        <w:numPr>
          <w:ilvl w:val="0"/>
          <w:numId w:val="2"/>
        </w:numPr>
        <w:spacing w:after="60" w:line="276"/>
      </w:pPr>
      <w:r>
        <w:rPr>
          <w:b/>
          <w:bCs/>
          <w:color w:val="B33A2E"/>
        </w:rPr>
        <w:t xml:space="preserve">[YOU] </w:t>
      </w:r>
      <w:r>
        <w:t xml:space="preserve">Add the environment variables below in the Vercel project settings.</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2600"/>
        <w:gridCol w:w="4800"/>
      </w:tblGrid>
      <w:tr>
        <w:tc>
          <w:tcPr>
            <w:tcW w:type="dxa" w:w="2600"/>
            <w:shd w:fill="F2EDE2" w:val="clear"/>
            <w:tcMar>
              <w:top w:type="dxa" w:w="60"/>
              <w:left w:type="dxa" w:w="100"/>
              <w:bottom w:type="dxa" w:w="60"/>
              <w:right w:type="dxa" w:w="100"/>
            </w:tcMar>
          </w:tcPr>
          <w:p>
            <w:pPr>
              <w:spacing w:after="0"/>
            </w:pPr>
            <w:r>
              <w:rPr>
                <w:b/>
                <w:bCs/>
                <w:sz w:val="20"/>
                <w:szCs w:val="20"/>
              </w:rPr>
              <w:t xml:space="preserve">Variable</w:t>
            </w:r>
          </w:p>
        </w:tc>
        <w:tc>
          <w:tcPr>
            <w:tcW w:type="dxa" w:w="4800"/>
            <w:shd w:fill="F2EDE2" w:val="clear"/>
            <w:tcMar>
              <w:top w:type="dxa" w:w="60"/>
              <w:left w:type="dxa" w:w="100"/>
              <w:bottom w:type="dxa" w:w="60"/>
              <w:right w:type="dxa" w:w="100"/>
            </w:tcMar>
          </w:tcPr>
          <w:p>
            <w:pPr>
              <w:spacing w:after="0"/>
            </w:pPr>
            <w:r>
              <w:rPr>
                <w:b/>
                <w:bCs/>
                <w:sz w:val="20"/>
                <w:szCs w:val="20"/>
              </w:rPr>
              <w:t xml:space="preserve">Value</w:t>
            </w:r>
          </w:p>
        </w:tc>
      </w:tr>
      <w:tr>
        <w:tc>
          <w:tcPr>
            <w:tcW w:type="dxa" w:w="2600"/>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DATABASE_URL</w:t>
            </w:r>
          </w:p>
        </w:tc>
        <w:tc>
          <w:tcPr>
            <w:tcW w:type="dxa" w:w="4800"/>
            <w:tcMar>
              <w:top w:type="dxa" w:w="60"/>
              <w:left w:type="dxa" w:w="100"/>
              <w:bottom w:type="dxa" w:w="60"/>
              <w:right w:type="dxa" w:w="100"/>
            </w:tcMar>
          </w:tcPr>
          <w:p>
            <w:pPr>
              <w:spacing w:after="0"/>
            </w:pPr>
            <w:r>
              <w:rPr>
                <w:b w:val="false"/>
                <w:bCs w:val="false"/>
                <w:sz w:val="20"/>
                <w:szCs w:val="20"/>
              </w:rPr>
              <w:t xml:space="preserve">Supabase transaction-pooler URL, port 6543 (Step 3)</w:t>
            </w:r>
          </w:p>
        </w:tc>
      </w:tr>
      <w:tr>
        <w:tc>
          <w:tcPr>
            <w:tcW w:type="dxa" w:w="2600"/>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AUTH_SECRET</w:t>
            </w:r>
          </w:p>
        </w:tc>
        <w:tc>
          <w:tcPr>
            <w:tcW w:type="dxa" w:w="4800"/>
            <w:tcMar>
              <w:top w:type="dxa" w:w="60"/>
              <w:left w:type="dxa" w:w="100"/>
              <w:bottom w:type="dxa" w:w="60"/>
              <w:right w:type="dxa" w:w="100"/>
            </w:tcMar>
          </w:tcPr>
          <w:p>
            <w:pPr>
              <w:spacing w:after="0"/>
            </w:pPr>
            <w:r>
              <w:rPr>
                <w:b w:val="false"/>
                <w:bCs w:val="false"/>
                <w:sz w:val="20"/>
                <w:szCs w:val="20"/>
              </w:rPr>
              <w:t xml:space="preserve">Fresh random value — ask me to generate one; do not reuse the local one</w:t>
            </w:r>
          </w:p>
        </w:tc>
      </w:tr>
      <w:tr>
        <w:tc>
          <w:tcPr>
            <w:tcW w:type="dxa" w:w="2600"/>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POKEMONTCG_API_KEY</w:t>
            </w:r>
          </w:p>
        </w:tc>
        <w:tc>
          <w:tcPr>
            <w:tcW w:type="dxa" w:w="4800"/>
            <w:tcMar>
              <w:top w:type="dxa" w:w="60"/>
              <w:left w:type="dxa" w:w="100"/>
              <w:bottom w:type="dxa" w:w="60"/>
              <w:right w:type="dxa" w:w="100"/>
            </w:tcMar>
          </w:tcPr>
          <w:p>
            <w:pPr>
              <w:spacing w:after="0"/>
            </w:pPr>
            <w:r>
              <w:rPr>
                <w:b w:val="false"/>
                <w:bCs w:val="false"/>
                <w:sz w:val="20"/>
                <w:szCs w:val="20"/>
              </w:rPr>
              <w:t xml:space="preserve">Your pokemontcg.io key</w:t>
            </w:r>
          </w:p>
        </w:tc>
      </w:tr>
      <w:tr>
        <w:tc>
          <w:tcPr>
            <w:tcW w:type="dxa" w:w="2600"/>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STRIPE_SECRET_KEY</w:t>
            </w:r>
          </w:p>
        </w:tc>
        <w:tc>
          <w:tcPr>
            <w:tcW w:type="dxa" w:w="4800"/>
            <w:tcMar>
              <w:top w:type="dxa" w:w="60"/>
              <w:left w:type="dxa" w:w="100"/>
              <w:bottom w:type="dxa" w:w="60"/>
              <w:right w:type="dxa" w:w="100"/>
            </w:tcMar>
          </w:tcPr>
          <w:p>
            <w:pPr>
              <w:spacing w:after="0"/>
            </w:pPr>
            <w:r>
              <w:rPr>
                <w:b w:val="false"/>
                <w:bCs w:val="false"/>
                <w:sz w:val="20"/>
                <w:szCs w:val="20"/>
              </w:rPr>
              <w:t xml:space="preserve">From Step 6 (leave unset until then — billing degrades gracefully)</w:t>
            </w:r>
          </w:p>
        </w:tc>
      </w:tr>
      <w:tr>
        <w:tc>
          <w:tcPr>
            <w:tcW w:type="dxa" w:w="2600"/>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STRIPE_WEBHOOK_SECRET</w:t>
            </w:r>
          </w:p>
        </w:tc>
        <w:tc>
          <w:tcPr>
            <w:tcW w:type="dxa" w:w="4800"/>
            <w:tcMar>
              <w:top w:type="dxa" w:w="60"/>
              <w:left w:type="dxa" w:w="100"/>
              <w:bottom w:type="dxa" w:w="60"/>
              <w:right w:type="dxa" w:w="100"/>
            </w:tcMar>
          </w:tcPr>
          <w:p>
            <w:pPr>
              <w:spacing w:after="0"/>
            </w:pPr>
            <w:r>
              <w:rPr>
                <w:b w:val="false"/>
                <w:bCs w:val="false"/>
                <w:sz w:val="20"/>
                <w:szCs w:val="20"/>
              </w:rPr>
              <w:t xml:space="preserve">From Step 6</w:t>
            </w:r>
          </w:p>
        </w:tc>
      </w:tr>
      <w:tr>
        <w:tc>
          <w:tcPr>
            <w:tcW w:type="dxa" w:w="2600"/>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STRIPE_PRICE_ID_PRO</w:t>
            </w:r>
          </w:p>
        </w:tc>
        <w:tc>
          <w:tcPr>
            <w:tcW w:type="dxa" w:w="4800"/>
            <w:tcMar>
              <w:top w:type="dxa" w:w="60"/>
              <w:left w:type="dxa" w:w="100"/>
              <w:bottom w:type="dxa" w:w="60"/>
              <w:right w:type="dxa" w:w="100"/>
            </w:tcMar>
          </w:tcPr>
          <w:p>
            <w:pPr>
              <w:spacing w:after="0"/>
            </w:pPr>
            <w:r>
              <w:rPr>
                <w:b w:val="false"/>
                <w:bCs w:val="false"/>
                <w:sz w:val="20"/>
                <w:szCs w:val="20"/>
              </w:rPr>
              <w:t xml:space="preserve">From Step 6 — the $3/mo price</w:t>
            </w:r>
          </w:p>
        </w:tc>
      </w:tr>
      <w:tr>
        <w:tc>
          <w:tcPr>
            <w:tcW w:type="dxa" w:w="2600"/>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STRIPE_PRICE_ID_MASTER</w:t>
            </w:r>
          </w:p>
        </w:tc>
        <w:tc>
          <w:tcPr>
            <w:tcW w:type="dxa" w:w="4800"/>
            <w:tcMar>
              <w:top w:type="dxa" w:w="60"/>
              <w:left w:type="dxa" w:w="100"/>
              <w:bottom w:type="dxa" w:w="60"/>
              <w:right w:type="dxa" w:w="100"/>
            </w:tcMar>
          </w:tcPr>
          <w:p>
            <w:pPr>
              <w:spacing w:after="0"/>
            </w:pPr>
            <w:r>
              <w:rPr>
                <w:b w:val="false"/>
                <w:bCs w:val="false"/>
                <w:sz w:val="20"/>
                <w:szCs w:val="20"/>
              </w:rPr>
              <w:t xml:space="preserve">From Step 6 — the $6/mo price</w:t>
            </w:r>
          </w:p>
        </w:tc>
      </w:tr>
    </w:tbl>
    <w:p>
      <w:pPr>
        <w:pStyle w:val="Heading1"/>
        <w:spacing w:after="120" w:before="300"/>
      </w:pPr>
      <w:r>
        <w:rPr>
          <w:color w:val="17181A"/>
        </w:rPr>
        <w:t xml:space="preserve">Step 5 — Domain (Cloudflare DNS)</w:t>
      </w:r>
    </w:p>
    <w:p>
      <w:pPr>
        <w:pStyle w:val="ListParagraph"/>
        <w:numPr>
          <w:ilvl w:val="0"/>
          <w:numId w:val="2"/>
        </w:numPr>
        <w:spacing w:after="60" w:line="276"/>
      </w:pPr>
      <w:r>
        <w:rPr>
          <w:b/>
          <w:bCs/>
          <w:color w:val="B33A2E"/>
        </w:rPr>
        <w:t xml:space="preserve">[YOU] </w:t>
      </w:r>
      <w:r>
        <w:t xml:space="preserve">In the Vercel project → Domains, add </w:t>
      </w:r>
      <w:r>
        <w:rPr>
          <w:rFonts w:ascii="Consolas" w:cs="Consolas" w:eastAsia="Consolas" w:hAnsi="Consolas"/>
          <w:sz w:val="19"/>
          <w:szCs w:val="19"/>
        </w:rPr>
        <w:t xml:space="preserve">bindersync.com</w:t>
      </w:r>
      <w:r>
        <w:t xml:space="preserve"> and </w:t>
      </w:r>
      <w:r>
        <w:rPr>
          <w:rFonts w:ascii="Consolas" w:cs="Consolas" w:eastAsia="Consolas" w:hAnsi="Consolas"/>
          <w:sz w:val="19"/>
          <w:szCs w:val="19"/>
        </w:rPr>
        <w:t xml:space="preserve">www.bindersync.com</w:t>
      </w:r>
      <w:r>
        <w:t xml:space="preserve">.</w:t>
      </w:r>
    </w:p>
    <w:p>
      <w:pPr>
        <w:pStyle w:val="ListParagraph"/>
        <w:numPr>
          <w:ilvl w:val="0"/>
          <w:numId w:val="2"/>
        </w:numPr>
        <w:spacing w:after="60" w:line="276"/>
      </w:pPr>
      <w:r>
        <w:rPr>
          <w:b/>
          <w:bCs/>
          <w:color w:val="B33A2E"/>
        </w:rPr>
        <w:t xml:space="preserve">[YOU] </w:t>
      </w:r>
      <w:r>
        <w:t xml:space="preserve">In Cloudflare DNS, create the records Vercel shows:</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800"/>
      </w:tblGrid>
      <w:tr>
        <w:tc>
          <w:tcPr>
            <w:tcW w:type="dxa" w:w="1400"/>
            <w:shd w:fill="F2EDE2" w:val="clear"/>
            <w:tcMar>
              <w:top w:type="dxa" w:w="60"/>
              <w:left w:type="dxa" w:w="100"/>
              <w:bottom w:type="dxa" w:w="60"/>
              <w:right w:type="dxa" w:w="100"/>
            </w:tcMar>
          </w:tcPr>
          <w:p>
            <w:pPr>
              <w:spacing w:after="0"/>
            </w:pPr>
            <w:r>
              <w:rPr>
                <w:b/>
                <w:bCs/>
                <w:sz w:val="20"/>
                <w:szCs w:val="20"/>
              </w:rPr>
              <w:t xml:space="preserve">Type</w:t>
            </w:r>
          </w:p>
        </w:tc>
        <w:tc>
          <w:tcPr>
            <w:tcW w:type="dxa" w:w="2200"/>
            <w:shd w:fill="F2EDE2" w:val="clear"/>
            <w:tcMar>
              <w:top w:type="dxa" w:w="60"/>
              <w:left w:type="dxa" w:w="100"/>
              <w:bottom w:type="dxa" w:w="60"/>
              <w:right w:type="dxa" w:w="100"/>
            </w:tcMar>
          </w:tcPr>
          <w:p>
            <w:pPr>
              <w:spacing w:after="0"/>
            </w:pPr>
            <w:r>
              <w:rPr>
                <w:b/>
                <w:bCs/>
                <w:sz w:val="20"/>
                <w:szCs w:val="20"/>
              </w:rPr>
              <w:t xml:space="preserve">Name</w:t>
            </w:r>
          </w:p>
        </w:tc>
        <w:tc>
          <w:tcPr>
            <w:tcW w:type="dxa" w:w="3800"/>
            <w:shd w:fill="F2EDE2" w:val="clear"/>
            <w:tcMar>
              <w:top w:type="dxa" w:w="60"/>
              <w:left w:type="dxa" w:w="100"/>
              <w:bottom w:type="dxa" w:w="60"/>
              <w:right w:type="dxa" w:w="100"/>
            </w:tcMar>
          </w:tcPr>
          <w:p>
            <w:pPr>
              <w:spacing w:after="0"/>
            </w:pPr>
            <w:r>
              <w:rPr>
                <w:b/>
                <w:bCs/>
                <w:sz w:val="20"/>
                <w:szCs w:val="20"/>
              </w:rPr>
              <w:t xml:space="preserve">Value</w:t>
            </w:r>
          </w:p>
        </w:tc>
      </w:tr>
      <w:tr>
        <w:tc>
          <w:tcPr>
            <w:tcW w:type="dxa" w:w="1400"/>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A</w:t>
            </w:r>
          </w:p>
        </w:tc>
        <w:tc>
          <w:tcPr>
            <w:tcW w:type="dxa" w:w="2200"/>
            <w:tcMar>
              <w:top w:type="dxa" w:w="60"/>
              <w:left w:type="dxa" w:w="100"/>
              <w:bottom w:type="dxa" w:w="60"/>
              <w:right w:type="dxa" w:w="100"/>
            </w:tcMar>
          </w:tcPr>
          <w:p>
            <w:pPr>
              <w:spacing w:after="0"/>
            </w:pPr>
            <w:r>
              <w:rPr>
                <w:b w:val="false"/>
                <w:bCs w:val="false"/>
                <w:sz w:val="20"/>
                <w:szCs w:val="20"/>
              </w:rPr>
              <w:t xml:space="preserve">@</w:t>
            </w:r>
          </w:p>
        </w:tc>
        <w:tc>
          <w:tcPr>
            <w:tcW w:type="dxa" w:w="3800"/>
            <w:tcMar>
              <w:top w:type="dxa" w:w="60"/>
              <w:left w:type="dxa" w:w="100"/>
              <w:bottom w:type="dxa" w:w="60"/>
              <w:right w:type="dxa" w:w="100"/>
            </w:tcMar>
          </w:tcPr>
          <w:p>
            <w:pPr>
              <w:spacing w:after="0"/>
            </w:pPr>
            <w:r>
              <w:rPr>
                <w:b w:val="false"/>
                <w:bCs w:val="false"/>
                <w:sz w:val="20"/>
                <w:szCs w:val="20"/>
              </w:rPr>
              <w:t xml:space="preserve">76.76.21.21</w:t>
            </w:r>
          </w:p>
        </w:tc>
      </w:tr>
      <w:tr>
        <w:tc>
          <w:tcPr>
            <w:tcW w:type="dxa" w:w="1400"/>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CNAME</w:t>
            </w:r>
          </w:p>
        </w:tc>
        <w:tc>
          <w:tcPr>
            <w:tcW w:type="dxa" w:w="2200"/>
            <w:tcMar>
              <w:top w:type="dxa" w:w="60"/>
              <w:left w:type="dxa" w:w="100"/>
              <w:bottom w:type="dxa" w:w="60"/>
              <w:right w:type="dxa" w:w="100"/>
            </w:tcMar>
          </w:tcPr>
          <w:p>
            <w:pPr>
              <w:spacing w:after="0"/>
            </w:pPr>
            <w:r>
              <w:rPr>
                <w:b w:val="false"/>
                <w:bCs w:val="false"/>
                <w:sz w:val="20"/>
                <w:szCs w:val="20"/>
              </w:rPr>
              <w:t xml:space="preserve">www</w:t>
            </w:r>
          </w:p>
        </w:tc>
        <w:tc>
          <w:tcPr>
            <w:tcW w:type="dxa" w:w="3800"/>
            <w:tcMar>
              <w:top w:type="dxa" w:w="60"/>
              <w:left w:type="dxa" w:w="100"/>
              <w:bottom w:type="dxa" w:w="60"/>
              <w:right w:type="dxa" w:w="100"/>
            </w:tcMar>
          </w:tcPr>
          <w:p>
            <w:pPr>
              <w:spacing w:after="0"/>
            </w:pPr>
            <w:r>
              <w:rPr>
                <w:b w:val="false"/>
                <w:bCs w:val="false"/>
                <w:sz w:val="20"/>
                <w:szCs w:val="20"/>
              </w:rPr>
              <w:t xml:space="preserve">cname.vercel-dns.com</w:t>
            </w:r>
          </w:p>
        </w:tc>
      </w:tr>
    </w:tbl>
    <w:p>
      <w:pPr>
        <w:spacing w:after="100" w:line="276"/>
      </w:pPr>
      <w:r>
        <w:rPr>
          <w:b/>
          <w:bCs/>
        </w:rPr>
        <w:t xml:space="preserve">Important: </w:t>
      </w:r>
      <w:r>
        <w:t xml:space="preserve">set both records to </w:t>
      </w:r>
      <w:r>
        <w:rPr>
          <w:b/>
          <w:bCs/>
        </w:rPr>
        <w:t xml:space="preserve">DNS only (grey cloud)</w:t>
      </w:r>
      <w:r>
        <w:t xml:space="preserve">, not Proxied. Vercel terminates TLS itself; proxying through Cloudflare causes redirect loops unless SSL mode is set to Full (Strict). This is the single most common launch-day mistake with this combination.</w:t>
      </w:r>
    </w:p>
    <w:p>
      <w:pPr>
        <w:spacing w:after="100" w:line="276"/>
      </w:pPr>
      <w:r>
        <w:t xml:space="preserve">Once DNS propagates, the Sell Binder QR codes and share links automatically use the real domain — no code change needed.</w:t>
      </w:r>
    </w:p>
    <w:p>
      <w:pPr>
        <w:pStyle w:val="Heading1"/>
        <w:spacing w:after="120" w:before="300"/>
      </w:pPr>
      <w:r>
        <w:rPr>
          <w:color w:val="17181A"/>
        </w:rPr>
        <w:t xml:space="preserve">Step 6 — Payments (Stripe)</w:t>
      </w:r>
    </w:p>
    <w:p>
      <w:pPr>
        <w:pStyle w:val="ListParagraph"/>
        <w:numPr>
          <w:ilvl w:val="0"/>
          <w:numId w:val="2"/>
        </w:numPr>
        <w:spacing w:after="60" w:line="276"/>
      </w:pPr>
      <w:r>
        <w:rPr>
          <w:b/>
          <w:bCs/>
          <w:color w:val="B33A2E"/>
        </w:rPr>
        <w:t xml:space="preserve">[YOU] </w:t>
      </w:r>
      <w:r>
        <w:t xml:space="preserve">Create a Stripe account. Start in test mode.</w:t>
      </w:r>
    </w:p>
    <w:p>
      <w:pPr>
        <w:pStyle w:val="ListParagraph"/>
        <w:numPr>
          <w:ilvl w:val="0"/>
          <w:numId w:val="2"/>
        </w:numPr>
        <w:spacing w:after="60" w:line="276"/>
      </w:pPr>
      <w:r>
        <w:rPr>
          <w:b/>
          <w:bCs/>
          <w:color w:val="B33A2E"/>
        </w:rPr>
        <w:t xml:space="preserve">[YOU] </w:t>
      </w:r>
      <w:r>
        <w:t xml:space="preserve">Products: create two recurring prices — Pro at $3/month and Master at $6/month. Copy both price IDs (</w:t>
      </w:r>
      <w:r>
        <w:rPr>
          <w:rFonts w:ascii="Consolas" w:cs="Consolas" w:eastAsia="Consolas" w:hAnsi="Consolas"/>
          <w:sz w:val="19"/>
          <w:szCs w:val="19"/>
        </w:rPr>
        <w:t xml:space="preserve">price_...</w:t>
      </w:r>
      <w:r>
        <w:t xml:space="preserve">) into Vercel env vars.</w:t>
      </w:r>
    </w:p>
    <w:p>
      <w:pPr>
        <w:pStyle w:val="ListParagraph"/>
        <w:numPr>
          <w:ilvl w:val="0"/>
          <w:numId w:val="2"/>
        </w:numPr>
        <w:spacing w:after="60" w:line="276"/>
      </w:pPr>
      <w:r>
        <w:rPr>
          <w:b/>
          <w:bCs/>
          <w:color w:val="B33A2E"/>
        </w:rPr>
        <w:t xml:space="preserve">[YOU] </w:t>
      </w:r>
      <w:r>
        <w:t xml:space="preserve">Developers → Webhooks: add endpoint </w:t>
      </w:r>
      <w:r>
        <w:rPr>
          <w:rFonts w:ascii="Consolas" w:cs="Consolas" w:eastAsia="Consolas" w:hAnsi="Consolas"/>
          <w:sz w:val="19"/>
          <w:szCs w:val="19"/>
        </w:rPr>
        <w:t xml:space="preserve">https://bindersync.com/api/stripe/webhook</w:t>
      </w:r>
      <w:r>
        <w:t xml:space="preserve"> with events </w:t>
      </w:r>
      <w:r>
        <w:rPr>
          <w:rFonts w:ascii="Consolas" w:cs="Consolas" w:eastAsia="Consolas" w:hAnsi="Consolas"/>
          <w:sz w:val="19"/>
          <w:szCs w:val="19"/>
        </w:rPr>
        <w:t xml:space="preserve">checkout.session.completed</w:t>
      </w:r>
      <w:r>
        <w:t xml:space="preserve">, </w:t>
      </w:r>
      <w:r>
        <w:rPr>
          <w:rFonts w:ascii="Consolas" w:cs="Consolas" w:eastAsia="Consolas" w:hAnsi="Consolas"/>
          <w:sz w:val="19"/>
          <w:szCs w:val="19"/>
        </w:rPr>
        <w:t xml:space="preserve">customer.subscription.updated</w:t>
      </w:r>
      <w:r>
        <w:t xml:space="preserve">, </w:t>
      </w:r>
      <w:r>
        <w:rPr>
          <w:rFonts w:ascii="Consolas" w:cs="Consolas" w:eastAsia="Consolas" w:hAnsi="Consolas"/>
          <w:sz w:val="19"/>
          <w:szCs w:val="19"/>
        </w:rPr>
        <w:t xml:space="preserve">customer.subscription.deleted</w:t>
      </w:r>
      <w:r>
        <w:t xml:space="preserve">. Copy the signing secret into </w:t>
      </w:r>
      <w:r>
        <w:rPr>
          <w:rFonts w:ascii="Consolas" w:cs="Consolas" w:eastAsia="Consolas" w:hAnsi="Consolas"/>
          <w:sz w:val="19"/>
          <w:szCs w:val="19"/>
        </w:rPr>
        <w:t xml:space="preserve">STRIPE_WEBHOOK_SECRET</w:t>
      </w:r>
      <w:r>
        <w:t xml:space="preserve">.</w:t>
      </w:r>
    </w:p>
    <w:p>
      <w:pPr>
        <w:pStyle w:val="ListParagraph"/>
        <w:numPr>
          <w:ilvl w:val="0"/>
          <w:numId w:val="2"/>
        </w:numPr>
        <w:spacing w:after="60" w:line="276"/>
      </w:pPr>
      <w:r>
        <w:rPr>
          <w:b/>
          <w:bCs/>
          <w:color w:val="B33A2E"/>
        </w:rPr>
        <w:t xml:space="preserve">[YOU] </w:t>
      </w:r>
      <w:r>
        <w:t xml:space="preserve">Settings → Billing → Customer portal: click Activate, so the dashboard's “Manage subscription” button works.</w:t>
      </w:r>
    </w:p>
    <w:p>
      <w:pPr>
        <w:pStyle w:val="ListParagraph"/>
        <w:numPr>
          <w:ilvl w:val="0"/>
          <w:numId w:val="2"/>
        </w:numPr>
        <w:spacing w:after="60" w:line="276"/>
      </w:pPr>
      <w:r>
        <w:rPr>
          <w:b/>
          <w:bCs/>
          <w:color w:val="2F6F4F"/>
        </w:rPr>
        <w:t xml:space="preserve">[CLAUDE] </w:t>
      </w:r>
      <w:r>
        <w:t xml:space="preserve">End-to-end test with Stripe's test card (4242 4242 4242 4242): upgrade, plan switch, cancellation → automatic downgrade to Free. Then you flip Stripe to live mode (requires your business/bank details) and we swap the four env vars.</w:t>
      </w:r>
    </w:p>
    <w:p>
      <w:pPr>
        <w:pStyle w:val="Heading1"/>
        <w:spacing w:after="120" w:before="300"/>
      </w:pPr>
      <w:r>
        <w:rPr>
          <w:color w:val="17181A"/>
        </w:rPr>
        <w:t xml:space="preserve">Step 7 — Email</w:t>
      </w:r>
    </w:p>
    <w:p>
      <w:pPr>
        <w:pStyle w:val="Heading2"/>
        <w:spacing w:after="100" w:before="220"/>
      </w:pPr>
      <w:r>
        <w:rPr>
          <w:color w:val="B33A2E"/>
        </w:rPr>
        <w:t xml:space="preserve">Mailbox (Google Workspace)</w:t>
      </w:r>
    </w:p>
    <w:p>
      <w:pPr>
        <w:pStyle w:val="ListParagraph"/>
        <w:numPr>
          <w:ilvl w:val="0"/>
          <w:numId w:val="2"/>
        </w:numPr>
        <w:spacing w:after="60" w:line="276"/>
      </w:pPr>
      <w:r>
        <w:rPr>
          <w:b/>
          <w:bCs/>
          <w:color w:val="B33A2E"/>
        </w:rPr>
        <w:t xml:space="preserve">[YOU] </w:t>
      </w:r>
      <w:r>
        <w:t xml:space="preserve">Sign up at workspace.google.com (Business Starter, $7/user/month) with </w:t>
      </w:r>
      <w:r>
        <w:rPr>
          <w:rFonts w:ascii="Consolas" w:cs="Consolas" w:eastAsia="Consolas" w:hAnsi="Consolas"/>
          <w:sz w:val="19"/>
          <w:szCs w:val="19"/>
        </w:rPr>
        <w:t xml:space="preserve">bindersync.com</w:t>
      </w:r>
      <w:r>
        <w:t xml:space="preserve">. During setup Google verifies domain ownership via a TXT record and has you add its MX record (</w:t>
      </w:r>
      <w:r>
        <w:rPr>
          <w:rFonts w:ascii="Consolas" w:cs="Consolas" w:eastAsia="Consolas" w:hAnsi="Consolas"/>
          <w:sz w:val="19"/>
          <w:szCs w:val="19"/>
        </w:rPr>
        <w:t xml:space="preserve">smtp.google.com</w:t>
      </w:r>
      <w:r>
        <w:t xml:space="preserve">, priority 1) — both go in Cloudflare DNS, set to DNS only (grey cloud), same as the site records.</w:t>
      </w:r>
    </w:p>
    <w:p>
      <w:pPr>
        <w:pStyle w:val="ListParagraph"/>
        <w:numPr>
          <w:ilvl w:val="0"/>
          <w:numId w:val="2"/>
        </w:numPr>
        <w:spacing w:after="60" w:line="276"/>
      </w:pPr>
      <w:r>
        <w:rPr>
          <w:b/>
          <w:bCs/>
          <w:color w:val="B33A2E"/>
        </w:rPr>
        <w:t xml:space="preserve">[YOU] </w:t>
      </w:r>
      <w:r>
        <w:t xml:space="preserve">Create </w:t>
      </w:r>
      <w:r>
        <w:rPr>
          <w:rFonts w:ascii="Consolas" w:cs="Consolas" w:eastAsia="Consolas" w:hAnsi="Consolas"/>
          <w:sz w:val="19"/>
          <w:szCs w:val="19"/>
        </w:rPr>
        <w:t xml:space="preserve">support@bindersync.com</w:t>
      </w:r>
      <w:r>
        <w:t xml:space="preserve"> (as your main user or an alias). You get a full Gmail inbox on the domain — sending and receiving both work natively, no forwarding tricks needed.</w:t>
      </w:r>
    </w:p>
    <w:p>
      <w:pPr>
        <w:pStyle w:val="ListParagraph"/>
        <w:numPr>
          <w:ilvl w:val="0"/>
          <w:numId w:val="2"/>
        </w:numPr>
        <w:spacing w:after="60" w:line="276"/>
      </w:pPr>
      <w:r>
        <w:rPr>
          <w:b/>
          <w:bCs/>
          <w:color w:val="B33A2E"/>
        </w:rPr>
        <w:t xml:space="preserve">[YOU] </w:t>
      </w:r>
      <w:r>
        <w:t xml:space="preserve">Recommended while you're in there: enable DKIM signing (Admin console → Apps → Google Workspace → Gmail → Authenticate email) and add an SPF record — Google's wizard provides both. This keeps your human email out of spam folders.</w:t>
      </w:r>
    </w:p>
    <w:p>
      <w:pPr>
        <w:pStyle w:val="Heading2"/>
        <w:spacing w:after="100" w:before="220"/>
      </w:pPr>
      <w:r>
        <w:rPr>
          <w:color w:val="B33A2E"/>
        </w:rPr>
        <w:t xml:space="preserve">App email (Resend)</w:t>
      </w:r>
    </w:p>
    <w:p>
      <w:pPr>
        <w:pStyle w:val="ListParagraph"/>
        <w:numPr>
          <w:ilvl w:val="0"/>
          <w:numId w:val="2"/>
        </w:numPr>
        <w:spacing w:after="60" w:line="276"/>
      </w:pPr>
      <w:r>
        <w:rPr>
          <w:b/>
          <w:bCs/>
          <w:color w:val="B33A2E"/>
        </w:rPr>
        <w:t xml:space="preserve">[YOU] </w:t>
      </w:r>
      <w:r>
        <w:t xml:space="preserve">Create a free account at resend.com (3,000 emails/month free) and add </w:t>
      </w:r>
      <w:r>
        <w:rPr>
          <w:rFonts w:ascii="Consolas" w:cs="Consolas" w:eastAsia="Consolas" w:hAnsi="Consolas"/>
          <w:sz w:val="19"/>
          <w:szCs w:val="19"/>
        </w:rPr>
        <w:t xml:space="preserve">mail.bindersync.com</w:t>
      </w:r>
      <w:r>
        <w:t xml:space="preserve"> as a sending domain — a few TXT/DKIM records in Cloudflare (there is a one-click Cloudflare integration). Using the subdomain keeps Resend's records fully separate from Google's — the app's sending reputation and your inbox's never touch.</w:t>
      </w:r>
    </w:p>
    <w:p>
      <w:pPr>
        <w:pStyle w:val="ListParagraph"/>
        <w:numPr>
          <w:ilvl w:val="0"/>
          <w:numId w:val="2"/>
        </w:numPr>
        <w:spacing w:after="60" w:line="276"/>
      </w:pPr>
      <w:r>
        <w:rPr>
          <w:b/>
          <w:bCs/>
          <w:color w:val="2F6F4F"/>
        </w:rPr>
        <w:t xml:space="preserve">[CLAUDE] </w:t>
      </w:r>
      <w:r>
        <w:t xml:space="preserve">With a Resend API key I build the three missing email flows: password reset (currently locked-out users have no recourse), email verification on signup, and a private contact-seller relay for public sell binders (replacing the mailto: link that currently exposes the seller's address). App mail sends from </w:t>
      </w:r>
      <w:r>
        <w:rPr>
          <w:rFonts w:ascii="Consolas" w:cs="Consolas" w:eastAsia="Consolas" w:hAnsi="Consolas"/>
          <w:sz w:val="19"/>
          <w:szCs w:val="19"/>
        </w:rPr>
        <w:t xml:space="preserve">noreply@mail.bindersync.com</w:t>
      </w:r>
      <w:r>
        <w:t xml:space="preserve">; the contact relay sets Reply-To to the buyer so sellers can just hit reply.</w:t>
      </w:r>
    </w:p>
    <w:p>
      <w:pPr>
        <w:pStyle w:val="Heading1"/>
        <w:spacing w:after="120" w:before="300"/>
      </w:pPr>
      <w:r>
        <w:rPr>
          <w:color w:val="17181A"/>
        </w:rPr>
        <w:t xml:space="preserve">Step 8 — Pre-launch hardening</w:t>
      </w:r>
    </w:p>
    <w:p>
      <w:pPr>
        <w:pStyle w:val="ListParagraph"/>
        <w:numPr>
          <w:ilvl w:val="0"/>
          <w:numId w:val="2"/>
        </w:numPr>
        <w:spacing w:after="60" w:line="276"/>
      </w:pPr>
      <w:r>
        <w:rPr>
          <w:b/>
          <w:bCs/>
          <w:color w:val="2F6F4F"/>
        </w:rPr>
        <w:t xml:space="preserve">[CLAUDE] </w:t>
      </w:r>
      <w:r>
        <w:t xml:space="preserve">Rate-limit </w:t>
      </w:r>
      <w:r>
        <w:rPr>
          <w:rFonts w:ascii="Consolas" w:cs="Consolas" w:eastAsia="Consolas" w:hAnsi="Consolas"/>
          <w:sz w:val="19"/>
          <w:szCs w:val="19"/>
        </w:rPr>
        <w:t xml:space="preserve">/api/auth/register</w:t>
      </w:r>
      <w:r>
        <w:t xml:space="preserve"> and login attempts (basic abuse protection).</w:t>
      </w:r>
    </w:p>
    <w:p>
      <w:pPr>
        <w:pStyle w:val="ListParagraph"/>
        <w:numPr>
          <w:ilvl w:val="0"/>
          <w:numId w:val="2"/>
        </w:numPr>
        <w:spacing w:after="60" w:line="276"/>
      </w:pPr>
      <w:r>
        <w:rPr>
          <w:b/>
          <w:bCs/>
          <w:color w:val="2F6F4F"/>
        </w:rPr>
        <w:t xml:space="preserve">[CLAUDE] </w:t>
      </w:r>
      <w:r>
        <w:t xml:space="preserve">Real Sell Binder analytics — replace the placeholder view/scan numbers with an actual counter on the public share route (</w:t>
      </w:r>
      <w:r>
        <w:rPr>
          <w:rFonts w:ascii="Consolas" w:cs="Consolas" w:eastAsia="Consolas" w:hAnsi="Consolas"/>
          <w:sz w:val="19"/>
          <w:szCs w:val="19"/>
        </w:rPr>
        <w:t xml:space="preserve">?src=qr</w:t>
      </w:r>
      <w:r>
        <w:t xml:space="preserve"> distinguishes QR scans from link clicks).</w:t>
      </w:r>
    </w:p>
    <w:p>
      <w:pPr>
        <w:pStyle w:val="ListParagraph"/>
        <w:numPr>
          <w:ilvl w:val="0"/>
          <w:numId w:val="2"/>
        </w:numPr>
        <w:spacing w:after="60" w:line="276"/>
      </w:pPr>
      <w:r>
        <w:rPr>
          <w:b/>
          <w:bCs/>
          <w:color w:val="B33A2E"/>
        </w:rPr>
        <w:t xml:space="preserve">[YOU] </w:t>
      </w:r>
      <w:r>
        <w:t xml:space="preserve">Legal review of the marketplace feature specifically (flagged in the original design handoff) — facilitating card sales is a different risk profile than a personal viewer. The Pokémon non-affiliation disclaimer is already in the site footer.</w:t>
      </w:r>
    </w:p>
    <w:p>
      <w:pPr>
        <w:pStyle w:val="ListParagraph"/>
        <w:numPr>
          <w:ilvl w:val="0"/>
          <w:numId w:val="2"/>
        </w:numPr>
        <w:spacing w:after="60" w:line="276"/>
      </w:pPr>
      <w:r>
        <w:rPr>
          <w:b/>
          <w:bCs/>
          <w:color w:val="2F6F4F"/>
        </w:rPr>
        <w:t xml:space="preserve">[CLAUDE] </w:t>
      </w:r>
      <w:r>
        <w:t xml:space="preserve">Review tcgdex image-hotlinking terms; if needed, mirror card images to our own storage as a follow-up.</w:t>
      </w:r>
    </w:p>
    <w:p>
      <w:pPr>
        <w:pStyle w:val="Heading1"/>
        <w:spacing w:after="120" w:before="300"/>
      </w:pPr>
      <w:r>
        <w:rPr>
          <w:color w:val="17181A"/>
        </w:rPr>
        <w:t xml:space="preserve">Suggested order</w:t>
      </w:r>
    </w:p>
    <w:p>
      <w:pPr>
        <w:spacing w:after="100" w:line="276"/>
      </w:pPr>
      <w:r>
        <w:t xml:space="preserve">2 → 3 → 4 → 5 gets the site live on bindersync.com with full browsing, collections, and sell-binder sharing (billing gracefully disabled). Then 6 and 7 in either order, then 8 before announcing it anywhere. Steps 2–5 are about an hour of account setup on your side; everything marked [CLAUDE] happens the same day you unblock it.</w:t>
      </w:r>
    </w:p>
    <w:sectPr>
      <w:pgSz w:w="12240" w:h="15840" w:orient="portrait"/>
      <w:pgMar w:top="1080" w:right="1240" w:bottom="1080" w:left="12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sz w:val="30"/>
      <w:szCs w:val="30"/>
    </w:rPr>
  </w:style>
  <w:style w:type="paragraph" w:styleId="Heading2">
    <w:name w:val="Heading 2"/>
    <w:basedOn w:val="Normal"/>
    <w:next w:val="Normal"/>
    <w:qFormat/>
    <w:rPr>
      <w:rFonts w:ascii="Calibri" w:cs="Calibri" w:eastAsia="Calibri" w:hAnsi="Calibri"/>
      <w:b/>
      <w:bCs/>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2026-07-12T03:37:14.807Z</dcterms:created>
  <dcterms:modified xsi:type="dcterms:W3CDTF">2026-07-12T03:37:14.808Z</dcterms:modified>
</cp:coreProperties>
</file>

<file path=docProps/custom.xml><?xml version="1.0" encoding="utf-8"?>
<Properties xmlns="http://schemas.openxmlformats.org/officeDocument/2006/custom-properties" xmlns:vt="http://schemas.openxmlformats.org/officeDocument/2006/docPropsVTypes"/>
</file>