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497D"/>
          <w:sz w:val="56"/>
        </w:rPr>
        <w:t>feat: Customer Loyalty Score - Full RAW -&gt; SILVER -&gt; GOLD Pipeline</w:t>
      </w:r>
    </w:p>
    <w:p/>
    <w:p>
      <w:pPr>
        <w:jc w:val="center"/>
      </w:pPr>
      <w:r>
        <w:rPr>
          <w:color w:val="217346"/>
          <w:sz w:val="28"/>
        </w:rPr>
        <w:t>Intelligent Doc Engine  ·  Analytics Documentation</w:t>
      </w:r>
    </w:p>
    <w:p/>
    <w:p>
      <w:pPr>
        <w:jc w:val="center"/>
      </w:pPr>
      <w:r>
        <w:rPr>
          <w:color w:val="44546A"/>
          <w:sz w:val="20"/>
        </w:rPr>
        <w:t>25 June 2026  06:01 UTC   |   Scope: PR changes only</w:t>
      </w:r>
    </w:p>
    <w:p/>
    <w:p>
      <w:pPr>
        <w:jc w:val="center"/>
      </w:pPr>
      <w:r>
        <w:rPr>
          <w:i/>
          <w:color w:val="44546A"/>
          <w:sz w:val="20"/>
        </w:rPr>
        <w:t>## Summary</w:t>
        <w:br/>
        <w:br/>
        <w:t>Implements end-to-end customer loyalty scoring across all three medallion layers.</w:t>
        <w:br/>
        <w:br/>
        <w:t>### Changed Files</w:t>
        <w:br/>
        <w:t>| Layer | File | Change |</w:t>
        <w:br/>
        <w:t>|-------|------|--------|</w:t>
        <w:br/>
        <w:t>| SILVER | `silver/01_silver_custom</w:t>
      </w:r>
    </w:p>
    <w:p/>
    <w:p>
      <w:pPr>
        <w:jc w:val="center"/>
      </w:pPr>
      <w:r>
        <w:rPr>
          <w:color w:val="1F497D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br w:type="page"/>
      </w:r>
    </w:p>
    <w:p>
      <w:pPr>
        <w:pStyle w:val="Heading1"/>
      </w:pPr>
      <w:r>
        <w:rPr>
          <w:color w:val="1F497D"/>
        </w:rPr>
        <w:t>Table of Contents</w:t>
      </w:r>
    </w:p>
    <w:p>
      <w:r>
        <w:rPr>
          <w:i/>
          <w:color w:val="44546A"/>
          <w:sz w:val="18"/>
        </w:rPr>
        <w:t>Right-click this area in Word and select 'Update Field' to populate the table of contents.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i/>
          <w:color w:val="44546A"/>
        </w:rPr>
        <w:t>Table of Contents will appear here after updating the field.</w:t>
      </w:r>
      <w:r>
        <w:fldChar w:fldCharType="end"/>
      </w:r>
    </w:p>
    <w:p>
      <w:r>
        <w:br w:type="page"/>
      </w:r>
    </w:p>
    <w:p>
      <w:pPr>
        <w:pStyle w:val="Heading1"/>
      </w:pPr>
      <w:r>
        <w:rPr>
          <w:color w:val="1F497D"/>
        </w:rPr>
        <w:t>Overview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BF0F7"/>
          </w:tcPr>
          <w:p>
            <w:r>
              <w:rPr>
                <w:b/>
                <w:color w:val="1F497D"/>
                <w:sz w:val="18"/>
              </w:rPr>
              <w:t>Scope</w:t>
            </w:r>
          </w:p>
        </w:tc>
        <w:tc>
          <w:tcPr>
            <w:tcW w:type="dxa" w:w="4320"/>
            <w:shd w:val="clear" w:color="auto" w:fill="EBF0F7"/>
          </w:tcPr>
          <w:p>
            <w:r>
              <w:rPr>
                <w:sz w:val="18"/>
              </w:rPr>
              <w:t>PR changes only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1F497D"/>
                <w:sz w:val="18"/>
              </w:rPr>
              <w:t>SQL files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4320"/>
            <w:shd w:val="clear" w:color="auto" w:fill="EBF0F7"/>
          </w:tcPr>
          <w:p>
            <w:r>
              <w:rPr>
                <w:b/>
                <w:color w:val="1F497D"/>
                <w:sz w:val="18"/>
              </w:rPr>
              <w:t>Data flow</w:t>
            </w:r>
          </w:p>
        </w:tc>
        <w:tc>
          <w:tcPr>
            <w:tcW w:type="dxa" w:w="4320"/>
            <w:shd w:val="clear" w:color="auto" w:fill="EBF0F7"/>
          </w:tcPr>
          <w:p>
            <w:r>
              <w:rPr>
                <w:sz w:val="18"/>
              </w:rPr>
              <w:t>MART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1F497D"/>
                <w:sz w:val="18"/>
              </w:rPr>
              <w:t>Object types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TABLE, VIEW</w:t>
            </w:r>
          </w:p>
        </w:tc>
      </w:tr>
      <w:tr>
        <w:tc>
          <w:tcPr>
            <w:tcW w:type="dxa" w:w="4320"/>
            <w:shd w:val="clear" w:color="auto" w:fill="EBF0F7"/>
          </w:tcPr>
          <w:p>
            <w:r>
              <w:rPr>
                <w:b/>
                <w:color w:val="1F497D"/>
                <w:sz w:val="18"/>
              </w:rPr>
              <w:t>Description</w:t>
            </w:r>
          </w:p>
        </w:tc>
        <w:tc>
          <w:tcPr>
            <w:tcW w:type="dxa" w:w="4320"/>
            <w:shd w:val="clear" w:color="auto" w:fill="EBF0F7"/>
          </w:tcPr>
          <w:p>
            <w:r>
              <w:rPr>
                <w:sz w:val="18"/>
              </w:rPr>
              <w:t>## Summary</w:t>
              <w:br/>
              <w:br/>
              <w:t>Implements end-to-end customer loyalty scoring across all three medallion layers.</w:t>
              <w:br/>
              <w:br/>
              <w:t>### Changed Files</w:t>
              <w:br/>
              <w:t>| Layer | File | Change |</w:t>
              <w:br/>
              <w:t>|-------|------|--------|</w:t>
              <w:br/>
              <w:t>| SILVER | `silver/01_silver_custom</w:t>
            </w:r>
          </w:p>
        </w:tc>
      </w:tr>
    </w:tbl>
    <w:p/>
    <w:p>
      <w:pPr>
        <w:pStyle w:val="Heading1"/>
      </w:pPr>
      <w:r>
        <w:rPr>
          <w:color w:val="1F497D"/>
        </w:rPr>
        <w:t>Object Inventory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D6045"/>
          </w:tcPr>
          <w:p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1440"/>
            <w:shd w:val="clear" w:color="auto" w:fill="1D6045"/>
          </w:tcPr>
          <w:p>
            <w:r>
              <w:rPr>
                <w:b/>
                <w:color w:val="FFFFFF"/>
                <w:sz w:val="18"/>
              </w:rPr>
              <w:t>Object Name</w:t>
            </w:r>
          </w:p>
        </w:tc>
        <w:tc>
          <w:tcPr>
            <w:tcW w:type="dxa" w:w="1440"/>
            <w:shd w:val="clear" w:color="auto" w:fill="1D6045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440"/>
            <w:shd w:val="clear" w:color="auto" w:fill="1D6045"/>
          </w:tcPr>
          <w:p>
            <w:r>
              <w:rPr>
                <w:b/>
                <w:color w:val="FFFFFF"/>
                <w:sz w:val="18"/>
              </w:rPr>
              <w:t>Columns</w:t>
            </w:r>
          </w:p>
        </w:tc>
        <w:tc>
          <w:tcPr>
            <w:tcW w:type="dxa" w:w="1440"/>
            <w:shd w:val="clear" w:color="auto" w:fill="1D6045"/>
          </w:tcPr>
          <w:p>
            <w:r>
              <w:rPr>
                <w:b/>
                <w:color w:val="FFFFFF"/>
                <w:sz w:val="18"/>
              </w:rPr>
              <w:t>Load Strategy</w:t>
            </w:r>
          </w:p>
        </w:tc>
        <w:tc>
          <w:tcPr>
            <w:tcW w:type="dxa" w:w="1440"/>
            <w:shd w:val="clear" w:color="auto" w:fill="1D6045"/>
          </w:tcPr>
          <w:p>
            <w:r>
              <w:rPr>
                <w:b/>
                <w:color w:val="FFFFFF"/>
                <w:sz w:val="18"/>
              </w:rPr>
              <w:t>Source Tables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MART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CUSTOMER_LOYALTY_SUMMARY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VIEW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GOLD, DIM_CUSTOMERS, LOYALTY_TRANSACTIONS, FACT_SALES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595959"/>
          </w:tcPr>
          <w:p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1440"/>
            <w:shd w:val="clear" w:color="auto" w:fill="595959"/>
          </w:tcPr>
          <w:p>
            <w:r>
              <w:rPr>
                <w:b/>
                <w:color w:val="FFFFFF"/>
                <w:sz w:val="18"/>
              </w:rPr>
              <w:t>Object Name</w:t>
            </w:r>
          </w:p>
        </w:tc>
        <w:tc>
          <w:tcPr>
            <w:tcW w:type="dxa" w:w="1440"/>
            <w:shd w:val="clear" w:color="auto" w:fill="595959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440"/>
            <w:shd w:val="clear" w:color="auto" w:fill="595959"/>
          </w:tcPr>
          <w:p>
            <w:r>
              <w:rPr>
                <w:b/>
                <w:color w:val="FFFFFF"/>
                <w:sz w:val="18"/>
              </w:rPr>
              <w:t>Columns</w:t>
            </w:r>
          </w:p>
        </w:tc>
        <w:tc>
          <w:tcPr>
            <w:tcW w:type="dxa" w:w="1440"/>
            <w:shd w:val="clear" w:color="auto" w:fill="595959"/>
          </w:tcPr>
          <w:p>
            <w:r>
              <w:rPr>
                <w:b/>
                <w:color w:val="FFFFFF"/>
                <w:sz w:val="18"/>
              </w:rPr>
              <w:t>Load Strategy</w:t>
            </w:r>
          </w:p>
        </w:tc>
        <w:tc>
          <w:tcPr>
            <w:tcW w:type="dxa" w:w="1440"/>
            <w:shd w:val="clear" w:color="auto" w:fill="595959"/>
          </w:tcPr>
          <w:p>
            <w:r>
              <w:rPr>
                <w:b/>
                <w:color w:val="FFFFFF"/>
                <w:sz w:val="18"/>
              </w:rPr>
              <w:t>Source Tables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Source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DIM_CUSTOMERS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 REFRESH (CREATE OR REPLACE)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GOLD, CUSTOMERS</w:t>
            </w:r>
          </w:p>
        </w:tc>
      </w:tr>
      <w:tr>
        <w:tc>
          <w:tcPr>
            <w:tcW w:type="dxa" w:w="1440"/>
            <w:shd w:val="clear" w:color="auto" w:fill="F2F2F2"/>
          </w:tcPr>
          <w:p>
            <w:r>
              <w:rPr>
                <w:sz w:val="18"/>
              </w:rPr>
              <w:t>Source</w:t>
            </w:r>
          </w:p>
        </w:tc>
        <w:tc>
          <w:tcPr>
            <w:tcW w:type="dxa" w:w="1440"/>
            <w:shd w:val="clear" w:color="auto" w:fill="F2F2F2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1440"/>
            <w:shd w:val="clear" w:color="auto" w:fill="F2F2F2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440"/>
            <w:shd w:val="clear" w:color="auto" w:fill="F2F2F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440"/>
            <w:shd w:val="clear" w:color="auto" w:fill="F2F2F2"/>
          </w:tcPr>
          <w:p>
            <w:r>
              <w:rPr>
                <w:sz w:val="18"/>
              </w:rPr>
              <w:t>MERGE (SCD/UPSERT)</w:t>
            </w:r>
          </w:p>
        </w:tc>
        <w:tc>
          <w:tcPr>
            <w:tcW w:type="dxa" w:w="1440"/>
            <w:shd w:val="clear" w:color="auto" w:fill="F2F2F2"/>
          </w:tcPr>
          <w:p>
            <w:r>
              <w:rPr>
                <w:sz w:val="18"/>
              </w:rPr>
              <w:t>SILVER, CUSTOMERS, LOYALTY_POINTS</w:t>
            </w:r>
          </w:p>
        </w:tc>
      </w:tr>
    </w:tbl>
    <w:p/>
    <w:p>
      <w:pPr>
        <w:pStyle w:val="Heading1"/>
      </w:pPr>
      <w:r>
        <w:rPr>
          <w:color w:val="1F497D"/>
        </w:rPr>
        <w:t>Data Lineage</w:t>
      </w:r>
    </w:p>
    <w:p>
      <w:r>
        <w:rPr>
          <w:i/>
          <w:color w:val="44546A"/>
        </w:rPr>
        <w:t>Lineage diagram could not be rendered. Install mermaid-cli (npm i -g @mermaid-js/mermaid-cli).</w:t>
      </w:r>
    </w:p>
    <w:p>
      <w:r>
        <w:rPr>
          <w:i/>
          <w:color w:val="44546A"/>
        </w:rPr>
        <w:t>Lineage diagram could not be rendered. Install mermaid-cli (npm i -g @mermaid-js/mermaid-cli).</w:t>
      </w:r>
    </w:p>
    <w:p>
      <w:pPr>
        <w:pStyle w:val="Heading1"/>
      </w:pPr>
      <w:r>
        <w:rPr>
          <w:color w:val="1F497D"/>
        </w:rPr>
        <w:t>Column-Level Lineage</w:t>
      </w:r>
    </w:p>
    <w:p>
      <w:pPr>
        <w:pStyle w:val="Heading2"/>
      </w:pPr>
      <w:r>
        <w:rPr>
          <w:color w:val="217346"/>
        </w:rPr>
        <w:t>Target: CUSTOMER_LOYALTY_SUMMARY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DIM_CUSTOMERS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CUSTOMER_SK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CUSTOMER_SK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CUSTOMER_TIER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CUSTOMER_TIER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DIM_CUSTOMERS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EMAIL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FULL_NAME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FULL_NAME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DIM_CUSTOMERS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LOYALTY_SCORE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LOYALTY_SCORE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DIM_CUSTOMERS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LOYALTY_TIER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LOYALTY_TIER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FS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ORDER_COUNT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ORDER_COUNT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TOTAL_ORDER_VALUE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TOTAL_ORDER_VALUE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LP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LAST_EARN_DATE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LAST_EARN_DATE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LAST_REDEEM_DATE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LAST_REDEEM_DATE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LP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TOTAL_POINTS_EARNED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TOTAL_POINTS_EARNED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TOTAL_POINTS_REDEEMED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TOTAL_POINTS_REDEEMED</w:t>
            </w:r>
          </w:p>
        </w:tc>
      </w:tr>
    </w:tbl>
    <w:p/>
    <w:p>
      <w:pPr>
        <w:pStyle w:val="Heading2"/>
      </w:pPr>
      <w:r>
        <w:rPr>
          <w:color w:val="217346"/>
        </w:rPr>
        <w:t>Target: DIM_CUSTOMERS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Table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Source Column</w:t>
            </w:r>
          </w:p>
        </w:tc>
        <w:tc>
          <w:tcPr>
            <w:tcW w:type="dxa" w:w="2880"/>
            <w:shd w:val="clear" w:color="auto" w:fill="217346"/>
          </w:tcPr>
          <w:p>
            <w:r>
              <w:rPr>
                <w:b/>
                <w:color w:val="FFFFFF"/>
                <w:sz w:val="18"/>
              </w:rPr>
              <w:t>Target Column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AGE_BAND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AGE_YEARS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CUSTOMER_ID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CUSTOMER_SK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CUSTOMER_SK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CUSTOMER_TIER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CUSTOMER_TIER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DATE_OF_BIRTH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DATE_OF_BIRTH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DAYS_AS_CUSTOMER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EFFECTIVE_FROM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EFFECTIVE_FROM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EFFECTIVE_TO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EFFECTIVE_TO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EMAIL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FIRST_NAME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FIRST_NAME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FULL_NAME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FULL_NAME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GENDER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IS_ACTIVE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IS_CURRENT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IS_CURRENT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LAST_NAME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LAST_NAME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PHONE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PHONE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REGISTRATION_DATE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REGISTRATION_DATE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REGISTRATION_YEAR</w:t>
            </w:r>
          </w:p>
        </w:tc>
      </w:tr>
      <w:tr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(expression)</w:t>
            </w:r>
          </w:p>
        </w:tc>
        <w:tc>
          <w:tcPr>
            <w:tcW w:type="dxa" w:w="2880"/>
            <w:shd w:val="clear" w:color="auto" w:fill="E8F4EE"/>
          </w:tcPr>
          <w:p>
            <w:r>
              <w:rPr>
                <w:sz w:val="18"/>
              </w:rPr>
              <w:t>TENURE_BAND</w:t>
            </w:r>
          </w:p>
        </w:tc>
      </w:tr>
    </w:tbl>
    <w:p/>
    <w:p>
      <w:pPr>
        <w:pStyle w:val="Heading1"/>
      </w:pPr>
      <w:r>
        <w:rPr>
          <w:color w:val="1F497D"/>
        </w:rPr>
        <w:t>Key Columns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Object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Primary Key Columns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CUSTOMER_SK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