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Software Architecture and Design Specification: Ischemia Predictor</w:t>
      </w:r>
    </w:p>
    <w:p>
      <w:pPr>
        <w:pStyle w:val="ListParagraph"/>
        <w:numPr>
          <w:ilvl w:val="0"/>
          <w:numId w:val="2"/>
        </w:numPr>
      </w:pPr>
      <w:r>
        <w:t xml:space="preserve">☐ Version 1.1 (updated after implementation) · Ischemia Detection Team · </w:t>
      </w:r>
      <w:r>
        <w:t xml:space="preserve">Oct 31, 2026</w:t>
      </w:r>
      <w:r>
        <w:t xml:space="preserve"> · </w:t>
      </w:r>
      <w:r>
        <w:t xml:space="preserve">@Bindushree</w:t>
      </w:r>
    </w:p>
    <w:p>
      <w:pPr>
        <w:pStyle w:val="Heading2"/>
      </w:pPr>
      <w:r>
        <w:t xml:space="preserve">1 Introduction</w:t>
      </w:r>
    </w:p>
    <w:p>
      <w:pPr>
        <w:pStyle w:val="Heading3"/>
      </w:pPr>
      <w:r>
        <w:t xml:space="preserve">1.1 Purpose</w:t>
      </w:r>
    </w:p>
    <w:p>
      <w:pPr/>
      <w:r>
        <w:t xml:space="preserve">This document describes the architecture and detailed design of Ischemia Predictor as built: how the system is split into components, how they interact, and how each requirement in the SRS (v1.1) is realized. Version 1.1 records the implemented design and its differences from version 1.0 (Section 5). It is the basis for the Test Plan (TP-IP-001 v1.1).</w:t>
      </w:r>
    </w:p>
    <w:p>
      <w:pPr>
        <w:pStyle w:val="Heading3"/>
      </w:pPr>
      <w:r>
        <w:t xml:space="preserve">1.2 Scope</w:t>
      </w:r>
    </w:p>
    <w:p>
      <w:pPr/>
      <w:r>
        <w:t xml:space="preserve">The design covers the web client, the Python Flask web server, the ML, DL and QML prediction microservices, the database, the offline training pipeline, and the deployment setup (Docker containers started with Docker Compose). Kubernetes orchestration is the intended production design but is not part of this release (Section 5, D8).</w:t>
      </w:r>
    </w:p>
    <w:p>
      <w:pPr>
        <w:pStyle w:val="Heading3"/>
      </w:pPr>
      <w:r>
        <w:t xml:space="preserve">1.3 References</w:t>
      </w:r>
    </w:p>
    <w:p>
      <w:pPr>
        <w:pStyle w:val="ListParagraph"/>
        <w:numPr>
          <w:ilvl w:val="0"/>
          <w:numId w:val="3"/>
        </w:numPr>
      </w:pPr>
      <w:r>
        <w:t xml:space="preserve">Software Requirements Specification, Ischemia Predictor v1.1 (FR-xx, NFR-xx, SEC-xx)</w:t>
      </w:r>
    </w:p>
    <w:p>
      <w:pPr>
        <w:pStyle w:val="ListParagraph"/>
        <w:numPr>
          <w:ilvl w:val="0"/>
          <w:numId w:val="3"/>
        </w:numPr>
      </w:pPr>
      <w:r>
        <w:t xml:space="preserve">Test Plan TP-IP-001 v1.1</w:t>
      </w:r>
    </w:p>
    <w:p>
      <w:pPr>
        <w:pStyle w:val="ListParagraph"/>
        <w:numPr>
          <w:ilvl w:val="0"/>
          <w:numId w:val="3"/>
        </w:numPr>
      </w:pPr>
      <w:r>
        <w:t xml:space="preserve">IEEE Std 1016-2009, Software Design Descriptions</w:t>
      </w:r>
    </w:p>
    <w:p>
      <w:pPr>
        <w:pStyle w:val="ListParagraph"/>
        <w:numPr>
          <w:ilvl w:val="0"/>
          <w:numId w:val="3"/>
        </w:numPr>
      </w:pPr>
      <w:r>
        <w:t xml:space="preserve">OWASP ASVS 4.0</w:t>
      </w:r>
    </w:p>
    <w:p>
      <w:pPr>
        <w:pStyle w:val="Heading3"/>
      </w:pPr>
      <w:r>
        <w:t xml:space="preserve">1.4 Definitions</w:t>
      </w:r>
    </w:p>
    <w:tbl>
      <w:tblPr>
        <w:tblStyle w:val="TableGrid"/>
        <w:tblW w:w="0" w:type="auto"/>
        <w:tblLayout w:type="fixed"/>
        <w:tblLook w:val="04A0" w:firstRow="1" w:lastRow="0" w:firstColumn="0" w:lastColumn="0" w:noHBand="0" w:noVBand="1"/>
      </w:tblPr>
      <w:tblGrid>
        <w:gridCol w:w="2453"/>
        <w:gridCol w:w="6906"/>
      </w:tblGrid>
      <w:tr>
        <w:trPr>
          <w:tblHeader/>
        </w:trPr>
        <w:tc>
          <w:tcPr>
            <w:tcW w:w="2453" w:type="dxa"/>
            <w:shd w:val="clear" w:color="auto" w:fill="F2F2F2"/>
          </w:tcPr>
          <w:p>
            <w:pPr/>
            <w:r>
              <w:t xml:space="preserve">Term</w:t>
            </w:r>
          </w:p>
        </w:tc>
        <w:tc>
          <w:tcPr>
            <w:tcW w:w="6906" w:type="dxa"/>
            <w:shd w:val="clear" w:color="auto" w:fill="F2F2F2"/>
          </w:tcPr>
          <w:p>
            <w:pPr/>
            <w:r>
              <w:t xml:space="preserve">Meaning</w:t>
            </w:r>
          </w:p>
        </w:tc>
      </w:tr>
      <w:tr>
        <w:tc>
          <w:tcPr>
            <w:tcW w:w="2453" w:type="dxa"/>
          </w:tcPr>
          <w:p>
            <w:pPr/>
            <w:r>
              <w:t xml:space="preserve">Web client</w:t>
            </w:r>
          </w:p>
        </w:tc>
        <w:tc>
          <w:tcPr>
            <w:tcW w:w="6906" w:type="dxa"/>
          </w:tcPr>
          <w:p>
            <w:pPr/>
            <w:r>
              <w:t xml:space="preserve">Browser-based user interface (HTML, CSS, JavaScript)</w:t>
            </w:r>
          </w:p>
        </w:tc>
      </w:tr>
      <w:tr>
        <w:tc>
          <w:tcPr>
            <w:tcW w:w="2453" w:type="dxa"/>
          </w:tcPr>
          <w:p>
            <w:pPr/>
            <w:r>
              <w:t xml:space="preserve">Web server</w:t>
            </w:r>
          </w:p>
        </w:tc>
        <w:tc>
          <w:tcPr>
            <w:tcW w:w="6906" w:type="dxa"/>
          </w:tcPr>
          <w:p>
            <w:pPr/>
            <w:r>
              <w:t xml:space="preserve">Python Flask application exposing the REST API (acts as API gateway)</w:t>
            </w:r>
          </w:p>
        </w:tc>
      </w:tr>
      <w:tr>
        <w:tc>
          <w:tcPr>
            <w:tcW w:w="2453" w:type="dxa"/>
          </w:tcPr>
          <w:p>
            <w:pPr/>
            <w:r>
              <w:t xml:space="preserve">Microservice</w:t>
            </w:r>
          </w:p>
        </w:tc>
        <w:tc>
          <w:tcPr>
            <w:tcW w:w="6906" w:type="dxa"/>
          </w:tcPr>
          <w:p>
            <w:pPr/>
            <w:r>
              <w:t xml:space="preserve">Independently deployable prediction service (ML, QML or DL)</w:t>
            </w:r>
          </w:p>
        </w:tc>
      </w:tr>
      <w:tr>
        <w:tc>
          <w:tcPr>
            <w:tcW w:w="2453" w:type="dxa"/>
          </w:tcPr>
          <w:p>
            <w:pPr/>
            <w:r>
              <w:t xml:space="preserve">Container</w:t>
            </w:r>
          </w:p>
        </w:tc>
        <w:tc>
          <w:tcPr>
            <w:tcW w:w="6906" w:type="dxa"/>
          </w:tcPr>
          <w:p>
            <w:pPr/>
            <w:r>
              <w:t xml:space="preserve">Packaged runtime of one service (Docker)</w:t>
            </w:r>
          </w:p>
        </w:tc>
      </w:tr>
      <w:tr>
        <w:tc>
          <w:tcPr>
            <w:tcW w:w="2453" w:type="dxa"/>
          </w:tcPr>
          <w:p>
            <w:pPr/>
            <w:r>
              <w:t xml:space="preserve">Pipeline</w:t>
            </w:r>
          </w:p>
        </w:tc>
        <w:tc>
          <w:tcPr>
            <w:tcW w:w="6906" w:type="dxa"/>
          </w:tcPr>
          <w:p>
            <w:pPr/>
            <w:r>
              <w:t xml:space="preserve">The versioned preprocessing artifact (pipeline-1.0) shared by training and inference</w:t>
            </w:r>
          </w:p>
        </w:tc>
      </w:tr>
      <w:tr>
        <w:tc>
          <w:tcPr>
            <w:tcW w:w="2453" w:type="dxa"/>
          </w:tcPr>
          <w:p>
            <w:pPr/>
            <w:r>
              <w:t xml:space="preserve">Model registry</w:t>
            </w:r>
          </w:p>
        </w:tc>
        <w:tc>
          <w:tcPr>
            <w:tcW w:w="6906" w:type="dxa"/>
          </w:tcPr>
          <w:p>
            <w:pPr/>
            <w:r>
              <w:t xml:space="preserve">Database table plus </w:t>
            </w:r>
            <w:r>
              <w:rPr>
                <w:rStyle w:val="CodeChar"/>
              </w:rPr>
              <w:t xml:space="preserve">registry.json</w:t>
            </w:r>
            <w:r>
              <w:t xml:space="preserve"> listing model versions, checksums and validation status</w:t>
            </w:r>
          </w:p>
        </w:tc>
      </w:tr>
    </w:tbl>
    <w:p>
      <w:pPr>
        <w:pStyle w:val="Heading2"/>
      </w:pPr>
      <w:r>
        <w:t xml:space="preserve">2 Architecture</w:t>
      </w:r>
    </w:p>
    <w:p>
      <w:pPr>
        <w:pStyle w:val="Heading3"/>
      </w:pPr>
      <w:r>
        <w:t xml:space="preserve">2.1 Architectural Overview</w:t>
      </w:r>
    </w:p>
    <w:p>
      <w:pPr/>
      <w:r>
        <w:t xml:space="preserve">A clinician uses the web client in a browser. The client reaches the web server over HTTP(S). The web server (Python Flask) authenticates the user, validates and preprocesses the data, and calls one of three prediction microservices (ML, DL, QML). Results and history are saved in the database. The dataset (</w:t>
      </w:r>
      <w:r>
        <w:rPr>
          <w:rStyle w:val="CodeChar"/>
        </w:rPr>
        <w:t xml:space="preserve">heart.csv</w:t>
      </w:r>
      <w:r>
        <w:t xml:space="preserve">) is used offline to train and validate the models that the microservices serve.</w:t>
      </w:r>
    </w:p>
    <w:p>
      <w:pPr>
        <w:pStyle w:val="Heading3"/>
      </w:pPr>
      <w:r>
        <w:t xml:space="preserve">2.2 Architectural Pattern</w:t>
      </w:r>
    </w:p>
    <w:p>
      <w:pPr/>
      <w:r>
        <w:t xml:space="preserve">The system combines three patterns:</w:t>
      </w:r>
    </w:p>
    <w:p>
      <w:pPr>
        <w:pStyle w:val="ListParagraph"/>
        <w:numPr>
          <w:ilvl w:val="0"/>
          <w:numId w:val="4"/>
        </w:numPr>
      </w:pPr>
      <w:r>
        <w:rPr>
          <w:b/>
          <w:bCs/>
        </w:rPr>
        <w:t xml:space="preserve">Client–server:</w:t>
      </w:r>
      <w:r>
        <w:t xml:space="preserve"> a thin browser client and a central server that holds all business rules.</w:t>
      </w:r>
    </w:p>
    <w:p>
      <w:pPr>
        <w:pStyle w:val="ListParagraph"/>
        <w:numPr>
          <w:ilvl w:val="0"/>
          <w:numId w:val="4"/>
        </w:numPr>
      </w:pPr>
      <w:r>
        <w:rPr>
          <w:b/>
          <w:bCs/>
        </w:rPr>
        <w:t xml:space="preserve">Microservices:</w:t>
      </w:r>
      <w:r>
        <w:t xml:space="preserve"> each model type runs as its own service with a fixed REST contract, so models can be developed, updated and scaled independently (FR-23, NFR-10).</w:t>
      </w:r>
    </w:p>
    <w:p>
      <w:pPr>
        <w:pStyle w:val="ListParagraph"/>
        <w:numPr>
          <w:ilvl w:val="0"/>
          <w:numId w:val="4"/>
        </w:numPr>
      </w:pPr>
      <w:r>
        <w:rPr>
          <w:b/>
          <w:bCs/>
        </w:rPr>
        <w:t xml:space="preserve">API gateway with layered internals:</w:t>
      </w:r>
      <w:r>
        <w:t xml:space="preserve"> the Flask server is the single entry point, so the client never talks to a microservice directly (SEC-08).</w:t>
      </w:r>
    </w:p>
    <w:p>
      <w:pPr/>
      <w:r>
        <w:t xml:space="preserve">Why this pattern: the model families use different libraries and runtimes (scikit-learn, quantum simulator). Separating them avoids dependency conflicts, isolates failures (one service down does not stop the others) and allows scaling the slowest service (QML) separately.</w:t>
      </w:r>
    </w:p>
    <w:p>
      <w:pPr>
        <w:pStyle w:val="Heading3"/>
      </w:pPr>
      <w:r>
        <w:t xml:space="preserve">2.3 Component Diagram</w:t>
      </w:r>
    </w:p>
    <w:p>
      <w:pPr/>
      <w:r>
        <w:rPr>
          <w:i/>
          <w:iCs/>
        </w:rPr>
        <w:t xml:space="preserve">Figure 1: component diagram, showing the components and the connections between them.</w:t>
      </w:r>
    </w:p>
    <w:p>
      <w:pPr/>
      <w:r>
        <w:drawing>
          <wp:inline distT="0" distB="0" distL="0" distR="0">
            <wp:extent cx="5486400" cy="3665764"/>
            <wp:docPr id="1" name="image1" descr="component diagram · 7 runtime components, 1 offline path"/>
            <a:graphic xmlns:a="http://schemas.openxmlformats.org/drawingml/2006/main">
              <a:graphicData uri="http://schemas.openxmlformats.org/drawingml/2006/picture">
                <pic:pic xmlns:pic="http://schemas.openxmlformats.org/drawingml/2006/picture">
                  <pic:nvPicPr>
                    <pic:cNvPr id="1" name="image1" descr="component diagram · 7 runtime components, 1 offline path"/>
                    <pic:cNvPicPr/>
                  </pic:nvPicPr>
                  <pic:blipFill>
                    <a:blip r:embed="rId3"/>
                    <a:stretch>
                      <a:fillRect/>
                    </a:stretch>
                  </pic:blipFill>
                  <pic:spPr>
                    <a:xfrm>
                      <a:off x="0" y="0"/>
                      <a:ext cx="5486400" cy="3665764"/>
                    </a:xfrm>
                    <a:prstGeom prst="rect">
                      <a:avLst/>
                    </a:prstGeom>
                  </pic:spPr>
                </pic:pic>
              </a:graphicData>
            </a:graphic>
          </wp:inline>
        </w:drawing>
      </w:r>
    </w:p>
    <w:p>
      <w:pPr/>
      <w:r>
        <w:t xml:space="preserve">component diagram · 7 runtime components, 1 offline path</w:t>
      </w:r>
    </w:p>
    <w:p>
      <w:pPr/>
      <w:r>
        <w:t xml:space="preserve">The browser reaches only the Flask gateway; the three model services and the database sit behind it, and the dataset feeds offline training only.</w:t>
      </w:r>
    </w:p>
    <w:p>
      <w:pPr>
        <w:pStyle w:val="Heading3"/>
      </w:pPr>
      <w:r>
        <w:t xml:space="preserve">2.4 Component Description</w:t>
      </w:r>
    </w:p>
    <w:tbl>
      <w:tblPr>
        <w:tblStyle w:val="TableGrid"/>
        <w:tblW w:w="0" w:type="auto"/>
        <w:tblLayout w:type="fixed"/>
        <w:tblLook w:val="04A0" w:firstRow="1" w:lastRow="0" w:firstColumn="0" w:lastColumn="0" w:noHBand="0" w:noVBand="1"/>
      </w:tblPr>
      <w:tblGrid>
        <w:gridCol w:w="1701"/>
        <w:gridCol w:w="4074"/>
        <w:gridCol w:w="1996"/>
        <w:gridCol w:w="1589"/>
      </w:tblGrid>
      <w:tr>
        <w:trPr>
          <w:tblHeader/>
        </w:trPr>
        <w:tc>
          <w:tcPr>
            <w:tcW w:w="1701" w:type="dxa"/>
            <w:shd w:val="clear" w:color="auto" w:fill="F2F2F2"/>
          </w:tcPr>
          <w:p>
            <w:pPr/>
            <w:r>
              <w:t xml:space="preserve">Component</w:t>
            </w:r>
          </w:p>
        </w:tc>
        <w:tc>
          <w:tcPr>
            <w:tcW w:w="4074" w:type="dxa"/>
            <w:shd w:val="clear" w:color="auto" w:fill="F2F2F2"/>
          </w:tcPr>
          <w:p>
            <w:pPr/>
            <w:r>
              <w:t xml:space="preserve">Responsibility</w:t>
            </w:r>
          </w:p>
        </w:tc>
        <w:tc>
          <w:tcPr>
            <w:tcW w:w="1996" w:type="dxa"/>
            <w:shd w:val="clear" w:color="auto" w:fill="F2F2F2"/>
          </w:tcPr>
          <w:p>
            <w:pPr/>
            <w:r>
              <w:t xml:space="preserve">Technology</w:t>
            </w:r>
          </w:p>
        </w:tc>
        <w:tc>
          <w:tcPr>
            <w:tcW w:w="1589" w:type="dxa"/>
            <w:shd w:val="clear" w:color="auto" w:fill="F2F2F2"/>
          </w:tcPr>
          <w:p>
            <w:pPr/>
            <w:r>
              <w:t xml:space="preserve">Key requirements</w:t>
            </w:r>
          </w:p>
        </w:tc>
      </w:tr>
      <w:tr>
        <w:tc>
          <w:tcPr>
            <w:tcW w:w="1701" w:type="dxa"/>
          </w:tcPr>
          <w:p>
            <w:pPr/>
            <w:r>
              <w:t xml:space="preserve">Web Client</w:t>
            </w:r>
          </w:p>
        </w:tc>
        <w:tc>
          <w:tcPr>
            <w:tcW w:w="4074" w:type="dxa"/>
          </w:tcPr>
          <w:p>
            <w:pPr/>
            <w:r>
              <w:t xml:space="preserve">Login, data entry form, result, history and admin pages; field-level errors and the medical disclaimer</w:t>
            </w:r>
          </w:p>
        </w:tc>
        <w:tc>
          <w:tcPr>
            <w:tcW w:w="1996" w:type="dxa"/>
          </w:tcPr>
          <w:p>
            <w:pPr/>
            <w:r>
              <w:t xml:space="preserve">HTML, CSS, JavaScript</w:t>
            </w:r>
          </w:p>
        </w:tc>
        <w:tc>
          <w:tcPr>
            <w:tcW w:w="1589" w:type="dxa"/>
          </w:tcPr>
          <w:p>
            <w:pPr/>
            <w:r>
              <w:t xml:space="preserve">FR-04, FR-06, FR-14, FR-16, UI-1 to UI-4</w:t>
            </w:r>
          </w:p>
        </w:tc>
      </w:tr>
      <w:tr>
        <w:tc>
          <w:tcPr>
            <w:tcW w:w="1701" w:type="dxa"/>
          </w:tcPr>
          <w:p>
            <w:pPr/>
            <w:r>
              <w:t xml:space="preserve">Web Server (API gateway)</w:t>
            </w:r>
          </w:p>
        </w:tc>
        <w:tc>
          <w:tcPr>
            <w:tcW w:w="4074" w:type="dxa"/>
          </w:tcPr>
          <w:p>
            <w:pPr/>
            <w:r>
              <w:t xml:space="preserve">REST API, session tokens, input validation, orchestration, error handling, rate limiting</w:t>
            </w:r>
          </w:p>
        </w:tc>
        <w:tc>
          <w:tcPr>
            <w:tcW w:w="1996" w:type="dxa"/>
          </w:tcPr>
          <w:p>
            <w:pPr/>
            <w:r>
              <w:t xml:space="preserve">Python, Flask, Flask-SQLAlchemy</w:t>
            </w:r>
          </w:p>
        </w:tc>
        <w:tc>
          <w:tcPr>
            <w:tcW w:w="1589" w:type="dxa"/>
          </w:tcPr>
          <w:p>
            <w:pPr/>
            <w:r>
              <w:t xml:space="preserve">FR-01 to FR-03, FR-05, FR-17, SEC-09</w:t>
            </w:r>
          </w:p>
        </w:tc>
      </w:tr>
      <w:tr>
        <w:tc>
          <w:tcPr>
            <w:tcW w:w="1701" w:type="dxa"/>
          </w:tcPr>
          <w:p>
            <w:pPr/>
            <w:r>
              <w:t xml:space="preserve">Auth and RBAC module</w:t>
            </w:r>
          </w:p>
        </w:tc>
        <w:tc>
          <w:tcPr>
            <w:tcW w:w="4074" w:type="dxa"/>
          </w:tcPr>
          <w:p>
            <w:pPr/>
            <w:r>
              <w:t xml:space="preserve">Password check, signed session token, role check on every endpoint, lockout</w:t>
            </w:r>
          </w:p>
        </w:tc>
        <w:tc>
          <w:tcPr>
            <w:tcW w:w="1996" w:type="dxa"/>
          </w:tcPr>
          <w:p>
            <w:pPr/>
            <w:r>
              <w:t xml:space="preserve">PyJWT, bcrypt</w:t>
            </w:r>
          </w:p>
        </w:tc>
        <w:tc>
          <w:tcPr>
            <w:tcW w:w="1589" w:type="dxa"/>
          </w:tcPr>
          <w:p>
            <w:pPr/>
            <w:r>
              <w:t xml:space="preserve">FR-01, FR-02, SEC-01, SEC-02, SEC-04</w:t>
            </w:r>
          </w:p>
        </w:tc>
      </w:tr>
      <w:tr>
        <w:tc>
          <w:tcPr>
            <w:tcW w:w="1701" w:type="dxa"/>
          </w:tcPr>
          <w:p>
            <w:pPr/>
            <w:r>
              <w:t xml:space="preserve">Preprocessing module</w:t>
            </w:r>
          </w:p>
        </w:tc>
        <w:tc>
          <w:tcPr>
            <w:tcW w:w="4074" w:type="dxa"/>
          </w:tcPr>
          <w:p>
            <w:pPr/>
            <w:r>
              <w:t xml:space="preserve">Imputation, scaling and encoding identical to training; pipeline version check</w:t>
            </w:r>
          </w:p>
        </w:tc>
        <w:tc>
          <w:tcPr>
            <w:tcW w:w="1996" w:type="dxa"/>
          </w:tcPr>
          <w:p>
            <w:pPr/>
            <w:r>
              <w:t xml:space="preserve">scikit-learn pipeline (shared </w:t>
            </w:r>
            <w:r>
              <w:rPr>
                <w:rStyle w:val="CodeChar"/>
              </w:rPr>
              <w:t xml:space="preserve">common/</w:t>
            </w:r>
            <w:r>
              <w:t xml:space="preserve"> library)</w:t>
            </w:r>
          </w:p>
        </w:tc>
        <w:tc>
          <w:tcPr>
            <w:tcW w:w="1589" w:type="dxa"/>
          </w:tcPr>
          <w:p>
            <w:pPr/>
            <w:r>
              <w:t xml:space="preserve">FR-07, FR-08</w:t>
            </w:r>
          </w:p>
        </w:tc>
      </w:tr>
      <w:tr>
        <w:tc>
          <w:tcPr>
            <w:tcW w:w="1701" w:type="dxa"/>
          </w:tcPr>
          <w:p>
            <w:pPr/>
            <w:r>
              <w:t xml:space="preserve">Prediction Orchestrator</w:t>
            </w:r>
          </w:p>
        </w:tc>
        <w:tc>
          <w:tcPr>
            <w:tcW w:w="4074" w:type="dxa"/>
          </w:tcPr>
          <w:p>
            <w:pPr/>
            <w:r>
              <w:t xml:space="preserve">Selects the model service, calls it (one retry), applies risk thresholds, builds the explanation</w:t>
            </w:r>
          </w:p>
        </w:tc>
        <w:tc>
          <w:tcPr>
            <w:tcW w:w="1996" w:type="dxa"/>
          </w:tcPr>
          <w:p>
            <w:pPr/>
            <w:r>
              <w:t xml:space="preserve">Flask service layer</w:t>
            </w:r>
          </w:p>
        </w:tc>
        <w:tc>
          <w:tcPr>
            <w:tcW w:w="1589" w:type="dxa"/>
          </w:tcPr>
          <w:p>
            <w:pPr/>
            <w:r>
              <w:t xml:space="preserve">FR-09, FR-12, FR-13, FR-15</w:t>
            </w:r>
          </w:p>
        </w:tc>
      </w:tr>
      <w:tr>
        <w:tc>
          <w:tcPr>
            <w:tcW w:w="1701" w:type="dxa"/>
          </w:tcPr>
          <w:p>
            <w:pPr/>
            <w:r>
              <w:t xml:space="preserve">ML Service</w:t>
            </w:r>
          </w:p>
        </w:tc>
        <w:tc>
          <w:tcPr>
            <w:tcW w:w="4074" w:type="dxa"/>
          </w:tcPr>
          <w:p>
            <w:pPr/>
            <w:r>
              <w:t xml:space="preserve">Random-forest prediction and leave-one-out feature attribution</w:t>
            </w:r>
          </w:p>
        </w:tc>
        <w:tc>
          <w:tcPr>
            <w:tcW w:w="1996" w:type="dxa"/>
          </w:tcPr>
          <w:p>
            <w:pPr/>
            <w:r>
              <w:t xml:space="preserve">Python, scikit-learn</w:t>
            </w:r>
          </w:p>
        </w:tc>
        <w:tc>
          <w:tcPr>
            <w:tcW w:w="1589" w:type="dxa"/>
          </w:tcPr>
          <w:p>
            <w:pPr/>
            <w:r>
              <w:t xml:space="preserve">FR-09, NFR-06</w:t>
            </w:r>
          </w:p>
        </w:tc>
      </w:tr>
      <w:tr>
        <w:tc>
          <w:tcPr>
            <w:tcW w:w="1701" w:type="dxa"/>
          </w:tcPr>
          <w:p>
            <w:pPr/>
            <w:r>
              <w:t xml:space="preserve">DL Service</w:t>
            </w:r>
          </w:p>
        </w:tc>
        <w:tc>
          <w:tcPr>
            <w:tcW w:w="4074" w:type="dxa"/>
          </w:tcPr>
          <w:p>
            <w:pPr/>
            <w:r>
              <w:t xml:space="preserve">Neural-network (MLP) prediction</w:t>
            </w:r>
          </w:p>
        </w:tc>
        <w:tc>
          <w:tcPr>
            <w:tcW w:w="1996" w:type="dxa"/>
          </w:tcPr>
          <w:p>
            <w:pPr/>
            <w:r>
              <w:t xml:space="preserve">Python, scikit-learn MLPClassifier</w:t>
            </w:r>
          </w:p>
        </w:tc>
        <w:tc>
          <w:tcPr>
            <w:tcW w:w="1589" w:type="dxa"/>
          </w:tcPr>
          <w:p>
            <w:pPr/>
            <w:r>
              <w:t xml:space="preserve">FR-09, NFR-06</w:t>
            </w:r>
          </w:p>
        </w:tc>
      </w:tr>
      <w:tr>
        <w:tc>
          <w:tcPr>
            <w:tcW w:w="1701" w:type="dxa"/>
          </w:tcPr>
          <w:p>
            <w:pPr/>
            <w:r>
              <w:t xml:space="preserve">QML Service</w:t>
            </w:r>
          </w:p>
        </w:tc>
        <w:tc>
          <w:tcPr>
            <w:tcW w:w="4074" w:type="dxa"/>
          </w:tcPr>
          <w:p>
            <w:pPr/>
            <w:r>
              <w:t xml:space="preserve">Quantum-circuit prediction on a simulator, Platt-calibrated probability</w:t>
            </w:r>
          </w:p>
        </w:tc>
        <w:tc>
          <w:tcPr>
            <w:tcW w:w="1996" w:type="dxa"/>
          </w:tcPr>
          <w:p>
            <w:pPr/>
            <w:r>
              <w:t xml:space="preserve">Python, PennyLane</w:t>
            </w:r>
          </w:p>
        </w:tc>
        <w:tc>
          <w:tcPr>
            <w:tcW w:w="1589" w:type="dxa"/>
          </w:tcPr>
          <w:p>
            <w:pPr/>
            <w:r>
              <w:t xml:space="preserve">FR-09</w:t>
            </w:r>
          </w:p>
        </w:tc>
      </w:tr>
      <w:tr>
        <w:tc>
          <w:tcPr>
            <w:tcW w:w="1701" w:type="dxa"/>
          </w:tcPr>
          <w:p>
            <w:pPr/>
            <w:r>
              <w:t xml:space="preserve">Model Registry</w:t>
            </w:r>
          </w:p>
        </w:tc>
        <w:tc>
          <w:tcPr>
            <w:tcW w:w="4074" w:type="dxa"/>
          </w:tcPr>
          <w:p>
            <w:pPr/>
            <w:r>
              <w:t xml:space="preserve">Model versions, validation status, SHA-256 checksums, active version</w:t>
            </w:r>
          </w:p>
        </w:tc>
        <w:tc>
          <w:tcPr>
            <w:tcW w:w="1996" w:type="dxa"/>
          </w:tcPr>
          <w:p>
            <w:pPr/>
            <w:r>
              <w:t xml:space="preserve">Database table plus </w:t>
            </w:r>
            <w:r>
              <w:rPr>
                <w:rStyle w:val="CodeChar"/>
              </w:rPr>
              <w:t xml:space="preserve">registry.json</w:t>
            </w:r>
            <w:r>
              <w:t xml:space="preserve"> and model files</w:t>
            </w:r>
          </w:p>
        </w:tc>
        <w:tc>
          <w:tcPr>
            <w:tcW w:w="1589" w:type="dxa"/>
          </w:tcPr>
          <w:p>
            <w:pPr/>
            <w:r>
              <w:t xml:space="preserve">FR-22 to FR-24, SEC-07</w:t>
            </w:r>
          </w:p>
        </w:tc>
      </w:tr>
      <w:tr>
        <w:tc>
          <w:tcPr>
            <w:tcW w:w="1701" w:type="dxa"/>
          </w:tcPr>
          <w:p>
            <w:pPr/>
            <w:r>
              <w:t xml:space="preserve">Database</w:t>
            </w:r>
          </w:p>
        </w:tc>
        <w:tc>
          <w:tcPr>
            <w:tcW w:w="4074" w:type="dxa"/>
          </w:tcPr>
          <w:p>
            <w:pPr/>
            <w:r>
              <w:t xml:space="preserve">Users, predictions (inputs encrypted), model records, audit logs</w:t>
            </w:r>
          </w:p>
        </w:tc>
        <w:tc>
          <w:tcPr>
            <w:tcW w:w="1996" w:type="dxa"/>
          </w:tcPr>
          <w:p>
            <w:pPr/>
            <w:r>
              <w:t xml:space="preserve">SQLite (local), PostgreSQL (Compose)</w:t>
            </w:r>
          </w:p>
        </w:tc>
        <w:tc>
          <w:tcPr>
            <w:tcW w:w="1589" w:type="dxa"/>
          </w:tcPr>
          <w:p>
            <w:pPr/>
            <w:r>
              <w:t xml:space="preserve">FR-19, FR-20, SEC-05</w:t>
            </w:r>
          </w:p>
        </w:tc>
      </w:tr>
      <w:tr>
        <w:tc>
          <w:tcPr>
            <w:tcW w:w="1701" w:type="dxa"/>
          </w:tcPr>
          <w:p>
            <w:pPr/>
            <w:r>
              <w:t xml:space="preserve">Training Pipeline (offline)</w:t>
            </w:r>
          </w:p>
        </w:tc>
        <w:tc>
          <w:tcPr>
            <w:tcW w:w="4074" w:type="dxa"/>
          </w:tcPr>
          <w:p>
            <w:pPr/>
            <w:r>
              <w:t xml:space="preserve">Splits data, fits the pipeline, trains and cross-validates models, writes registry and report</w:t>
            </w:r>
          </w:p>
        </w:tc>
        <w:tc>
          <w:tcPr>
            <w:tcW w:w="1996" w:type="dxa"/>
          </w:tcPr>
          <w:p>
            <w:pPr/>
            <w:r>
              <w:t xml:space="preserve">Python scripts (</w:t>
            </w:r>
            <w:r>
              <w:rPr>
                <w:rStyle w:val="CodeChar"/>
              </w:rPr>
              <w:t xml:space="preserve">python -m training.train</w:t>
            </w:r>
            <w:r>
              <w:t xml:space="preserve">)</w:t>
            </w:r>
          </w:p>
        </w:tc>
        <w:tc>
          <w:tcPr>
            <w:tcW w:w="1589" w:type="dxa"/>
          </w:tcPr>
          <w:p>
            <w:pPr/>
            <w:r>
              <w:t xml:space="preserve">NFR-06, FR-07</w:t>
            </w:r>
          </w:p>
        </w:tc>
      </w:tr>
    </w:tbl>
    <w:p>
      <w:pPr>
        <w:pStyle w:val="Heading3"/>
      </w:pPr>
      <w:r>
        <w:t xml:space="preserve">2.5 Deployment View</w:t>
      </w:r>
    </w:p>
    <w:p>
      <w:pPr/>
      <w:r>
        <w:t xml:space="preserve">Each runtime component (web server, three prediction services, database) runs in its own Docker container. </w:t>
      </w:r>
      <w:r>
        <w:rPr>
          <w:rStyle w:val="CodeChar"/>
        </w:rPr>
        <w:t xml:space="preserve">docker-compose.yml</w:t>
      </w:r>
      <w:r>
        <w:t xml:space="preserve"> starts them together; only the web server publishes a port, and the prediction services and database are reachable only on the internal Compose network (SEC-08). Containers make the system portable to any Linux host (NFR-13).</w:t>
      </w:r>
    </w:p>
    <w:p>
      <w:pPr/>
      <w:r>
        <w:t xml:space="preserve">Kubernetes (restarting failed containers, scaling replicas for NFR-03 and NFR-08, HTTPS ingress) is the intended production design, but </w:t>
      </w:r>
      <w:r>
        <w:rPr>
          <w:b/>
          <w:bCs/>
        </w:rPr>
        <w:t xml:space="preserve">no Kubernetes manifests are delivered in this release</w:t>
      </w:r>
      <w:r>
        <w:t xml:space="preserve"> (Section 5, D8).</w:t>
      </w:r>
    </w:p>
    <w:p>
      <w:pPr>
        <w:pStyle w:val="Heading3"/>
      </w:pPr>
      <w:r>
        <w:t xml:space="preserve">2.6 Traceability to Requirements</w:t>
      </w:r>
    </w:p>
    <w:tbl>
      <w:tblPr>
        <w:tblStyle w:val="TableGrid"/>
        <w:tblW w:w="0" w:type="auto"/>
        <w:tblLayout w:type="fixed"/>
        <w:tblLook w:val="04A0" w:firstRow="1" w:lastRow="0" w:firstColumn="0" w:lastColumn="0" w:noHBand="0" w:noVBand="1"/>
      </w:tblPr>
      <w:tblGrid>
        <w:gridCol w:w="2919"/>
        <w:gridCol w:w="1879"/>
        <w:gridCol w:w="4562"/>
      </w:tblGrid>
      <w:tr>
        <w:trPr>
          <w:tblHeader/>
        </w:trPr>
        <w:tc>
          <w:tcPr>
            <w:tcW w:w="2919" w:type="dxa"/>
            <w:shd w:val="clear" w:color="auto" w:fill="F2F2F2"/>
          </w:tcPr>
          <w:p>
            <w:pPr/>
            <w:r>
              <w:t xml:space="preserve">SRS requirement</w:t>
            </w:r>
          </w:p>
        </w:tc>
        <w:tc>
          <w:tcPr>
            <w:tcW w:w="1879" w:type="dxa"/>
            <w:shd w:val="clear" w:color="auto" w:fill="F2F2F2"/>
          </w:tcPr>
          <w:p>
            <w:pPr/>
            <w:r>
              <w:t xml:space="preserve">Realized by (component)</w:t>
            </w:r>
          </w:p>
        </w:tc>
        <w:tc>
          <w:tcPr>
            <w:tcW w:w="4562" w:type="dxa"/>
            <w:shd w:val="clear" w:color="auto" w:fill="F2F2F2"/>
          </w:tcPr>
          <w:p>
            <w:pPr/>
            <w:r>
              <w:t xml:space="preserve">Design element</w:t>
            </w:r>
          </w:p>
        </w:tc>
      </w:tr>
      <w:tr>
        <w:tc>
          <w:tcPr>
            <w:tcW w:w="2919" w:type="dxa"/>
          </w:tcPr>
          <w:p>
            <w:pPr/>
            <w:r>
              <w:t xml:space="preserve">FR-01 to FR-03</w:t>
            </w:r>
          </w:p>
        </w:tc>
        <w:tc>
          <w:tcPr>
            <w:tcW w:w="1879" w:type="dxa"/>
          </w:tcPr>
          <w:p>
            <w:pPr/>
            <w:r>
              <w:t xml:space="preserve">Auth and RBAC module</w:t>
            </w:r>
          </w:p>
        </w:tc>
        <w:tc>
          <w:tcPr>
            <w:tcW w:w="4562" w:type="dxa"/>
          </w:tcPr>
          <w:p>
            <w:pPr/>
            <w:r>
              <w:rPr>
                <w:rStyle w:val="CodeChar"/>
              </w:rPr>
              <w:t xml:space="preserve">POST /auth/login</w:t>
            </w:r>
            <w:r>
              <w:t xml:space="preserve">; signed token with 15-minute expiry, renewed on each request</w:t>
            </w:r>
          </w:p>
        </w:tc>
      </w:tr>
      <w:tr>
        <w:tc>
          <w:tcPr>
            <w:tcW w:w="2919" w:type="dxa"/>
          </w:tcPr>
          <w:p>
            <w:pPr/>
            <w:r>
              <w:t xml:space="preserve">FR-04 to FR-06</w:t>
            </w:r>
          </w:p>
        </w:tc>
        <w:tc>
          <w:tcPr>
            <w:tcW w:w="1879" w:type="dxa"/>
          </w:tcPr>
          <w:p>
            <w:pPr/>
            <w:r>
              <w:t xml:space="preserve">Web Client, Web Server</w:t>
            </w:r>
          </w:p>
        </w:tc>
        <w:tc>
          <w:tcPr>
            <w:tcW w:w="4562" w:type="dxa"/>
          </w:tcPr>
          <w:p>
            <w:pPr/>
            <w:r>
              <w:t xml:space="preserve">Form UI, validation ranges, </w:t>
            </w:r>
            <w:r>
              <w:rPr>
                <w:rStyle w:val="CodeChar"/>
              </w:rPr>
              <w:t xml:space="preserve">VALIDATION_ERROR</w:t>
            </w:r>
            <w:r>
              <w:t xml:space="preserve"> response listing every invalid field</w:t>
            </w:r>
          </w:p>
        </w:tc>
      </w:tr>
      <w:tr>
        <w:tc>
          <w:tcPr>
            <w:tcW w:w="2919" w:type="dxa"/>
          </w:tcPr>
          <w:p>
            <w:pPr/>
            <w:r>
              <w:t xml:space="preserve">FR-07, FR-08</w:t>
            </w:r>
          </w:p>
        </w:tc>
        <w:tc>
          <w:tcPr>
            <w:tcW w:w="1879" w:type="dxa"/>
          </w:tcPr>
          <w:p>
            <w:pPr/>
            <w:r>
              <w:t xml:space="preserve">Preprocessing module</w:t>
            </w:r>
          </w:p>
        </w:tc>
        <w:tc>
          <w:tcPr>
            <w:tcW w:w="4562" w:type="dxa"/>
          </w:tcPr>
          <w:p>
            <w:pPr/>
            <w:r>
              <w:t xml:space="preserve">Versioned pipeline (pipeline-1.0), version check before each call</w:t>
            </w:r>
          </w:p>
        </w:tc>
      </w:tr>
      <w:tr>
        <w:tc>
          <w:tcPr>
            <w:tcW w:w="2919" w:type="dxa"/>
          </w:tcPr>
          <w:p>
            <w:pPr/>
            <w:r>
              <w:t xml:space="preserve">FR-09 to FR-15</w:t>
            </w:r>
          </w:p>
        </w:tc>
        <w:tc>
          <w:tcPr>
            <w:tcW w:w="1879" w:type="dxa"/>
          </w:tcPr>
          <w:p>
            <w:pPr/>
            <w:r>
              <w:t xml:space="preserve">Prediction Orchestrator, ML/DL/QML services</w:t>
            </w:r>
          </w:p>
        </w:tc>
        <w:tc>
          <w:tcPr>
            <w:tcW w:w="4562" w:type="dxa"/>
          </w:tcPr>
          <w:p>
            <w:pPr/>
            <w:r>
              <w:rPr>
                <w:rStyle w:val="CodeChar"/>
              </w:rPr>
              <w:t xml:space="preserve">POST /predictions</w:t>
            </w:r>
            <w:r>
              <w:t xml:space="preserve">, internal </w:t>
            </w:r>
            <w:r>
              <w:rPr>
                <w:rStyle w:val="CodeChar"/>
              </w:rPr>
              <w:t xml:space="preserve">POST /predict</w:t>
            </w:r>
            <w:r>
              <w:t xml:space="preserve">, risk thresholds in configuration</w:t>
            </w:r>
          </w:p>
        </w:tc>
      </w:tr>
      <w:tr>
        <w:tc>
          <w:tcPr>
            <w:tcW w:w="2919" w:type="dxa"/>
          </w:tcPr>
          <w:p>
            <w:pPr/>
            <w:r>
              <w:t xml:space="preserve">FR-16</w:t>
            </w:r>
          </w:p>
        </w:tc>
        <w:tc>
          <w:tcPr>
            <w:tcW w:w="1879" w:type="dxa"/>
          </w:tcPr>
          <w:p>
            <w:pPr/>
            <w:r>
              <w:t xml:space="preserve">Web Client</w:t>
            </w:r>
          </w:p>
        </w:tc>
        <w:tc>
          <w:tcPr>
            <w:tcW w:w="4562" w:type="dxa"/>
          </w:tcPr>
          <w:p>
            <w:pPr/>
            <w:r>
              <w:t xml:space="preserve">Clear button resets form state</w:t>
            </w:r>
          </w:p>
        </w:tc>
      </w:tr>
      <w:tr>
        <w:tc>
          <w:tcPr>
            <w:tcW w:w="2919" w:type="dxa"/>
          </w:tcPr>
          <w:p>
            <w:pPr/>
            <w:r>
              <w:t xml:space="preserve">FR-17, FR-18</w:t>
            </w:r>
          </w:p>
        </w:tc>
        <w:tc>
          <w:tcPr>
            <w:tcW w:w="1879" w:type="dxa"/>
          </w:tcPr>
          <w:p>
            <w:pPr/>
            <w:r>
              <w:t xml:space="preserve">Web Server</w:t>
            </w:r>
          </w:p>
        </w:tc>
        <w:tc>
          <w:tcPr>
            <w:tcW w:w="4562" w:type="dxa"/>
          </w:tcPr>
          <w:p>
            <w:pPr/>
            <w:r>
              <w:t xml:space="preserve">10-second limit with one retry, </w:t>
            </w:r>
            <w:r>
              <w:rPr>
                <w:rStyle w:val="CodeChar"/>
              </w:rPr>
              <w:t xml:space="preserve">SERVICE_UNAVAILABLE</w:t>
            </w:r>
            <w:r>
              <w:t xml:space="preserve"> error, structured error log</w:t>
            </w:r>
          </w:p>
        </w:tc>
      </w:tr>
      <w:tr>
        <w:tc>
          <w:tcPr>
            <w:tcW w:w="2919" w:type="dxa"/>
          </w:tcPr>
          <w:p>
            <w:pPr/>
            <w:r>
              <w:t xml:space="preserve">FR-19 to FR-21</w:t>
            </w:r>
          </w:p>
        </w:tc>
        <w:tc>
          <w:tcPr>
            <w:tcW w:w="1879" w:type="dxa"/>
          </w:tcPr>
          <w:p>
            <w:pPr/>
            <w:r>
              <w:t xml:space="preserve">Database, Web Server</w:t>
            </w:r>
          </w:p>
        </w:tc>
        <w:tc>
          <w:tcPr>
            <w:tcW w:w="4562" w:type="dxa"/>
          </w:tcPr>
          <w:p>
            <w:pPr/>
            <w:r>
              <w:rPr>
                <w:rStyle w:val="CodeChar"/>
              </w:rPr>
              <w:t xml:space="preserve">predictions</w:t>
            </w:r>
            <w:r>
              <w:t xml:space="preserve"> table, </w:t>
            </w:r>
            <w:r>
              <w:rPr>
                <w:rStyle w:val="CodeChar"/>
              </w:rPr>
              <w:t xml:space="preserve">GET/DELETE /predictions</w:t>
            </w:r>
          </w:p>
        </w:tc>
      </w:tr>
      <w:tr>
        <w:tc>
          <w:tcPr>
            <w:tcW w:w="2919" w:type="dxa"/>
          </w:tcPr>
          <w:p>
            <w:pPr/>
            <w:r>
              <w:t xml:space="preserve">FR-22 to FR-24</w:t>
            </w:r>
          </w:p>
        </w:tc>
        <w:tc>
          <w:tcPr>
            <w:tcW w:w="1879" w:type="dxa"/>
          </w:tcPr>
          <w:p>
            <w:pPr/>
            <w:r>
              <w:t xml:space="preserve">Model Registry</w:t>
            </w:r>
          </w:p>
        </w:tc>
        <w:tc>
          <w:tcPr>
            <w:tcW w:w="4562" w:type="dxa"/>
          </w:tcPr>
          <w:p>
            <w:pPr/>
            <w:r>
              <w:rPr>
                <w:rStyle w:val="CodeChar"/>
              </w:rPr>
              <w:t xml:space="preserve">models</w:t>
            </w:r>
            <w:r>
              <w:t xml:space="preserve"> table, </w:t>
            </w:r>
            <w:r>
              <w:rPr>
                <w:rStyle w:val="CodeChar"/>
              </w:rPr>
              <w:t xml:space="preserve">registry.json</w:t>
            </w:r>
            <w:r>
              <w:t xml:space="preserve">, </w:t>
            </w:r>
            <w:r>
              <w:rPr>
                <w:rStyle w:val="CodeChar"/>
              </w:rPr>
              <w:t xml:space="preserve">PUT /models/{id}/activate</w:t>
            </w:r>
          </w:p>
        </w:tc>
      </w:tr>
      <w:tr>
        <w:tc>
          <w:tcPr>
            <w:tcW w:w="2919" w:type="dxa"/>
          </w:tcPr>
          <w:p>
            <w:pPr/>
            <w:r>
              <w:t xml:space="preserve">NFR-01, NFR-03, NFR-08</w:t>
            </w:r>
          </w:p>
        </w:tc>
        <w:tc>
          <w:tcPr>
            <w:tcW w:w="1879" w:type="dxa"/>
          </w:tcPr>
          <w:p>
            <w:pPr/>
            <w:r>
              <w:t xml:space="preserve">Containers, microservices</w:t>
            </w:r>
          </w:p>
        </w:tc>
        <w:tc>
          <w:tcPr>
            <w:tcW w:w="4562" w:type="dxa"/>
          </w:tcPr>
          <w:p>
            <w:pPr/>
            <w:r>
              <w:t xml:space="preserve">Stateless services and replicas (design; not yet measured)</w:t>
            </w:r>
          </w:p>
        </w:tc>
      </w:tr>
      <w:tr>
        <w:tc>
          <w:tcPr>
            <w:tcW w:w="2919" w:type="dxa"/>
          </w:tcPr>
          <w:p>
            <w:pPr/>
            <w:r>
              <w:t xml:space="preserve">NFR-06, NFR-07</w:t>
            </w:r>
          </w:p>
        </w:tc>
        <w:tc>
          <w:tcPr>
            <w:tcW w:w="1879" w:type="dxa"/>
          </w:tcPr>
          <w:p>
            <w:pPr/>
            <w:r>
              <w:t xml:space="preserve">Training Pipeline, services</w:t>
            </w:r>
          </w:p>
        </w:tc>
        <w:tc>
          <w:tcPr>
            <w:tcW w:w="4562" w:type="dxa"/>
          </w:tcPr>
          <w:p>
            <w:pPr/>
            <w:r>
              <w:t xml:space="preserve">Held-out validation gate, fixed random seeds, deterministic inference</w:t>
            </w:r>
          </w:p>
        </w:tc>
      </w:tr>
      <w:tr>
        <w:tc>
          <w:tcPr>
            <w:tcW w:w="2919" w:type="dxa"/>
          </w:tcPr>
          <w:p>
            <w:pPr/>
            <w:r>
              <w:t xml:space="preserve">NFR-10, NFR-13</w:t>
            </w:r>
          </w:p>
        </w:tc>
        <w:tc>
          <w:tcPr>
            <w:tcW w:w="1879" w:type="dxa"/>
          </w:tcPr>
          <w:p>
            <w:pPr/>
            <w:r>
              <w:t xml:space="preserve">Whole system</w:t>
            </w:r>
          </w:p>
        </w:tc>
        <w:tc>
          <w:tcPr>
            <w:tcW w:w="4562" w:type="dxa"/>
          </w:tcPr>
          <w:p>
            <w:pPr/>
            <w:r>
              <w:t xml:space="preserve">Separate modules and containers; pytest suite</w:t>
            </w:r>
          </w:p>
        </w:tc>
      </w:tr>
      <w:tr>
        <w:tc>
          <w:tcPr>
            <w:tcW w:w="2919" w:type="dxa"/>
          </w:tcPr>
          <w:p>
            <w:pPr/>
            <w:r>
              <w:t xml:space="preserve">SEC-01 to SEC-10</w:t>
            </w:r>
          </w:p>
        </w:tc>
        <w:tc>
          <w:tcPr>
            <w:tcW w:w="1879" w:type="dxa"/>
          </w:tcPr>
          <w:p>
            <w:pPr/>
            <w:r>
              <w:t xml:space="preserve">Section 2.7</w:t>
            </w:r>
          </w:p>
        </w:tc>
        <w:tc>
          <w:tcPr>
            <w:tcW w:w="4562" w:type="dxa"/>
          </w:tcPr>
          <w:p>
            <w:pPr/>
            <w:r>
              <w:t xml:space="preserve">Security architecture below</w:t>
            </w:r>
          </w:p>
        </w:tc>
      </w:tr>
    </w:tbl>
    <w:p>
      <w:pPr>
        <w:pStyle w:val="Heading3"/>
      </w:pPr>
      <w:r>
        <w:t xml:space="preserve">2.7 Security Architecture</w:t>
      </w:r>
    </w:p>
    <w:tbl>
      <w:tblPr>
        <w:tblStyle w:val="TableGrid"/>
        <w:tblW w:w="0" w:type="auto"/>
        <w:tblLayout w:type="fixed"/>
        <w:tblLook w:val="04A0" w:firstRow="1" w:lastRow="0" w:firstColumn="0" w:lastColumn="0" w:noHBand="0" w:noVBand="1"/>
      </w:tblPr>
      <w:tblGrid>
        <w:gridCol w:w="1978"/>
        <w:gridCol w:w="4499"/>
        <w:gridCol w:w="2883"/>
      </w:tblGrid>
      <w:tr>
        <w:trPr>
          <w:tblHeader/>
        </w:trPr>
        <w:tc>
          <w:tcPr>
            <w:tcW w:w="1978" w:type="dxa"/>
            <w:shd w:val="clear" w:color="auto" w:fill="F2F2F2"/>
          </w:tcPr>
          <w:p>
            <w:pPr/>
            <w:r>
              <w:t xml:space="preserve">Layer</w:t>
            </w:r>
          </w:p>
        </w:tc>
        <w:tc>
          <w:tcPr>
            <w:tcW w:w="4499" w:type="dxa"/>
            <w:shd w:val="clear" w:color="auto" w:fill="F2F2F2"/>
          </w:tcPr>
          <w:p>
            <w:pPr/>
            <w:r>
              <w:t xml:space="preserve">Control</w:t>
            </w:r>
          </w:p>
        </w:tc>
        <w:tc>
          <w:tcPr>
            <w:tcW w:w="2883" w:type="dxa"/>
            <w:shd w:val="clear" w:color="auto" w:fill="F2F2F2"/>
          </w:tcPr>
          <w:p>
            <w:pPr/>
            <w:r>
              <w:t xml:space="preserve">Requirement</w:t>
            </w:r>
          </w:p>
        </w:tc>
      </w:tr>
      <w:tr>
        <w:tc>
          <w:tcPr>
            <w:tcW w:w="1978" w:type="dxa"/>
          </w:tcPr>
          <w:p>
            <w:pPr/>
            <w:r>
              <w:t xml:space="preserve">Network</w:t>
            </w:r>
          </w:p>
        </w:tc>
        <w:tc>
          <w:tcPr>
            <w:tcW w:w="4499" w:type="dxa"/>
          </w:tcPr>
          <w:p>
            <w:pPr/>
            <w:r>
              <w:t xml:space="preserve">TLS 1.2+ required at the ingress or reverse proxy (the development server uses HTTP); prediction services and database reachable only on the internal Compose network</w:t>
            </w:r>
          </w:p>
        </w:tc>
        <w:tc>
          <w:tcPr>
            <w:tcW w:w="2883" w:type="dxa"/>
          </w:tcPr>
          <w:p>
            <w:pPr/>
            <w:r>
              <w:t xml:space="preserve">SEC-03, SEC-08</w:t>
            </w:r>
          </w:p>
        </w:tc>
      </w:tr>
      <w:tr>
        <w:tc>
          <w:tcPr>
            <w:tcW w:w="1978" w:type="dxa"/>
          </w:tcPr>
          <w:p>
            <w:pPr/>
            <w:r>
              <w:t xml:space="preserve">Authentication</w:t>
            </w:r>
          </w:p>
        </w:tc>
        <w:tc>
          <w:tcPr>
            <w:tcW w:w="4499" w:type="dxa"/>
          </w:tcPr>
          <w:p>
            <w:pPr/>
            <w:r>
              <w:t xml:space="preserve">Salted bcrypt hashes, policy of 10+ characters enforced by the admin API, lockout after 5 failures for 15 minutes, signed token in the Authorization header</w:t>
            </w:r>
          </w:p>
        </w:tc>
        <w:tc>
          <w:tcPr>
            <w:tcW w:w="2883" w:type="dxa"/>
          </w:tcPr>
          <w:p>
            <w:pPr/>
            <w:r>
              <w:t xml:space="preserve">SEC-01, SEC-02</w:t>
            </w:r>
          </w:p>
        </w:tc>
      </w:tr>
      <w:tr>
        <w:tc>
          <w:tcPr>
            <w:tcW w:w="1978" w:type="dxa"/>
          </w:tcPr>
          <w:p>
            <w:pPr/>
            <w:r>
              <w:t xml:space="preserve">Authorization</w:t>
            </w:r>
          </w:p>
        </w:tc>
        <w:tc>
          <w:tcPr>
            <w:tcW w:w="4499" w:type="dxa"/>
          </w:tcPr>
          <w:p>
            <w:pPr/>
            <w:r>
              <w:t xml:space="preserve">Role check as a decorator on every protected endpoint; HTTP 403 on violation</w:t>
            </w:r>
          </w:p>
        </w:tc>
        <w:tc>
          <w:tcPr>
            <w:tcW w:w="2883" w:type="dxa"/>
          </w:tcPr>
          <w:p>
            <w:pPr/>
            <w:r>
              <w:t xml:space="preserve">SEC-04</w:t>
            </w:r>
          </w:p>
        </w:tc>
      </w:tr>
      <w:tr>
        <w:tc>
          <w:tcPr>
            <w:tcW w:w="1978" w:type="dxa"/>
          </w:tcPr>
          <w:p>
            <w:pPr/>
            <w:r>
              <w:t xml:space="preserve">Input protection</w:t>
            </w:r>
          </w:p>
        </w:tc>
        <w:tc>
          <w:tcPr>
            <w:tcW w:w="4499" w:type="dxa"/>
          </w:tcPr>
          <w:p>
            <w:pPr/>
            <w:r>
              <w:t xml:space="preserve">Range and type validation on all inputs; ORM (parameterized SQL) only; client renders text with </w:t>
            </w:r>
            <w:r>
              <w:rPr>
                <w:rStyle w:val="CodeChar"/>
              </w:rPr>
              <w:t xml:space="preserve">textContent</w:t>
            </w:r>
            <w:r>
              <w:t xml:space="preserve">; prediction services accept only schema-valid, finite JSON up to 16 KB</w:t>
            </w:r>
          </w:p>
        </w:tc>
        <w:tc>
          <w:tcPr>
            <w:tcW w:w="2883" w:type="dxa"/>
          </w:tcPr>
          <w:p>
            <w:pPr/>
            <w:r>
              <w:t xml:space="preserve">SEC-06</w:t>
            </w:r>
          </w:p>
        </w:tc>
      </w:tr>
      <w:tr>
        <w:tc>
          <w:tcPr>
            <w:tcW w:w="1978" w:type="dxa"/>
          </w:tcPr>
          <w:p>
            <w:pPr/>
            <w:r>
              <w:t xml:space="preserve">Data protection</w:t>
            </w:r>
          </w:p>
        </w:tc>
        <w:tc>
          <w:tcPr>
            <w:tcW w:w="4499" w:type="dxa"/>
          </w:tcPr>
          <w:p>
            <w:pPr/>
            <w:r>
              <w:t xml:space="preserve">AES-256-GCM encryption of stored inputs; auto-generated pseudonymous </w:t>
            </w:r>
            <w:r>
              <w:rPr>
                <w:rStyle w:val="CodeChar"/>
              </w:rPr>
              <w:t xml:space="preserve">patient_ref</w:t>
            </w:r>
            <w:r>
              <w:t xml:space="preserve">; no patient data in logs</w:t>
            </w:r>
          </w:p>
        </w:tc>
        <w:tc>
          <w:tcPr>
            <w:tcW w:w="2883" w:type="dxa"/>
          </w:tcPr>
          <w:p>
            <w:pPr/>
            <w:r>
              <w:t xml:space="preserve">SEC-03, SEC-10 (partial)</w:t>
            </w:r>
          </w:p>
        </w:tc>
      </w:tr>
      <w:tr>
        <w:tc>
          <w:tcPr>
            <w:tcW w:w="1978" w:type="dxa"/>
          </w:tcPr>
          <w:p>
            <w:pPr/>
            <w:r>
              <w:t xml:space="preserve">Model integrity</w:t>
            </w:r>
          </w:p>
        </w:tc>
        <w:tc>
          <w:tcPr>
            <w:tcW w:w="4499" w:type="dxa"/>
          </w:tcPr>
          <w:p>
            <w:pPr/>
            <w:r>
              <w:t xml:space="preserve">SHA-256 checksum verified when a model is registered and again when a service loads it; only models marked validated are served</w:t>
            </w:r>
          </w:p>
        </w:tc>
        <w:tc>
          <w:tcPr>
            <w:tcW w:w="2883" w:type="dxa"/>
          </w:tcPr>
          <w:p>
            <w:pPr/>
            <w:r>
              <w:t xml:space="preserve">SEC-07, FR-22</w:t>
            </w:r>
          </w:p>
        </w:tc>
      </w:tr>
      <w:tr>
        <w:tc>
          <w:tcPr>
            <w:tcW w:w="1978" w:type="dxa"/>
          </w:tcPr>
          <w:p>
            <w:pPr/>
            <w:r>
              <w:t xml:space="preserve">Abuse protection</w:t>
            </w:r>
          </w:p>
        </w:tc>
        <w:tc>
          <w:tcPr>
            <w:tcW w:w="4499" w:type="dxa"/>
          </w:tcPr>
          <w:p>
            <w:pPr/>
            <w:r>
              <w:t xml:space="preserve">60 requests per minute per user, held in memory per process</w:t>
            </w:r>
          </w:p>
        </w:tc>
        <w:tc>
          <w:tcPr>
            <w:tcW w:w="2883" w:type="dxa"/>
          </w:tcPr>
          <w:p>
            <w:pPr/>
            <w:r>
              <w:t xml:space="preserve">SEC-09</w:t>
            </w:r>
          </w:p>
        </w:tc>
      </w:tr>
      <w:tr>
        <w:tc>
          <w:tcPr>
            <w:tcW w:w="1978" w:type="dxa"/>
          </w:tcPr>
          <w:p>
            <w:pPr/>
            <w:r>
              <w:t xml:space="preserve">Accountability</w:t>
            </w:r>
          </w:p>
        </w:tc>
        <w:tc>
          <w:tcPr>
            <w:tcW w:w="4499" w:type="dxa"/>
          </w:tcPr>
          <w:p>
            <w:pPr/>
            <w:r>
              <w:t xml:space="preserve">Audit log for login, prediction, deletion, model activation and user creation; records are never purged</w:t>
            </w:r>
          </w:p>
        </w:tc>
        <w:tc>
          <w:tcPr>
            <w:tcW w:w="2883" w:type="dxa"/>
          </w:tcPr>
          <w:p>
            <w:pPr/>
            <w:r>
              <w:t xml:space="preserve">SEC-05</w:t>
            </w:r>
          </w:p>
        </w:tc>
      </w:tr>
    </w:tbl>
    <w:p>
      <w:pPr>
        <w:pStyle w:val="Heading3"/>
      </w:pPr>
      <w:r>
        <w:t xml:space="preserve">2.8 Other Design Decisions</w:t>
      </w:r>
    </w:p>
    <w:p>
      <w:pPr>
        <w:pStyle w:val="ListParagraph"/>
        <w:numPr>
          <w:ilvl w:val="0"/>
          <w:numId w:val="5"/>
        </w:numPr>
      </w:pPr>
      <w:r>
        <w:t xml:space="preserve">The web server keeps no session state (signed tokens); the only in-memory state is the rate-limit counter.</w:t>
      </w:r>
    </w:p>
    <w:p>
      <w:pPr>
        <w:pStyle w:val="ListParagraph"/>
        <w:numPr>
          <w:ilvl w:val="0"/>
          <w:numId w:val="5"/>
        </w:numPr>
      </w:pPr>
      <w:r>
        <w:t xml:space="preserve">Prediction services are stateless and read-only: they load a model version on first use, verify its checksum, cache it and only compute.</w:t>
      </w:r>
    </w:p>
    <w:p>
      <w:pPr>
        <w:pStyle w:val="ListParagraph"/>
        <w:numPr>
          <w:ilvl w:val="0"/>
          <w:numId w:val="5"/>
        </w:numPr>
      </w:pPr>
      <w:r>
        <w:t xml:space="preserve">Risk thresholds (30% and 70%) and the default model are configuration values (</w:t>
      </w:r>
      <w:r>
        <w:rPr>
          <w:rStyle w:val="CodeChar"/>
        </w:rPr>
        <w:t xml:space="preserve">RISK_LOW</w:t>
      </w:r>
      <w:r>
        <w:t xml:space="preserve">, </w:t>
      </w:r>
      <w:r>
        <w:rPr>
          <w:rStyle w:val="CodeChar"/>
        </w:rPr>
        <w:t xml:space="preserve">RISK_HIGH</w:t>
      </w:r>
      <w:r>
        <w:t xml:space="preserve">, </w:t>
      </w:r>
      <w:r>
        <w:rPr>
          <w:rStyle w:val="CodeChar"/>
        </w:rPr>
        <w:t xml:space="preserve">DEFAULT_MODEL</w:t>
      </w:r>
      <w:r>
        <w:t xml:space="preserve">), not administrator screens.</w:t>
      </w:r>
    </w:p>
    <w:p>
      <w:pPr>
        <w:pStyle w:val="ListParagraph"/>
        <w:numPr>
          <w:ilvl w:val="0"/>
          <w:numId w:val="5"/>
        </w:numPr>
      </w:pPr>
      <w:r>
        <w:t xml:space="preserve">A prediction is stored only after validation and a model reply.</w:t>
      </w:r>
    </w:p>
    <w:p>
      <w:pPr>
        <w:pStyle w:val="ListParagraph"/>
        <w:numPr>
          <w:ilvl w:val="0"/>
          <w:numId w:val="5"/>
        </w:numPr>
      </w:pPr>
      <w:r>
        <w:t xml:space="preserve">The QML service runs on a simulator in this release (SRS assumption).</w:t>
      </w:r>
    </w:p>
    <w:p>
      <w:pPr>
        <w:pStyle w:val="Heading2"/>
      </w:pPr>
      <w:r>
        <w:t xml:space="preserve">3 Design</w:t>
      </w:r>
    </w:p>
    <w:p>
      <w:pPr>
        <w:pStyle w:val="Heading3"/>
      </w:pPr>
      <w:r>
        <w:t xml:space="preserve">3.1 Sequence Flows</w:t>
      </w:r>
    </w:p>
    <w:p>
      <w:pPr/>
      <w:r>
        <w:t xml:space="preserve">Two scenarios are modelled: login with lockout handling, and the main prediction flow.</w:t>
      </w:r>
    </w:p>
    <w:p>
      <w:pPr/>
      <w:r>
        <w:rPr>
          <w:b/>
          <w:bCs/>
        </w:rPr>
        <w:t xml:space="preserve">SD-1: User login (FR-01, FR-03, SEC-02)</w:t>
      </w:r>
    </w:p>
    <w:p>
      <w:pPr>
        <w:pStyle w:val="ListParagraph"/>
        <w:numPr>
          <w:ilvl w:val="0"/>
          <w:numId w:val="6"/>
        </w:numPr>
      </w:pPr>
      <w:r>
        <w:t xml:space="preserve">The client sends username and password to </w:t>
      </w:r>
      <w:r>
        <w:rPr>
          <w:rStyle w:val="CodeChar"/>
        </w:rPr>
        <w:t xml:space="preserve">POST /auth/login</w:t>
      </w:r>
      <w:r>
        <w:t xml:space="preserve">.</w:t>
      </w:r>
    </w:p>
    <w:p>
      <w:pPr>
        <w:pStyle w:val="ListParagraph"/>
        <w:numPr>
          <w:ilvl w:val="0"/>
          <w:numId w:val="6"/>
        </w:numPr>
      </w:pPr>
      <w:r>
        <w:t xml:space="preserve">The server looks the user up. If the account is locked, it returns </w:t>
      </w:r>
      <w:r>
        <w:rPr>
          <w:rStyle w:val="CodeChar"/>
        </w:rPr>
        <w:t xml:space="preserve">ACCOUNT_LOCKED</w:t>
      </w:r>
      <w:r>
        <w:t xml:space="preserve"> (423).</w:t>
      </w:r>
    </w:p>
    <w:p>
      <w:pPr>
        <w:pStyle w:val="ListParagraph"/>
        <w:numPr>
          <w:ilvl w:val="0"/>
          <w:numId w:val="6"/>
        </w:numPr>
      </w:pPr>
      <w:r>
        <w:t xml:space="preserve">The server checks the password against the bcrypt hash.</w:t>
      </w:r>
    </w:p>
    <w:p>
      <w:pPr>
        <w:pStyle w:val="ListParagraph"/>
        <w:numPr>
          <w:ilvl w:val="0"/>
          <w:numId w:val="6"/>
        </w:numPr>
      </w:pPr>
      <w:r>
        <w:t xml:space="preserve">On success it resets the failure counter, writes a </w:t>
      </w:r>
      <w:r>
        <w:rPr>
          <w:rStyle w:val="CodeChar"/>
        </w:rPr>
        <w:t xml:space="preserve">login</w:t>
      </w:r>
      <w:r>
        <w:t xml:space="preserve"> audit entry and returns a signed token (15 minutes) and the role.</w:t>
      </w:r>
    </w:p>
    <w:p>
      <w:pPr>
        <w:pStyle w:val="ListParagraph"/>
        <w:numPr>
          <w:ilvl w:val="0"/>
          <w:numId w:val="6"/>
        </w:numPr>
      </w:pPr>
      <w:r>
        <w:t xml:space="preserve">On failure it increments the counter and returns </w:t>
      </w:r>
      <w:r>
        <w:rPr>
          <w:rStyle w:val="CodeChar"/>
        </w:rPr>
        <w:t xml:space="preserve">UNAUTHENTICATED</w:t>
      </w:r>
      <w:r>
        <w:t xml:space="preserve"> (401). The fifth consecutive failure locks the account for 15 minutes and returns </w:t>
      </w:r>
      <w:r>
        <w:rPr>
          <w:rStyle w:val="CodeChar"/>
        </w:rPr>
        <w:t xml:space="preserve">ACCOUNT_LOCKED</w:t>
      </w:r>
      <w:r>
        <w:t xml:space="preserve"> (423).</w:t>
      </w:r>
    </w:p>
    <w:p>
      <w:pPr>
        <w:pStyle w:val="ListParagraph"/>
        <w:numPr>
          <w:ilvl w:val="0"/>
          <w:numId w:val="6"/>
        </w:numPr>
      </w:pPr>
      <w:r>
        <w:t xml:space="preserve">Every later authenticated response carries a renewed token in the </w:t>
      </w:r>
      <w:r>
        <w:rPr>
          <w:rStyle w:val="CodeChar"/>
        </w:rPr>
        <w:t xml:space="preserve">X-Token</w:t>
      </w:r>
      <w:r>
        <w:t xml:space="preserve"> header, so the session ends after 15 minutes of inactivity.</w:t>
      </w:r>
    </w:p>
    <w:p>
      <w:pPr/>
      <w:r>
        <w:rPr>
          <w:b/>
          <w:bCs/>
        </w:rPr>
        <w:t xml:space="preserve">SD-2: Get prediction (FR-05 to FR-13, FR-17, FR-19)</w:t>
      </w:r>
    </w:p>
    <w:p>
      <w:pPr>
        <w:pStyle w:val="ListParagraph"/>
        <w:numPr>
          <w:ilvl w:val="0"/>
          <w:numId w:val="7"/>
        </w:numPr>
      </w:pPr>
      <w:r>
        <w:t xml:space="preserve">The client sends the 11 fields and the chosen model to </w:t>
      </w:r>
      <w:r>
        <w:rPr>
          <w:rStyle w:val="CodeChar"/>
        </w:rPr>
        <w:t xml:space="preserve">POST /predictions</w:t>
      </w:r>
      <w:r>
        <w:t xml:space="preserve"> with the token.</w:t>
      </w:r>
    </w:p>
    <w:p>
      <w:pPr>
        <w:pStyle w:val="ListParagraph"/>
        <w:numPr>
          <w:ilvl w:val="0"/>
          <w:numId w:val="7"/>
        </w:numPr>
      </w:pPr>
      <w:r>
        <w:t xml:space="preserve">The server checks the token, the role and the rate limit (</w:t>
      </w:r>
      <w:r>
        <w:rPr>
          <w:rStyle w:val="CodeChar"/>
        </w:rPr>
        <w:t xml:space="preserve">UNAUTHENTICATED</w:t>
      </w:r>
      <w:r>
        <w:t xml:space="preserve">, </w:t>
      </w:r>
      <w:r>
        <w:rPr>
          <w:rStyle w:val="CodeChar"/>
        </w:rPr>
        <w:t xml:space="preserve">FORBIDDEN</w:t>
      </w:r>
      <w:r>
        <w:t xml:space="preserve">, </w:t>
      </w:r>
      <w:r>
        <w:rPr>
          <w:rStyle w:val="CodeChar"/>
        </w:rPr>
        <w:t xml:space="preserve">RATE_LIMITED</w:t>
      </w:r>
      <w:r>
        <w:t xml:space="preserve">).</w:t>
      </w:r>
    </w:p>
    <w:p>
      <w:pPr>
        <w:pStyle w:val="ListParagraph"/>
        <w:numPr>
          <w:ilvl w:val="0"/>
          <w:numId w:val="7"/>
        </w:numPr>
      </w:pPr>
      <w:r>
        <w:t xml:space="preserve">The server validates every field. If any is invalid it returns </w:t>
      </w:r>
      <w:r>
        <w:rPr>
          <w:rStyle w:val="CodeChar"/>
        </w:rPr>
        <w:t xml:space="preserve">VALIDATION_ERROR</w:t>
      </w:r>
      <w:r>
        <w:t xml:space="preserve"> (400) listing all invalid fields, and calls no service.</w:t>
      </w:r>
    </w:p>
    <w:p>
      <w:pPr>
        <w:pStyle w:val="ListParagraph"/>
        <w:numPr>
          <w:ilvl w:val="0"/>
          <w:numId w:val="7"/>
        </w:numPr>
      </w:pPr>
      <w:r>
        <w:t xml:space="preserve">The server finds the active, validated model of the chosen type. If there is none it returns </w:t>
      </w:r>
      <w:r>
        <w:rPr>
          <w:rStyle w:val="CodeChar"/>
        </w:rPr>
        <w:t xml:space="preserve">SERVICE_UNAVAILABLE</w:t>
      </w:r>
      <w:r>
        <w:t xml:space="preserve"> (503).</w:t>
      </w:r>
    </w:p>
    <w:p>
      <w:pPr>
        <w:pStyle w:val="ListParagraph"/>
        <w:numPr>
          <w:ilvl w:val="0"/>
          <w:numId w:val="7"/>
        </w:numPr>
      </w:pPr>
      <w:r>
        <w:t xml:space="preserve">The server checks that the model's pipeline version equals the current pipeline version (otherwise </w:t>
      </w:r>
      <w:r>
        <w:rPr>
          <w:rStyle w:val="CodeChar"/>
        </w:rPr>
        <w:t xml:space="preserve">PIPELINE_MISMATCH</w:t>
      </w:r>
      <w:r>
        <w:t xml:space="preserve">) and applies the pipeline to the inputs.</w:t>
      </w:r>
    </w:p>
    <w:p>
      <w:pPr>
        <w:pStyle w:val="ListParagraph"/>
        <w:numPr>
          <w:ilvl w:val="0"/>
          <w:numId w:val="7"/>
        </w:numPr>
      </w:pPr>
      <w:r>
        <w:t xml:space="preserve">The server calls the model service </w:t>
      </w:r>
      <w:r>
        <w:rPr>
          <w:rStyle w:val="CodeChar"/>
        </w:rPr>
        <w:t xml:space="preserve">POST /predict</w:t>
      </w:r>
      <w:r>
        <w:t xml:space="preserve"> within a 10-second limit and retries once. If both attempts fail it returns </w:t>
      </w:r>
      <w:r>
        <w:rPr>
          <w:rStyle w:val="CodeChar"/>
        </w:rPr>
        <w:t xml:space="preserve">SERVICE_UNAVAILABLE</w:t>
      </w:r>
      <w:r>
        <w:t xml:space="preserve"> (503) and the client keeps the entered data.</w:t>
      </w:r>
    </w:p>
    <w:p>
      <w:pPr>
        <w:pStyle w:val="ListParagraph"/>
        <w:numPr>
          <w:ilvl w:val="0"/>
          <w:numId w:val="7"/>
        </w:numPr>
      </w:pPr>
      <w:r>
        <w:t xml:space="preserve">The service verifies the model checksum, computes the probability and the top-5 leave-one-out contributions, and replies.</w:t>
      </w:r>
    </w:p>
    <w:p>
      <w:pPr>
        <w:pStyle w:val="ListParagraph"/>
        <w:numPr>
          <w:ilvl w:val="0"/>
          <w:numId w:val="7"/>
        </w:numPr>
      </w:pPr>
      <w:r>
        <w:t xml:space="preserve">The server assigns the risk category, stores the prediction (inputs encrypted), writes a </w:t>
      </w:r>
      <w:r>
        <w:rPr>
          <w:rStyle w:val="CodeChar"/>
        </w:rPr>
        <w:t xml:space="preserve">prediction</w:t>
      </w:r>
      <w:r>
        <w:t xml:space="preserve"> audit entry and returns 201 with label, probability, risk, top features, model version and disclaimer.</w:t>
      </w:r>
    </w:p>
    <w:p>
      <w:pPr>
        <w:pStyle w:val="Heading3"/>
      </w:pPr>
      <w:r>
        <w:t xml:space="preserve">3.2 Data Design</w:t>
      </w:r>
    </w:p>
    <w:tbl>
      <w:tblPr>
        <w:tblStyle w:val="TableGrid"/>
        <w:tblW w:w="0" w:type="auto"/>
        <w:tblLayout w:type="fixed"/>
        <w:tblLook w:val="04A0" w:firstRow="1" w:lastRow="0" w:firstColumn="0" w:lastColumn="0" w:noHBand="0" w:noVBand="1"/>
      </w:tblPr>
      <w:tblGrid>
        <w:gridCol w:w="2056"/>
        <w:gridCol w:w="7303"/>
      </w:tblGrid>
      <w:tr>
        <w:trPr>
          <w:tblHeader/>
        </w:trPr>
        <w:tc>
          <w:tcPr>
            <w:tcW w:w="2056" w:type="dxa"/>
            <w:shd w:val="clear" w:color="auto" w:fill="F2F2F2"/>
          </w:tcPr>
          <w:p>
            <w:pPr/>
            <w:r>
              <w:t xml:space="preserve">Table</w:t>
            </w:r>
          </w:p>
        </w:tc>
        <w:tc>
          <w:tcPr>
            <w:tcW w:w="7303" w:type="dxa"/>
            <w:shd w:val="clear" w:color="auto" w:fill="F2F2F2"/>
          </w:tcPr>
          <w:p>
            <w:pPr/>
            <w:r>
              <w:t xml:space="preserve">Main columns</w:t>
            </w:r>
          </w:p>
        </w:tc>
      </w:tr>
      <w:tr>
        <w:tc>
          <w:tcPr>
            <w:tcW w:w="2056" w:type="dxa"/>
          </w:tcPr>
          <w:p>
            <w:pPr/>
            <w:r>
              <w:t xml:space="preserve">users</w:t>
            </w:r>
          </w:p>
        </w:tc>
        <w:tc>
          <w:tcPr>
            <w:tcW w:w="7303" w:type="dxa"/>
          </w:tcPr>
          <w:p>
            <w:pPr/>
            <w:r>
              <w:t xml:space="preserve">id, username, password_hash, role, failed_attempts, locked_until</w:t>
            </w:r>
          </w:p>
        </w:tc>
      </w:tr>
      <w:tr>
        <w:tc>
          <w:tcPr>
            <w:tcW w:w="2056" w:type="dxa"/>
          </w:tcPr>
          <w:p>
            <w:pPr/>
            <w:r>
              <w:t xml:space="preserve">predictions</w:t>
            </w:r>
          </w:p>
        </w:tc>
        <w:tc>
          <w:tcPr>
            <w:tcW w:w="7303" w:type="dxa"/>
          </w:tcPr>
          <w:p>
            <w:pPr/>
            <w:r>
              <w:t xml:space="preserve">id, user_id, patient_ref (pseudonymous), inputs (AES-256-GCM encrypted JSON), label, probability, risk, model_version, created_at</w:t>
            </w:r>
          </w:p>
        </w:tc>
      </w:tr>
      <w:tr>
        <w:tc>
          <w:tcPr>
            <w:tcW w:w="2056" w:type="dxa"/>
          </w:tcPr>
          <w:p>
            <w:pPr/>
            <w:r>
              <w:t xml:space="preserve">models</w:t>
            </w:r>
          </w:p>
        </w:tc>
        <w:tc>
          <w:tcPr>
            <w:tcW w:w="7303" w:type="dxa"/>
          </w:tcPr>
          <w:p>
            <w:pPr/>
            <w:r>
              <w:t xml:space="preserve">id, type (ML, DL, QML), version, status (validated or unvalidated), checksum, file, pipeline_version, is_active</w:t>
            </w:r>
          </w:p>
        </w:tc>
      </w:tr>
      <w:tr>
        <w:tc>
          <w:tcPr>
            <w:tcW w:w="2056" w:type="dxa"/>
          </w:tcPr>
          <w:p>
            <w:pPr/>
            <w:r>
              <w:t xml:space="preserve">audit_logs</w:t>
            </w:r>
          </w:p>
        </w:tc>
        <w:tc>
          <w:tcPr>
            <w:tcW w:w="7303" w:type="dxa"/>
          </w:tcPr>
          <w:p>
            <w:pPr/>
            <w:r>
              <w:t xml:space="preserve">id, user_id, action, ip, timestamp</w:t>
            </w:r>
          </w:p>
        </w:tc>
      </w:tr>
    </w:tbl>
    <w:p>
      <w:pPr>
        <w:pStyle w:val="Heading3"/>
      </w:pPr>
      <w:r>
        <w:t xml:space="preserve">3.3 API Design</w:t>
      </w:r>
    </w:p>
    <w:p>
      <w:pPr/>
      <w:r>
        <w:t xml:space="preserve">All endpoints are under </w:t>
      </w:r>
      <w:r>
        <w:rPr>
          <w:rStyle w:val="CodeChar"/>
        </w:rPr>
        <w:t xml:space="preserve">/api/v1</w:t>
      </w:r>
      <w:r>
        <w:t xml:space="preserve">, use JSON and require a bearer token except login.</w:t>
      </w:r>
    </w:p>
    <w:p>
      <w:pPr/>
      <w:r>
        <w:rPr>
          <w:b/>
          <w:bCs/>
        </w:rPr>
        <w:t xml:space="preserve">Public API (web client → web server)</w:t>
      </w:r>
    </w:p>
    <w:tbl>
      <w:tblPr>
        <w:tblStyle w:val="TableGrid"/>
        <w:tblW w:w="0" w:type="auto"/>
        <w:tblLayout w:type="fixed"/>
        <w:tblLook w:val="04A0" w:firstRow="1" w:lastRow="0" w:firstColumn="0" w:lastColumn="0" w:noHBand="0" w:noVBand="1"/>
      </w:tblPr>
      <w:tblGrid>
        <w:gridCol w:w="2186"/>
        <w:gridCol w:w="2955"/>
        <w:gridCol w:w="1747"/>
        <w:gridCol w:w="1107"/>
        <w:gridCol w:w="1365"/>
      </w:tblGrid>
      <w:tr>
        <w:trPr>
          <w:tblHeader/>
        </w:trPr>
        <w:tc>
          <w:tcPr>
            <w:tcW w:w="2186" w:type="dxa"/>
            <w:shd w:val="clear" w:color="auto" w:fill="F2F2F2"/>
          </w:tcPr>
          <w:p>
            <w:pPr/>
            <w:r>
              <w:t xml:space="preserve">Method and path</w:t>
            </w:r>
          </w:p>
        </w:tc>
        <w:tc>
          <w:tcPr>
            <w:tcW w:w="2955" w:type="dxa"/>
            <w:shd w:val="clear" w:color="auto" w:fill="F2F2F2"/>
          </w:tcPr>
          <w:p>
            <w:pPr/>
            <w:r>
              <w:t xml:space="preserve">Purpose</w:t>
            </w:r>
          </w:p>
        </w:tc>
        <w:tc>
          <w:tcPr>
            <w:tcW w:w="1747" w:type="dxa"/>
            <w:shd w:val="clear" w:color="auto" w:fill="F2F2F2"/>
          </w:tcPr>
          <w:p>
            <w:pPr/>
            <w:r>
              <w:t xml:space="preserve">Role</w:t>
            </w:r>
          </w:p>
        </w:tc>
        <w:tc>
          <w:tcPr>
            <w:tcW w:w="1107" w:type="dxa"/>
            <w:shd w:val="clear" w:color="auto" w:fill="F2F2F2"/>
          </w:tcPr>
          <w:p>
            <w:pPr/>
            <w:r>
              <w:t xml:space="preserve">Success</w:t>
            </w:r>
          </w:p>
        </w:tc>
        <w:tc>
          <w:tcPr>
            <w:tcW w:w="1365" w:type="dxa"/>
            <w:shd w:val="clear" w:color="auto" w:fill="F2F2F2"/>
          </w:tcPr>
          <w:p>
            <w:pPr/>
            <w:r>
              <w:t xml:space="preserve">Errors</w:t>
            </w:r>
          </w:p>
        </w:tc>
      </w:tr>
      <w:tr>
        <w:tc>
          <w:tcPr>
            <w:tcW w:w="2186" w:type="dxa"/>
          </w:tcPr>
          <w:p>
            <w:pPr/>
            <w:r>
              <w:t xml:space="preserve">POST /auth/login</w:t>
            </w:r>
          </w:p>
        </w:tc>
        <w:tc>
          <w:tcPr>
            <w:tcW w:w="2955" w:type="dxa"/>
          </w:tcPr>
          <w:p>
            <w:pPr/>
            <w:r>
              <w:t xml:space="preserve">Log in, returns token and role</w:t>
            </w:r>
          </w:p>
        </w:tc>
        <w:tc>
          <w:tcPr>
            <w:tcW w:w="1747" w:type="dxa"/>
          </w:tcPr>
          <w:p>
            <w:pPr/>
            <w:r>
              <w:t xml:space="preserve">All</w:t>
            </w:r>
          </w:p>
        </w:tc>
        <w:tc>
          <w:tcPr>
            <w:tcW w:w="1107" w:type="dxa"/>
          </w:tcPr>
          <w:p>
            <w:pPr/>
            <w:r>
              <w:t xml:space="preserve">200</w:t>
            </w:r>
          </w:p>
        </w:tc>
        <w:tc>
          <w:tcPr>
            <w:tcW w:w="1365" w:type="dxa"/>
          </w:tcPr>
          <w:p>
            <w:pPr/>
            <w:r>
              <w:t xml:space="preserve">400, 401, 423</w:t>
            </w:r>
          </w:p>
        </w:tc>
      </w:tr>
      <w:tr>
        <w:tc>
          <w:tcPr>
            <w:tcW w:w="2186" w:type="dxa"/>
          </w:tcPr>
          <w:p>
            <w:pPr/>
            <w:r>
              <w:t xml:space="preserve">POST /auth/logout</w:t>
            </w:r>
          </w:p>
        </w:tc>
        <w:tc>
          <w:tcPr>
            <w:tcW w:w="2955" w:type="dxa"/>
          </w:tcPr>
          <w:p>
            <w:pPr/>
            <w:r>
              <w:t xml:space="preserve">End session</w:t>
            </w:r>
          </w:p>
        </w:tc>
        <w:tc>
          <w:tcPr>
            <w:tcW w:w="1747" w:type="dxa"/>
          </w:tcPr>
          <w:p>
            <w:pPr/>
            <w:r>
              <w:t xml:space="preserve">All</w:t>
            </w:r>
          </w:p>
        </w:tc>
        <w:tc>
          <w:tcPr>
            <w:tcW w:w="1107" w:type="dxa"/>
          </w:tcPr>
          <w:p>
            <w:pPr/>
            <w:r>
              <w:t xml:space="preserve">204</w:t>
            </w:r>
          </w:p>
        </w:tc>
        <w:tc>
          <w:tcPr>
            <w:tcW w:w="1365" w:type="dxa"/>
          </w:tcPr>
          <w:p>
            <w:pPr/>
            <w:r>
              <w:t xml:space="preserve">401</w:t>
            </w:r>
          </w:p>
        </w:tc>
      </w:tr>
      <w:tr>
        <w:tc>
          <w:tcPr>
            <w:tcW w:w="2186" w:type="dxa"/>
          </w:tcPr>
          <w:p>
            <w:pPr/>
            <w:r>
              <w:t xml:space="preserve">POST /predictions</w:t>
            </w:r>
          </w:p>
        </w:tc>
        <w:tc>
          <w:tcPr>
            <w:tcW w:w="2955" w:type="dxa"/>
          </w:tcPr>
          <w:p>
            <w:pPr/>
            <w:r>
              <w:t xml:space="preserve">Validate data and get a prediction</w:t>
            </w:r>
          </w:p>
        </w:tc>
        <w:tc>
          <w:tcPr>
            <w:tcW w:w="1747" w:type="dxa"/>
          </w:tcPr>
          <w:p>
            <w:pPr/>
            <w:r>
              <w:t xml:space="preserve">Clinician, ML Engineer</w:t>
            </w:r>
          </w:p>
        </w:tc>
        <w:tc>
          <w:tcPr>
            <w:tcW w:w="1107" w:type="dxa"/>
          </w:tcPr>
          <w:p>
            <w:pPr/>
            <w:r>
              <w:t xml:space="preserve">201</w:t>
            </w:r>
          </w:p>
        </w:tc>
        <w:tc>
          <w:tcPr>
            <w:tcW w:w="1365" w:type="dxa"/>
          </w:tcPr>
          <w:p>
            <w:pPr/>
            <w:r>
              <w:t xml:space="preserve">400, 401, 403, 429, 503</w:t>
            </w:r>
          </w:p>
        </w:tc>
      </w:tr>
      <w:tr>
        <w:tc>
          <w:tcPr>
            <w:tcW w:w="2186" w:type="dxa"/>
          </w:tcPr>
          <w:p>
            <w:pPr/>
            <w:r>
              <w:t xml:space="preserve">GET /predictions?page=</w:t>
            </w:r>
          </w:p>
        </w:tc>
        <w:tc>
          <w:tcPr>
            <w:tcW w:w="2955" w:type="dxa"/>
          </w:tcPr>
          <w:p>
            <w:pPr/>
            <w:r>
              <w:t xml:space="preserve">List own history, 20 per page, newest first</w:t>
            </w:r>
          </w:p>
        </w:tc>
        <w:tc>
          <w:tcPr>
            <w:tcW w:w="1747" w:type="dxa"/>
          </w:tcPr>
          <w:p>
            <w:pPr/>
            <w:r>
              <w:t xml:space="preserve">Clinician, Administrator</w:t>
            </w:r>
          </w:p>
        </w:tc>
        <w:tc>
          <w:tcPr>
            <w:tcW w:w="1107" w:type="dxa"/>
          </w:tcPr>
          <w:p>
            <w:pPr/>
            <w:r>
              <w:t xml:space="preserve">200</w:t>
            </w:r>
          </w:p>
        </w:tc>
        <w:tc>
          <w:tcPr>
            <w:tcW w:w="1365" w:type="dxa"/>
          </w:tcPr>
          <w:p>
            <w:pPr/>
            <w:r>
              <w:t xml:space="preserve">401, 403</w:t>
            </w:r>
          </w:p>
        </w:tc>
      </w:tr>
      <w:tr>
        <w:tc>
          <w:tcPr>
            <w:tcW w:w="2186" w:type="dxa"/>
          </w:tcPr>
          <w:p>
            <w:pPr/>
            <w:r>
              <w:t xml:space="preserve">GET /predictions/{id}</w:t>
            </w:r>
          </w:p>
        </w:tc>
        <w:tc>
          <w:tcPr>
            <w:tcW w:w="2955" w:type="dxa"/>
          </w:tcPr>
          <w:p>
            <w:pPr/>
            <w:r>
              <w:t xml:space="preserve">One stored prediction (own)</w:t>
            </w:r>
          </w:p>
        </w:tc>
        <w:tc>
          <w:tcPr>
            <w:tcW w:w="1747" w:type="dxa"/>
          </w:tcPr>
          <w:p>
            <w:pPr/>
            <w:r>
              <w:t xml:space="preserve">Clinician</w:t>
            </w:r>
          </w:p>
        </w:tc>
        <w:tc>
          <w:tcPr>
            <w:tcW w:w="1107" w:type="dxa"/>
          </w:tcPr>
          <w:p>
            <w:pPr/>
            <w:r>
              <w:t xml:space="preserve">200</w:t>
            </w:r>
          </w:p>
        </w:tc>
        <w:tc>
          <w:tcPr>
            <w:tcW w:w="1365" w:type="dxa"/>
          </w:tcPr>
          <w:p>
            <w:pPr/>
            <w:r>
              <w:t xml:space="preserve">401, 403, 404</w:t>
            </w:r>
          </w:p>
        </w:tc>
      </w:tr>
      <w:tr>
        <w:tc>
          <w:tcPr>
            <w:tcW w:w="2186" w:type="dxa"/>
          </w:tcPr>
          <w:p>
            <w:pPr/>
            <w:r>
              <w:t xml:space="preserve">DELETE /predictions/{id}</w:t>
            </w:r>
          </w:p>
        </w:tc>
        <w:tc>
          <w:tcPr>
            <w:tcW w:w="2955" w:type="dxa"/>
          </w:tcPr>
          <w:p>
            <w:pPr/>
            <w:r>
              <w:t xml:space="preserve">Delete a record</w:t>
            </w:r>
          </w:p>
        </w:tc>
        <w:tc>
          <w:tcPr>
            <w:tcW w:w="1747" w:type="dxa"/>
          </w:tcPr>
          <w:p>
            <w:pPr/>
            <w:r>
              <w:t xml:space="preserve">Administrator</w:t>
            </w:r>
          </w:p>
        </w:tc>
        <w:tc>
          <w:tcPr>
            <w:tcW w:w="1107" w:type="dxa"/>
          </w:tcPr>
          <w:p>
            <w:pPr/>
            <w:r>
              <w:t xml:space="preserve">204</w:t>
            </w:r>
          </w:p>
        </w:tc>
        <w:tc>
          <w:tcPr>
            <w:tcW w:w="1365" w:type="dxa"/>
          </w:tcPr>
          <w:p>
            <w:pPr/>
            <w:r>
              <w:t xml:space="preserve">401, 403, 404</w:t>
            </w:r>
          </w:p>
        </w:tc>
      </w:tr>
      <w:tr>
        <w:tc>
          <w:tcPr>
            <w:tcW w:w="2186" w:type="dxa"/>
          </w:tcPr>
          <w:p>
            <w:pPr/>
            <w:r>
              <w:t xml:space="preserve">GET /models</w:t>
            </w:r>
          </w:p>
        </w:tc>
        <w:tc>
          <w:tcPr>
            <w:tcW w:w="2955" w:type="dxa"/>
          </w:tcPr>
          <w:p>
            <w:pPr/>
            <w:r>
              <w:t xml:space="preserve">List model versions</w:t>
            </w:r>
          </w:p>
        </w:tc>
        <w:tc>
          <w:tcPr>
            <w:tcW w:w="1747" w:type="dxa"/>
          </w:tcPr>
          <w:p>
            <w:pPr/>
            <w:r>
              <w:t xml:space="preserve">Administrator, ML Engineer</w:t>
            </w:r>
          </w:p>
        </w:tc>
        <w:tc>
          <w:tcPr>
            <w:tcW w:w="1107" w:type="dxa"/>
          </w:tcPr>
          <w:p>
            <w:pPr/>
            <w:r>
              <w:t xml:space="preserve">200</w:t>
            </w:r>
          </w:p>
        </w:tc>
        <w:tc>
          <w:tcPr>
            <w:tcW w:w="1365" w:type="dxa"/>
          </w:tcPr>
          <w:p>
            <w:pPr/>
            <w:r>
              <w:t xml:space="preserve">401, 403</w:t>
            </w:r>
          </w:p>
        </w:tc>
      </w:tr>
      <w:tr>
        <w:tc>
          <w:tcPr>
            <w:tcW w:w="2186" w:type="dxa"/>
          </w:tcPr>
          <w:p>
            <w:pPr/>
            <w:r>
              <w:t xml:space="preserve">POST /models</w:t>
            </w:r>
          </w:p>
        </w:tc>
        <w:tc>
          <w:tcPr>
            <w:tcW w:w="2955" w:type="dxa"/>
          </w:tcPr>
          <w:p>
            <w:pPr/>
            <w:r>
              <w:t xml:space="preserve">Register a new model version (checksum verified)</w:t>
            </w:r>
          </w:p>
        </w:tc>
        <w:tc>
          <w:tcPr>
            <w:tcW w:w="1747" w:type="dxa"/>
          </w:tcPr>
          <w:p>
            <w:pPr/>
            <w:r>
              <w:t xml:space="preserve">ML Engineer</w:t>
            </w:r>
          </w:p>
        </w:tc>
        <w:tc>
          <w:tcPr>
            <w:tcW w:w="1107" w:type="dxa"/>
          </w:tcPr>
          <w:p>
            <w:pPr/>
            <w:r>
              <w:t xml:space="preserve">201</w:t>
            </w:r>
          </w:p>
        </w:tc>
        <w:tc>
          <w:tcPr>
            <w:tcW w:w="1365" w:type="dxa"/>
          </w:tcPr>
          <w:p>
            <w:pPr/>
            <w:r>
              <w:t xml:space="preserve">400, 401, 403</w:t>
            </w:r>
          </w:p>
        </w:tc>
      </w:tr>
      <w:tr>
        <w:tc>
          <w:tcPr>
            <w:tcW w:w="2186" w:type="dxa"/>
          </w:tcPr>
          <w:p>
            <w:pPr/>
            <w:r>
              <w:t xml:space="preserve">PUT /models/{id}/activate</w:t>
            </w:r>
          </w:p>
        </w:tc>
        <w:tc>
          <w:tcPr>
            <w:tcW w:w="2955" w:type="dxa"/>
          </w:tcPr>
          <w:p>
            <w:pPr/>
            <w:r>
              <w:t xml:space="preserve">Activate a validated version</w:t>
            </w:r>
          </w:p>
        </w:tc>
        <w:tc>
          <w:tcPr>
            <w:tcW w:w="1747" w:type="dxa"/>
          </w:tcPr>
          <w:p>
            <w:pPr/>
            <w:r>
              <w:t xml:space="preserve">Administrator</w:t>
            </w:r>
          </w:p>
        </w:tc>
        <w:tc>
          <w:tcPr>
            <w:tcW w:w="1107" w:type="dxa"/>
          </w:tcPr>
          <w:p>
            <w:pPr/>
            <w:r>
              <w:t xml:space="preserve">200</w:t>
            </w:r>
          </w:p>
        </w:tc>
        <w:tc>
          <w:tcPr>
            <w:tcW w:w="1365" w:type="dxa"/>
          </w:tcPr>
          <w:p>
            <w:pPr/>
            <w:r>
              <w:t xml:space="preserve">401, 403, 404, 409</w:t>
            </w:r>
          </w:p>
        </w:tc>
      </w:tr>
      <w:tr>
        <w:tc>
          <w:tcPr>
            <w:tcW w:w="2186" w:type="dxa"/>
          </w:tcPr>
          <w:p>
            <w:pPr/>
            <w:r>
              <w:t xml:space="preserve">POST /admin/users</w:t>
            </w:r>
          </w:p>
        </w:tc>
        <w:tc>
          <w:tcPr>
            <w:tcW w:w="2955" w:type="dxa"/>
          </w:tcPr>
          <w:p>
            <w:pPr/>
            <w:r>
              <w:t xml:space="preserve">Create a user (password policy enforced)</w:t>
            </w:r>
          </w:p>
        </w:tc>
        <w:tc>
          <w:tcPr>
            <w:tcW w:w="1747" w:type="dxa"/>
          </w:tcPr>
          <w:p>
            <w:pPr/>
            <w:r>
              <w:t xml:space="preserve">Administrator</w:t>
            </w:r>
          </w:p>
        </w:tc>
        <w:tc>
          <w:tcPr>
            <w:tcW w:w="1107" w:type="dxa"/>
          </w:tcPr>
          <w:p>
            <w:pPr/>
            <w:r>
              <w:t xml:space="preserve">201</w:t>
            </w:r>
          </w:p>
        </w:tc>
        <w:tc>
          <w:tcPr>
            <w:tcW w:w="1365" w:type="dxa"/>
          </w:tcPr>
          <w:p>
            <w:pPr/>
            <w:r>
              <w:t xml:space="preserve">400, 401, 403</w:t>
            </w:r>
          </w:p>
        </w:tc>
      </w:tr>
      <w:tr>
        <w:tc>
          <w:tcPr>
            <w:tcW w:w="2186" w:type="dxa"/>
          </w:tcPr>
          <w:p>
            <w:pPr/>
            <w:r>
              <w:t xml:space="preserve">GET /admin/audit-logs</w:t>
            </w:r>
          </w:p>
        </w:tc>
        <w:tc>
          <w:tcPr>
            <w:tcW w:w="2955" w:type="dxa"/>
          </w:tcPr>
          <w:p>
            <w:pPr/>
            <w:r>
              <w:t xml:space="preserve">View the latest 200 audit entries</w:t>
            </w:r>
          </w:p>
        </w:tc>
        <w:tc>
          <w:tcPr>
            <w:tcW w:w="1747" w:type="dxa"/>
          </w:tcPr>
          <w:p>
            <w:pPr/>
            <w:r>
              <w:t xml:space="preserve">Administrator</w:t>
            </w:r>
          </w:p>
        </w:tc>
        <w:tc>
          <w:tcPr>
            <w:tcW w:w="1107" w:type="dxa"/>
          </w:tcPr>
          <w:p>
            <w:pPr/>
            <w:r>
              <w:t xml:space="preserve">200</w:t>
            </w:r>
          </w:p>
        </w:tc>
        <w:tc>
          <w:tcPr>
            <w:tcW w:w="1365" w:type="dxa"/>
          </w:tcPr>
          <w:p>
            <w:pPr/>
            <w:r>
              <w:t xml:space="preserve">401, 403</w:t>
            </w:r>
          </w:p>
        </w:tc>
      </w:tr>
    </w:tbl>
    <w:p>
      <w:pPr/>
      <w:r>
        <w:rPr>
          <w:b/>
          <w:bCs/>
        </w:rPr>
        <w:t xml:space="preserve">Request example: POST /predictions</w:t>
      </w:r>
    </w:p>
    <w:p>
      <w:pPr>
        <w:pStyle w:val="Code"/>
      </w:pPr>
      <w:bookmarkStart w:id="1" w:name="bongo_lang_json_1"/>
      <w:bookmarkEnd w:id="1"/>
      <w:r>
        <w:t xml:space="preserve">{</w:t>
        <w:br/>
        <w:t xml:space="preserve">  "model": "ML",</w:t>
        <w:br/>
        <w:t xml:space="preserve">  "age": 58,</w:t>
        <w:br/>
        <w:t xml:space="preserve">  "sex": 1,</w:t>
        <w:br/>
        <w:t xml:space="preserve">  "chest_pain_type": 3,</w:t>
        <w:br/>
        <w:t xml:space="preserve">  "resting_bp": 140,</w:t>
        <w:br/>
        <w:t xml:space="preserve">  "cholesterol": 240,</w:t>
        <w:br/>
        <w:t xml:space="preserve">  "fasting_bs": 0,</w:t>
        <w:br/>
        <w:t xml:space="preserve">  "resting_ecg": 1,</w:t>
        <w:br/>
        <w:t xml:space="preserve">  "max_hr": 120,</w:t>
        <w:br/>
        <w:t xml:space="preserve">  "exercise_angina": 1,</w:t>
        <w:br/>
        <w:t xml:space="preserve">  "oldpeak": 1.5,</w:t>
        <w:br/>
        <w:t xml:space="preserve">  "st_slope": 1</w:t>
        <w:br/>
        <w:t xml:space="preserve">}</w:t>
      </w:r>
    </w:p>
    <w:p>
      <w:pPr/>
      <w:r>
        <w:t xml:space="preserve">Codes for each field are listed in SRS FR-04. An optional </w:t>
      </w:r>
      <w:r>
        <w:rPr>
          <w:rStyle w:val="CodeChar"/>
        </w:rPr>
        <w:t xml:space="preserve">patient_ref</w:t>
      </w:r>
      <w:r>
        <w:t xml:space="preserve"> may be supplied; if omitted a pseudonymous one is generated.</w:t>
      </w:r>
    </w:p>
    <w:p>
      <w:pPr/>
      <w:r>
        <w:rPr>
          <w:b/>
          <w:bCs/>
        </w:rPr>
        <w:t xml:space="preserve">Response example (201)</w:t>
      </w:r>
    </w:p>
    <w:p>
      <w:pPr>
        <w:pStyle w:val="Code"/>
      </w:pPr>
      <w:bookmarkStart w:id="2" w:name="bongo_lang_json_2"/>
      <w:bookmarkEnd w:id="2"/>
      <w:r>
        <w:t xml:space="preserve">{</w:t>
        <w:br/>
        <w:t xml:space="preserve">  "prediction_id": "p-1a2b3c4d",</w:t>
        <w:br/>
        <w:t xml:space="preserve">  "label": "Ischemia Likely",</w:t>
        <w:br/>
        <w:t xml:space="preserve">  "probability": 72.4,</w:t>
        <w:br/>
        <w:t xml:space="preserve">  "risk": "High",</w:t>
        <w:br/>
        <w:t xml:space="preserve">  "top_features": [</w:t>
        <w:br/>
        <w:t xml:space="preserve">    {"name": "st_slope", "direction": "increases"},</w:t>
        <w:br/>
        <w:t xml:space="preserve">    {"name": "exercise_angina", "direction": "increases"}</w:t>
        <w:br/>
        <w:t xml:space="preserve">  ],</w:t>
        <w:br/>
        <w:t xml:space="preserve">  "model_version": "ml-1.0",</w:t>
        <w:br/>
        <w:t xml:space="preserve">  "disclaimer": "Decision-support output; not a substitute for professional medical diagnosis."</w:t>
        <w:br/>
        <w:t xml:space="preserve">}</w:t>
      </w:r>
    </w:p>
    <w:p>
      <w:pPr/>
      <w:r>
        <w:rPr>
          <w:b/>
          <w:bCs/>
        </w:rPr>
        <w:t xml:space="preserve">Internal API (web server → microservice, internal network only)</w:t>
      </w:r>
    </w:p>
    <w:tbl>
      <w:tblPr>
        <w:tblStyle w:val="TableGrid"/>
        <w:tblW w:w="0" w:type="auto"/>
        <w:tblLayout w:type="fixed"/>
        <w:tblLook w:val="04A0" w:firstRow="1" w:lastRow="0" w:firstColumn="0" w:lastColumn="0" w:noHBand="0" w:noVBand="1"/>
      </w:tblPr>
      <w:tblGrid>
        <w:gridCol w:w="1946"/>
        <w:gridCol w:w="3636"/>
        <w:gridCol w:w="3778"/>
      </w:tblGrid>
      <w:tr>
        <w:trPr>
          <w:tblHeader/>
        </w:trPr>
        <w:tc>
          <w:tcPr>
            <w:tcW w:w="1946" w:type="dxa"/>
            <w:shd w:val="clear" w:color="auto" w:fill="F2F2F2"/>
          </w:tcPr>
          <w:p>
            <w:pPr/>
            <w:r>
              <w:t xml:space="preserve">Method and path</w:t>
            </w:r>
          </w:p>
        </w:tc>
        <w:tc>
          <w:tcPr>
            <w:tcW w:w="3636" w:type="dxa"/>
            <w:shd w:val="clear" w:color="auto" w:fill="F2F2F2"/>
          </w:tcPr>
          <w:p>
            <w:pPr/>
            <w:r>
              <w:t xml:space="preserve">Purpose</w:t>
            </w:r>
          </w:p>
        </w:tc>
        <w:tc>
          <w:tcPr>
            <w:tcW w:w="3778" w:type="dxa"/>
            <w:shd w:val="clear" w:color="auto" w:fill="F2F2F2"/>
          </w:tcPr>
          <w:p>
            <w:pPr/>
            <w:r>
              <w:t xml:space="preserve">Response</w:t>
            </w:r>
          </w:p>
        </w:tc>
      </w:tr>
      <w:tr>
        <w:tc>
          <w:tcPr>
            <w:tcW w:w="1946" w:type="dxa"/>
          </w:tcPr>
          <w:p>
            <w:pPr/>
            <w:r>
              <w:t xml:space="preserve">POST /predict</w:t>
            </w:r>
          </w:p>
        </w:tc>
        <w:tc>
          <w:tcPr>
            <w:tcW w:w="3636" w:type="dxa"/>
          </w:tcPr>
          <w:p>
            <w:pPr/>
            <w:r>
              <w:t xml:space="preserve">Input: scaled feature vector (11 values), </w:t>
            </w:r>
            <w:r>
              <w:rPr>
                <w:rStyle w:val="CodeChar"/>
              </w:rPr>
              <w:t xml:space="preserve">pipeline_version</w:t>
            </w:r>
            <w:r>
              <w:t xml:space="preserve">, </w:t>
            </w:r>
            <w:r>
              <w:rPr>
                <w:rStyle w:val="CodeChar"/>
              </w:rPr>
              <w:t xml:space="preserve">model_version</w:t>
            </w:r>
            <w:r>
              <w:t xml:space="preserve">. Rejects wrong length or type, NaN/Infinity, bodies over 16 KB</w:t>
            </w:r>
          </w:p>
        </w:tc>
        <w:tc>
          <w:tcPr>
            <w:tcW w:w="3778" w:type="dxa"/>
          </w:tcPr>
          <w:p>
            <w:pPr/>
            <w:r>
              <w:rPr>
                <w:rStyle w:val="CodeChar"/>
              </w:rPr>
              <w:t xml:space="preserve">label</w:t>
            </w:r>
            <w:r>
              <w:t xml:space="preserve">, </w:t>
            </w:r>
            <w:r>
              <w:rPr>
                <w:rStyle w:val="CodeChar"/>
              </w:rPr>
              <w:t xml:space="preserve">probability</w:t>
            </w:r>
            <w:r>
              <w:t xml:space="preserve">, </w:t>
            </w:r>
            <w:r>
              <w:rPr>
                <w:rStyle w:val="CodeChar"/>
              </w:rPr>
              <w:t xml:space="preserve">importances</w:t>
            </w:r>
            <w:r>
              <w:t xml:space="preserve">, </w:t>
            </w:r>
            <w:r>
              <w:rPr>
                <w:rStyle w:val="CodeChar"/>
              </w:rPr>
              <w:t xml:space="preserve">model_version</w:t>
            </w:r>
            <w:r>
              <w:t xml:space="preserve">, </w:t>
            </w:r>
            <w:r>
              <w:rPr>
                <w:rStyle w:val="CodeChar"/>
              </w:rPr>
              <w:t xml:space="preserve">model_type</w:t>
            </w:r>
            <w:r>
              <w:t xml:space="preserve">, </w:t>
            </w:r>
            <w:r>
              <w:rPr>
                <w:rStyle w:val="CodeChar"/>
              </w:rPr>
              <w:t xml:space="preserve">latency_ms</w:t>
            </w:r>
            <w:r>
              <w:t xml:space="preserve">; errors 400, 409 (pipeline mismatch), 413, 503 (model not validated or checksum failure)</w:t>
            </w:r>
          </w:p>
        </w:tc>
      </w:tr>
      <w:tr>
        <w:tc>
          <w:tcPr>
            <w:tcW w:w="1946" w:type="dxa"/>
          </w:tcPr>
          <w:p>
            <w:pPr/>
            <w:r>
              <w:t xml:space="preserve">GET /health</w:t>
            </w:r>
          </w:p>
        </w:tc>
        <w:tc>
          <w:tcPr>
            <w:tcW w:w="3636" w:type="dxa"/>
          </w:tcPr>
          <w:p>
            <w:pPr/>
            <w:r>
              <w:t xml:space="preserve">Liveness check</w:t>
            </w:r>
          </w:p>
        </w:tc>
        <w:tc>
          <w:tcPr>
            <w:tcW w:w="3778" w:type="dxa"/>
          </w:tcPr>
          <w:p>
            <w:pPr/>
            <w:r>
              <w:t xml:space="preserve">200 with the service type</w:t>
            </w:r>
          </w:p>
        </w:tc>
      </w:tr>
      <w:tr>
        <w:tc>
          <w:tcPr>
            <w:tcW w:w="1946" w:type="dxa"/>
          </w:tcPr>
          <w:p>
            <w:pPr/>
            <w:r>
              <w:t xml:space="preserve">GET /info</w:t>
            </w:r>
          </w:p>
        </w:tc>
        <w:tc>
          <w:tcPr>
            <w:tcW w:w="3636" w:type="dxa"/>
          </w:tcPr>
          <w:p>
            <w:pPr/>
            <w:r>
              <w:t xml:space="preserve">Served model versions with recorded metrics and the feature list</w:t>
            </w:r>
          </w:p>
        </w:tc>
        <w:tc>
          <w:tcPr>
            <w:tcW w:w="3778" w:type="dxa"/>
          </w:tcPr>
          <w:p>
            <w:pPr/>
            <w:r>
              <w:t xml:space="preserve">200; 503 if the registry is unreadable</w:t>
            </w:r>
          </w:p>
        </w:tc>
      </w:tr>
    </w:tbl>
    <w:p>
      <w:pPr>
        <w:pStyle w:val="Heading3"/>
      </w:pPr>
      <w:r>
        <w:t xml:space="preserve">3.4 Error Handling</w:t>
      </w:r>
    </w:p>
    <w:p>
      <w:pPr/>
      <w:r>
        <w:t xml:space="preserve">Every error returns a JSON body </w:t>
      </w:r>
      <w:r>
        <w:rPr>
          <w:rStyle w:val="CodeChar"/>
        </w:rPr>
        <w:t xml:space="preserve">{"error_code", "message", "request_id", "fields"?}</w:t>
      </w:r>
      <w:r>
        <w:t xml:space="preserve">. Messages are written for clinicians and never expose stack traces, SQL or patient data. Each error is logged with timestamp, error code and request ID only (FR-18). A catch-all handler turns any unexpected failure into </w:t>
      </w:r>
      <w:r>
        <w:rPr>
          <w:rStyle w:val="CodeChar"/>
        </w:rPr>
        <w:t xml:space="preserve">INTERNAL_ERROR</w:t>
      </w:r>
      <w:r>
        <w:t xml:space="preserve"> and logs only the exception type.</w:t>
      </w:r>
    </w:p>
    <w:p>
      <w:pPr/>
      <w:r>
        <w:t xml:space="preserve">The web server retries a failed microservice call once, within the same 10-second limit, before returning 503. The entered data stays in the form; the user selects another model manually if needed (Section 5, D15).</w:t>
      </w:r>
    </w:p>
    <w:tbl>
      <w:tblPr>
        <w:tblStyle w:val="TableGrid"/>
        <w:tblW w:w="0" w:type="auto"/>
        <w:tblLayout w:type="fixed"/>
        <w:tblLook w:val="04A0" w:firstRow="1" w:lastRow="0" w:firstColumn="0" w:lastColumn="0" w:noHBand="0" w:noVBand="1"/>
      </w:tblPr>
      <w:tblGrid>
        <w:gridCol w:w="2340"/>
        <w:gridCol w:w="866"/>
        <w:gridCol w:w="2975"/>
        <w:gridCol w:w="3179"/>
      </w:tblGrid>
      <w:tr>
        <w:trPr>
          <w:tblHeader/>
        </w:trPr>
        <w:tc>
          <w:tcPr>
            <w:tcW w:w="2340" w:type="dxa"/>
            <w:shd w:val="clear" w:color="auto" w:fill="F2F2F2"/>
          </w:tcPr>
          <w:p>
            <w:pPr/>
            <w:r>
              <w:t xml:space="preserve">Error code</w:t>
            </w:r>
          </w:p>
        </w:tc>
        <w:tc>
          <w:tcPr>
            <w:tcW w:w="866" w:type="dxa"/>
            <w:shd w:val="clear" w:color="auto" w:fill="F2F2F2"/>
          </w:tcPr>
          <w:p>
            <w:pPr/>
            <w:r>
              <w:t xml:space="preserve">HTTP</w:t>
            </w:r>
          </w:p>
        </w:tc>
        <w:tc>
          <w:tcPr>
            <w:tcW w:w="2975" w:type="dxa"/>
            <w:shd w:val="clear" w:color="auto" w:fill="F2F2F2"/>
          </w:tcPr>
          <w:p>
            <w:pPr/>
            <w:r>
              <w:t xml:space="preserve">Condition</w:t>
            </w:r>
          </w:p>
        </w:tc>
        <w:tc>
          <w:tcPr>
            <w:tcW w:w="3179" w:type="dxa"/>
            <w:shd w:val="clear" w:color="auto" w:fill="F2F2F2"/>
          </w:tcPr>
          <w:p>
            <w:pPr/>
            <w:r>
              <w:t xml:space="preserve">Behaviour</w:t>
            </w:r>
          </w:p>
        </w:tc>
      </w:tr>
      <w:tr>
        <w:tc>
          <w:tcPr>
            <w:tcW w:w="2340" w:type="dxa"/>
          </w:tcPr>
          <w:p>
            <w:pPr/>
            <w:r>
              <w:t xml:space="preserve">VALIDATION_ERROR</w:t>
            </w:r>
          </w:p>
        </w:tc>
        <w:tc>
          <w:tcPr>
            <w:tcW w:w="866" w:type="dxa"/>
          </w:tcPr>
          <w:p>
            <w:pPr/>
            <w:r>
              <w:t xml:space="preserve">400</w:t>
            </w:r>
          </w:p>
        </w:tc>
        <w:tc>
          <w:tcPr>
            <w:tcW w:w="2975" w:type="dxa"/>
          </w:tcPr>
          <w:p>
            <w:pPr/>
            <w:r>
              <w:t xml:space="preserve">Field missing, wrong type or out of range</w:t>
            </w:r>
          </w:p>
        </w:tc>
        <w:tc>
          <w:tcPr>
            <w:tcW w:w="3179" w:type="dxa"/>
          </w:tcPr>
          <w:p>
            <w:pPr/>
            <w:r>
              <w:t xml:space="preserve">Lists every invalid field with its valid range; no prediction call (FR-05, FR-06)</w:t>
            </w:r>
          </w:p>
        </w:tc>
      </w:tr>
      <w:tr>
        <w:tc>
          <w:tcPr>
            <w:tcW w:w="2340" w:type="dxa"/>
          </w:tcPr>
          <w:p>
            <w:pPr/>
            <w:r>
              <w:t xml:space="preserve">UNAUTHENTICATED</w:t>
            </w:r>
          </w:p>
        </w:tc>
        <w:tc>
          <w:tcPr>
            <w:tcW w:w="866" w:type="dxa"/>
          </w:tcPr>
          <w:p>
            <w:pPr/>
            <w:r>
              <w:t xml:space="preserve">401</w:t>
            </w:r>
          </w:p>
        </w:tc>
        <w:tc>
          <w:tcPr>
            <w:tcW w:w="2975" w:type="dxa"/>
          </w:tcPr>
          <w:p>
            <w:pPr/>
            <w:r>
              <w:t xml:space="preserve">Missing, invalid or expired token; wrong password</w:t>
            </w:r>
          </w:p>
        </w:tc>
        <w:tc>
          <w:tcPr>
            <w:tcW w:w="3179" w:type="dxa"/>
          </w:tcPr>
          <w:p>
            <w:pPr/>
            <w:r>
              <w:t xml:space="preserve">Client returns to login</w:t>
            </w:r>
          </w:p>
        </w:tc>
      </w:tr>
      <w:tr>
        <w:tc>
          <w:tcPr>
            <w:tcW w:w="2340" w:type="dxa"/>
          </w:tcPr>
          <w:p>
            <w:pPr/>
            <w:r>
              <w:t xml:space="preserve">FORBIDDEN</w:t>
            </w:r>
          </w:p>
        </w:tc>
        <w:tc>
          <w:tcPr>
            <w:tcW w:w="866" w:type="dxa"/>
          </w:tcPr>
          <w:p>
            <w:pPr/>
            <w:r>
              <w:t xml:space="preserve">403</w:t>
            </w:r>
          </w:p>
        </w:tc>
        <w:tc>
          <w:tcPr>
            <w:tcW w:w="2975" w:type="dxa"/>
          </w:tcPr>
          <w:p>
            <w:pPr/>
            <w:r>
              <w:t xml:space="preserve">Role not allowed</w:t>
            </w:r>
          </w:p>
        </w:tc>
        <w:tc>
          <w:tcPr>
            <w:tcW w:w="3179" w:type="dxa"/>
          </w:tcPr>
          <w:p>
            <w:pPr/>
            <w:r>
              <w:t xml:space="preserve">No data returned (SEC-04)</w:t>
            </w:r>
          </w:p>
        </w:tc>
      </w:tr>
      <w:tr>
        <w:tc>
          <w:tcPr>
            <w:tcW w:w="2340" w:type="dxa"/>
          </w:tcPr>
          <w:p>
            <w:pPr/>
            <w:r>
              <w:t xml:space="preserve">NOT_FOUND</w:t>
            </w:r>
          </w:p>
        </w:tc>
        <w:tc>
          <w:tcPr>
            <w:tcW w:w="866" w:type="dxa"/>
          </w:tcPr>
          <w:p>
            <w:pPr/>
            <w:r>
              <w:t xml:space="preserve">404</w:t>
            </w:r>
          </w:p>
        </w:tc>
        <w:tc>
          <w:tcPr>
            <w:tcW w:w="2975" w:type="dxa"/>
          </w:tcPr>
          <w:p>
            <w:pPr/>
            <w:r>
              <w:t xml:space="preserve">Record does not exist or is not the user's own</w:t>
            </w:r>
          </w:p>
        </w:tc>
        <w:tc>
          <w:tcPr>
            <w:tcW w:w="3179" w:type="dxa"/>
          </w:tcPr>
          <w:p>
            <w:pPr/>
            <w:r>
              <w:t xml:space="preserve">Generic not-found message</w:t>
            </w:r>
          </w:p>
        </w:tc>
      </w:tr>
      <w:tr>
        <w:tc>
          <w:tcPr>
            <w:tcW w:w="2340" w:type="dxa"/>
          </w:tcPr>
          <w:p>
            <w:pPr/>
            <w:r>
              <w:t xml:space="preserve">ACCOUNT_LOCKED</w:t>
            </w:r>
          </w:p>
        </w:tc>
        <w:tc>
          <w:tcPr>
            <w:tcW w:w="866" w:type="dxa"/>
          </w:tcPr>
          <w:p>
            <w:pPr/>
            <w:r>
              <w:t xml:space="preserve">423</w:t>
            </w:r>
          </w:p>
        </w:tc>
        <w:tc>
          <w:tcPr>
            <w:tcW w:w="2975" w:type="dxa"/>
          </w:tcPr>
          <w:p>
            <w:pPr/>
            <w:r>
              <w:t xml:space="preserve">5 failed logins in a row</w:t>
            </w:r>
          </w:p>
        </w:tc>
        <w:tc>
          <w:tcPr>
            <w:tcW w:w="3179" w:type="dxa"/>
          </w:tcPr>
          <w:p>
            <w:pPr/>
            <w:r>
              <w:t xml:space="preserve">Locked for 15 minutes (SEC-02)</w:t>
            </w:r>
          </w:p>
        </w:tc>
      </w:tr>
      <w:tr>
        <w:tc>
          <w:tcPr>
            <w:tcW w:w="2340" w:type="dxa"/>
          </w:tcPr>
          <w:p>
            <w:pPr/>
            <w:r>
              <w:t xml:space="preserve">MODEL_NOT_ACTIVATABLE</w:t>
            </w:r>
          </w:p>
        </w:tc>
        <w:tc>
          <w:tcPr>
            <w:tcW w:w="866" w:type="dxa"/>
          </w:tcPr>
          <w:p>
            <w:pPr/>
            <w:r>
              <w:t xml:space="preserve">409</w:t>
            </w:r>
          </w:p>
        </w:tc>
        <w:tc>
          <w:tcPr>
            <w:tcW w:w="2975" w:type="dxa"/>
          </w:tcPr>
          <w:p>
            <w:pPr/>
            <w:r>
              <w:t xml:space="preserve">Model not validated</w:t>
            </w:r>
          </w:p>
        </w:tc>
        <w:tc>
          <w:tcPr>
            <w:tcW w:w="3179" w:type="dxa"/>
          </w:tcPr>
          <w:p>
            <w:pPr/>
            <w:r>
              <w:t xml:space="preserve">Activation refused (FR-22)</w:t>
            </w:r>
          </w:p>
        </w:tc>
      </w:tr>
      <w:tr>
        <w:tc>
          <w:tcPr>
            <w:tcW w:w="2340" w:type="dxa"/>
          </w:tcPr>
          <w:p>
            <w:pPr/>
            <w:r>
              <w:t xml:space="preserve">RATE_LIMITED</w:t>
            </w:r>
          </w:p>
        </w:tc>
        <w:tc>
          <w:tcPr>
            <w:tcW w:w="866" w:type="dxa"/>
          </w:tcPr>
          <w:p>
            <w:pPr/>
            <w:r>
              <w:t xml:space="preserve">429</w:t>
            </w:r>
          </w:p>
        </w:tc>
        <w:tc>
          <w:tcPr>
            <w:tcW w:w="2975" w:type="dxa"/>
          </w:tcPr>
          <w:p>
            <w:pPr/>
            <w:r>
              <w:t xml:space="preserve">More than 60 requests per minute</w:t>
            </w:r>
          </w:p>
        </w:tc>
        <w:tc>
          <w:tcPr>
            <w:tcW w:w="3179" w:type="dxa"/>
          </w:tcPr>
          <w:p>
            <w:pPr/>
            <w:r>
              <w:rPr>
                <w:rStyle w:val="CodeChar"/>
              </w:rPr>
              <w:t xml:space="preserve">Retry-After: 60</w:t>
            </w:r>
            <w:r>
              <w:t xml:space="preserve"> header</w:t>
            </w:r>
          </w:p>
        </w:tc>
      </w:tr>
      <w:tr>
        <w:tc>
          <w:tcPr>
            <w:tcW w:w="2340" w:type="dxa"/>
          </w:tcPr>
          <w:p>
            <w:pPr/>
            <w:r>
              <w:t xml:space="preserve">SERVICE_UNAVAILABLE</w:t>
            </w:r>
          </w:p>
        </w:tc>
        <w:tc>
          <w:tcPr>
            <w:tcW w:w="866" w:type="dxa"/>
          </w:tcPr>
          <w:p>
            <w:pPr/>
            <w:r>
              <w:t xml:space="preserve">503</w:t>
            </w:r>
          </w:p>
        </w:tc>
        <w:tc>
          <w:tcPr>
            <w:tcW w:w="2975" w:type="dxa"/>
          </w:tcPr>
          <w:p>
            <w:pPr/>
            <w:r>
              <w:t xml:space="preserve">No active validated model, or service down or silent for 10 seconds</w:t>
            </w:r>
          </w:p>
        </w:tc>
        <w:tc>
          <w:tcPr>
            <w:tcW w:w="3179" w:type="dxa"/>
          </w:tcPr>
          <w:p>
            <w:pPr/>
            <w:r>
              <w:t xml:space="preserve">"Prediction service temporarily unavailable, please retry"; entered data kept (FR-17)</w:t>
            </w:r>
          </w:p>
        </w:tc>
      </w:tr>
      <w:tr>
        <w:tc>
          <w:tcPr>
            <w:tcW w:w="2340" w:type="dxa"/>
          </w:tcPr>
          <w:p>
            <w:pPr/>
            <w:r>
              <w:t xml:space="preserve">PIPELINE_MISMATCH</w:t>
            </w:r>
          </w:p>
        </w:tc>
        <w:tc>
          <w:tcPr>
            <w:tcW w:w="866" w:type="dxa"/>
          </w:tcPr>
          <w:p>
            <w:pPr/>
            <w:r>
              <w:t xml:space="preserve">500</w:t>
            </w:r>
          </w:p>
        </w:tc>
        <w:tc>
          <w:tcPr>
            <w:tcW w:w="2975" w:type="dxa"/>
          </w:tcPr>
          <w:p>
            <w:pPr/>
            <w:r>
              <w:t xml:space="preserve">Pipeline version differs from the model's</w:t>
            </w:r>
          </w:p>
        </w:tc>
        <w:tc>
          <w:tcPr>
            <w:tcW w:w="3179" w:type="dxa"/>
          </w:tcPr>
          <w:p>
            <w:pPr/>
            <w:r>
              <w:t xml:space="preserve">Request rejected and logged (FR-08)</w:t>
            </w:r>
          </w:p>
        </w:tc>
      </w:tr>
      <w:tr>
        <w:tc>
          <w:tcPr>
            <w:tcW w:w="2340" w:type="dxa"/>
          </w:tcPr>
          <w:p>
            <w:pPr/>
            <w:r>
              <w:t xml:space="preserve">INTERNAL_ERROR</w:t>
            </w:r>
          </w:p>
        </w:tc>
        <w:tc>
          <w:tcPr>
            <w:tcW w:w="866" w:type="dxa"/>
          </w:tcPr>
          <w:p>
            <w:pPr/>
            <w:r>
              <w:t xml:space="preserve">500</w:t>
            </w:r>
          </w:p>
        </w:tc>
        <w:tc>
          <w:tcPr>
            <w:tcW w:w="2975" w:type="dxa"/>
          </w:tcPr>
          <w:p>
            <w:pPr/>
            <w:r>
              <w:t xml:space="preserve">Any unexpected failure</w:t>
            </w:r>
          </w:p>
        </w:tc>
        <w:tc>
          <w:tcPr>
            <w:tcW w:w="3179" w:type="dxa"/>
          </w:tcPr>
          <w:p>
            <w:pPr/>
            <w:r>
              <w:t xml:space="preserve">Generic message with request ID</w:t>
            </w:r>
          </w:p>
        </w:tc>
      </w:tr>
    </w:tbl>
    <w:p>
      <w:pPr>
        <w:pStyle w:val="Heading3"/>
      </w:pPr>
      <w:r>
        <w:t xml:space="preserve">3.5 User Interface Design</w:t>
      </w:r>
    </w:p>
    <w:p>
      <w:pPr/>
      <w:r>
        <w:t xml:space="preserve">Four screens in one page application: Login, Prediction (entry form and result), History, and Admin (users, models, audit logs). Numeric inputs show their unit and valid range in the label; categorical inputs are dropdowns. Invalid fields are outlined in red with a message beside the field. The result always shows the label, probability, risk category, model version, top features and the disclaimer. The layout is responsive (UI-1 to UI-4; behaviour at 360 px not yet verified).</w:t>
      </w:r>
    </w:p>
    <w:p>
      <w:pPr>
        <w:pStyle w:val="Heading3"/>
      </w:pPr>
      <w:r>
        <w:t xml:space="preserve">3.6 Assumptions</w:t>
      </w:r>
    </w:p>
    <w:p>
      <w:pPr>
        <w:pStyle w:val="ListParagraph"/>
        <w:numPr>
          <w:ilvl w:val="0"/>
          <w:numId w:val="8"/>
        </w:numPr>
      </w:pPr>
      <w:r>
        <w:t xml:space="preserve">The dataset is used only offline for training and validation; the running system does not read it.</w:t>
      </w:r>
    </w:p>
    <w:p>
      <w:pPr>
        <w:pStyle w:val="ListParagraph"/>
        <w:numPr>
          <w:ilvl w:val="0"/>
          <w:numId w:val="8"/>
        </w:numPr>
      </w:pPr>
      <w:r>
        <w:t xml:space="preserve">Quantum ML is executed on a simulator.</w:t>
      </w:r>
    </w:p>
    <w:p>
      <w:pPr>
        <w:pStyle w:val="ListParagraph"/>
        <w:numPr>
          <w:ilvl w:val="0"/>
          <w:numId w:val="8"/>
        </w:numPr>
      </w:pPr>
      <w:r>
        <w:t xml:space="preserve">The final feature list is SRS FR-04; final model metrics are in SRS Appendix D.</w:t>
      </w:r>
    </w:p>
    <w:p>
      <w:pPr>
        <w:pStyle w:val="Heading2"/>
      </w:pPr>
      <w:r>
        <w:t xml:space="preserve">4 Training and Validation Design</w:t>
      </w:r>
    </w:p>
    <w:p>
      <w:pPr/>
      <w:r>
        <w:t xml:space="preserve">The offline pipeline (</w:t>
      </w:r>
      <w:r>
        <w:rPr>
          <w:rStyle w:val="CodeChar"/>
        </w:rPr>
        <w:t xml:space="preserve">python -m training.train --data data/heart.csv --models models</w:t>
      </w:r>
      <w:r>
        <w:t xml:space="preserve">) works as follows:</w:t>
      </w:r>
    </w:p>
    <w:p>
      <w:pPr>
        <w:pStyle w:val="ListParagraph"/>
        <w:numPr>
          <w:ilvl w:val="0"/>
          <w:numId w:val="9"/>
        </w:numPr>
      </w:pPr>
      <w:r>
        <w:t xml:space="preserve">Load </w:t>
      </w:r>
      <w:r>
        <w:rPr>
          <w:rStyle w:val="CodeChar"/>
        </w:rPr>
        <w:t xml:space="preserve">heart.csv</w:t>
      </w:r>
      <w:r>
        <w:t xml:space="preserve">, encode categorical columns as integers, treat cholesterol and resting blood pressure values of 0 as missing.</w:t>
      </w:r>
    </w:p>
    <w:p>
      <w:pPr>
        <w:pStyle w:val="ListParagraph"/>
        <w:numPr>
          <w:ilvl w:val="0"/>
          <w:numId w:val="9"/>
        </w:numPr>
      </w:pPr>
      <w:r>
        <w:t xml:space="preserve">Split 80/20, stratified by label, seed 42. The 20% test split is saved as </w:t>
      </w:r>
      <w:r>
        <w:rPr>
          <w:rStyle w:val="CodeChar"/>
        </w:rPr>
        <w:t xml:space="preserve">heldout.csv</w:t>
      </w:r>
      <w:r>
        <w:t xml:space="preserve">.</w:t>
      </w:r>
    </w:p>
    <w:p>
      <w:pPr>
        <w:pStyle w:val="ListParagraph"/>
        <w:numPr>
          <w:ilvl w:val="0"/>
          <w:numId w:val="9"/>
        </w:numPr>
      </w:pPr>
      <w:r>
        <w:t xml:space="preserve">Fit the preprocessing pipeline (median imputation, standard scaling) on the training split only, and save it as </w:t>
      </w:r>
      <w:r>
        <w:rPr>
          <w:rStyle w:val="CodeChar"/>
        </w:rPr>
        <w:t xml:space="preserve">pipeline-1.0.joblib</w:t>
      </w:r>
      <w:r>
        <w:t xml:space="preserve">.</w:t>
      </w:r>
    </w:p>
    <w:p>
      <w:pPr>
        <w:pStyle w:val="ListParagraph"/>
        <w:numPr>
          <w:ilvl w:val="0"/>
          <w:numId w:val="9"/>
        </w:numPr>
      </w:pPr>
      <w:r>
        <w:t xml:space="preserve">Train the ML model (random forest, 400 trees). Train the DL model (MLP) with its settings chosen by 5-fold cross-validation on the training split. Train the QML model (4 qubits chosen by random-forest importance, 3 layers, mini-batch training, Platt-calibrated output).</w:t>
      </w:r>
    </w:p>
    <w:p>
      <w:pPr>
        <w:pStyle w:val="ListParagraph"/>
        <w:numPr>
          <w:ilvl w:val="0"/>
          <w:numId w:val="9"/>
        </w:numPr>
      </w:pPr>
      <w:r>
        <w:t xml:space="preserve">Evaluate each model on the held-out split (accuracy, recall, precision, F1, ROC-AUC, confusion matrix). Report 5-fold cross-validation for ML and DL, with preprocessing refitted inside each fold.</w:t>
      </w:r>
    </w:p>
    <w:p>
      <w:pPr>
        <w:pStyle w:val="ListParagraph"/>
        <w:numPr>
          <w:ilvl w:val="0"/>
          <w:numId w:val="9"/>
        </w:numPr>
      </w:pPr>
      <w:r>
        <w:t xml:space="preserve">Mark a model </w:t>
      </w:r>
      <w:r>
        <w:rPr>
          <w:rStyle w:val="CodeChar"/>
        </w:rPr>
        <w:t xml:space="preserve">validated</w:t>
      </w:r>
      <w:r>
        <w:t xml:space="preserve"> only if held-out accuracy and recall are both at least 85% (NFR-06). Write each model's SHA-256 checksum to </w:t>
      </w:r>
      <w:r>
        <w:rPr>
          <w:rStyle w:val="CodeChar"/>
        </w:rPr>
        <w:t xml:space="preserve">registry.json</w:t>
      </w:r>
      <w:r>
        <w:t xml:space="preserve">, and write </w:t>
      </w:r>
      <w:r>
        <w:rPr>
          <w:rStyle w:val="CodeChar"/>
        </w:rPr>
        <w:t xml:space="preserve">training_report.json</w:t>
      </w:r>
      <w:r>
        <w:t xml:space="preserve"> with the dataset hash, date, seed and metrics.</w:t>
      </w:r>
    </w:p>
    <w:p>
      <w:pPr/>
      <w:r>
        <w:t xml:space="preserve">Results of the current run are in SRS Appendix D.1: ML 90.2% accuracy and 93.1% recall, DL 87.0% and 91.2%, QML 78.8% and 83.3% (unvalidated, not served).</w:t>
      </w:r>
    </w:p>
    <w:p>
      <w:pPr>
        <w:pStyle w:val="Heading2"/>
      </w:pPr>
      <w:r>
        <w:t xml:space="preserve">5 Deviations from Design Version 1.0</w:t>
      </w:r>
    </w:p>
    <w:tbl>
      <w:tblPr>
        <w:tblStyle w:val="TableGrid"/>
        <w:tblW w:w="0" w:type="auto"/>
        <w:tblLayout w:type="fixed"/>
        <w:tblLook w:val="04A0" w:firstRow="1" w:lastRow="0" w:firstColumn="0" w:lastColumn="0" w:noHBand="0" w:noVBand="1"/>
      </w:tblPr>
      <w:tblGrid>
        <w:gridCol w:w="720"/>
        <w:gridCol w:w="2143"/>
        <w:gridCol w:w="2340"/>
        <w:gridCol w:w="4157"/>
      </w:tblGrid>
      <w:tr>
        <w:trPr>
          <w:tblHeader/>
        </w:trPr>
        <w:tc>
          <w:tcPr>
            <w:tcW w:w="720" w:type="dxa"/>
            <w:shd w:val="clear" w:color="auto" w:fill="F2F2F2"/>
          </w:tcPr>
          <w:p>
            <w:pPr/>
            <w:r>
              <w:t xml:space="preserve">#</w:t>
            </w:r>
          </w:p>
        </w:tc>
        <w:tc>
          <w:tcPr>
            <w:tcW w:w="2143" w:type="dxa"/>
            <w:shd w:val="clear" w:color="auto" w:fill="F2F2F2"/>
          </w:tcPr>
          <w:p>
            <w:pPr/>
            <w:r>
              <w:t xml:space="preserve">Area</w:t>
            </w:r>
          </w:p>
        </w:tc>
        <w:tc>
          <w:tcPr>
            <w:tcW w:w="2340" w:type="dxa"/>
            <w:shd w:val="clear" w:color="auto" w:fill="F2F2F2"/>
          </w:tcPr>
          <w:p>
            <w:pPr/>
            <w:r>
              <w:t xml:space="preserve">Version 1.0 design</w:t>
            </w:r>
          </w:p>
        </w:tc>
        <w:tc>
          <w:tcPr>
            <w:tcW w:w="4157" w:type="dxa"/>
            <w:shd w:val="clear" w:color="auto" w:fill="F2F2F2"/>
          </w:tcPr>
          <w:p>
            <w:pPr/>
            <w:r>
              <w:t xml:space="preserve">As built</w:t>
            </w:r>
          </w:p>
        </w:tc>
      </w:tr>
      <w:tr>
        <w:tc>
          <w:tcPr>
            <w:tcW w:w="720" w:type="dxa"/>
          </w:tcPr>
          <w:p>
            <w:pPr/>
            <w:r>
              <w:t xml:space="preserve">D1</w:t>
            </w:r>
          </w:p>
        </w:tc>
        <w:tc>
          <w:tcPr>
            <w:tcW w:w="2143" w:type="dxa"/>
          </w:tcPr>
          <w:p>
            <w:pPr/>
            <w:r>
              <w:t xml:space="preserve">Dataset</w:t>
            </w:r>
          </w:p>
        </w:tc>
        <w:tc>
          <w:tcPr>
            <w:tcW w:w="2340" w:type="dxa"/>
          </w:tcPr>
          <w:p>
            <w:pPr/>
            <w:r>
              <w:t xml:space="preserve">UCI heart disease, final choice pending</w:t>
            </w:r>
          </w:p>
        </w:tc>
        <w:tc>
          <w:tcPr>
            <w:tcW w:w="4157" w:type="dxa"/>
          </w:tcPr>
          <w:p>
            <w:pPr/>
            <w:r>
              <w:rPr>
                <w:rStyle w:val="CodeChar"/>
              </w:rPr>
              <w:t xml:space="preserve">heart.csv</w:t>
            </w:r>
            <w:r>
              <w:t xml:space="preserve">, 918 records, 11 inputs; label is a proxy for ischemia</w:t>
            </w:r>
          </w:p>
        </w:tc>
      </w:tr>
      <w:tr>
        <w:tc>
          <w:tcPr>
            <w:tcW w:w="720" w:type="dxa"/>
          </w:tcPr>
          <w:p>
            <w:pPr/>
            <w:r>
              <w:t xml:space="preserve">D4</w:t>
            </w:r>
          </w:p>
        </w:tc>
        <w:tc>
          <w:tcPr>
            <w:tcW w:w="2143" w:type="dxa"/>
          </w:tcPr>
          <w:p>
            <w:pPr/>
            <w:r>
              <w:t xml:space="preserve">DL service</w:t>
            </w:r>
          </w:p>
        </w:tc>
        <w:tc>
          <w:tcPr>
            <w:tcW w:w="2340" w:type="dxa"/>
          </w:tcPr>
          <w:p>
            <w:pPr/>
            <w:r>
              <w:t xml:space="preserve">TensorFlow/PyTorch</w:t>
            </w:r>
          </w:p>
        </w:tc>
        <w:tc>
          <w:tcPr>
            <w:tcW w:w="4157" w:type="dxa"/>
          </w:tcPr>
          <w:p>
            <w:pPr/>
            <w:r>
              <w:t xml:space="preserve">scikit-learn MLP</w:t>
            </w:r>
          </w:p>
        </w:tc>
      </w:tr>
      <w:tr>
        <w:tc>
          <w:tcPr>
            <w:tcW w:w="720" w:type="dxa"/>
          </w:tcPr>
          <w:p>
            <w:pPr/>
            <w:r>
              <w:t xml:space="preserve">D5</w:t>
            </w:r>
          </w:p>
        </w:tc>
        <w:tc>
          <w:tcPr>
            <w:tcW w:w="2143" w:type="dxa"/>
          </w:tcPr>
          <w:p>
            <w:pPr/>
            <w:r>
              <w:t xml:space="preserve">QML service</w:t>
            </w:r>
          </w:p>
        </w:tc>
        <w:tc>
          <w:tcPr>
            <w:tcW w:w="2340" w:type="dxa"/>
          </w:tcPr>
          <w:p>
            <w:pPr/>
            <w:r>
              <w:t xml:space="preserve">Quantum SDK</w:t>
            </w:r>
          </w:p>
        </w:tc>
        <w:tc>
          <w:tcPr>
            <w:tcW w:w="4157" w:type="dxa"/>
          </w:tcPr>
          <w:p>
            <w:pPr/>
            <w:r>
              <w:t xml:space="preserve">PennyLane simulator; below the 85% target, so unvalidated and not served</w:t>
            </w:r>
          </w:p>
        </w:tc>
      </w:tr>
      <w:tr>
        <w:tc>
          <w:tcPr>
            <w:tcW w:w="720" w:type="dxa"/>
          </w:tcPr>
          <w:p>
            <w:pPr/>
            <w:r>
              <w:t xml:space="preserve">D6</w:t>
            </w:r>
          </w:p>
        </w:tc>
        <w:tc>
          <w:tcPr>
            <w:tcW w:w="2143" w:type="dxa"/>
          </w:tcPr>
          <w:p>
            <w:pPr/>
            <w:r>
              <w:t xml:space="preserve">Explanation</w:t>
            </w:r>
          </w:p>
        </w:tc>
        <w:tc>
          <w:tcPr>
            <w:tcW w:w="2340" w:type="dxa"/>
          </w:tcPr>
          <w:p>
            <w:pPr/>
            <w:r>
              <w:t xml:space="preserve">Top-5 features</w:t>
            </w:r>
          </w:p>
        </w:tc>
        <w:tc>
          <w:tcPr>
            <w:tcW w:w="4157" w:type="dxa"/>
          </w:tcPr>
          <w:p>
            <w:pPr/>
            <w:r>
              <w:t xml:space="preserve">Leave-one-out attribution; internal feature names</w:t>
            </w:r>
          </w:p>
        </w:tc>
      </w:tr>
      <w:tr>
        <w:tc>
          <w:tcPr>
            <w:tcW w:w="720" w:type="dxa"/>
          </w:tcPr>
          <w:p>
            <w:pPr/>
            <w:r>
              <w:t xml:space="preserve">D7</w:t>
            </w:r>
          </w:p>
        </w:tc>
        <w:tc>
          <w:tcPr>
            <w:tcW w:w="2143" w:type="dxa"/>
          </w:tcPr>
          <w:p>
            <w:pPr/>
            <w:r>
              <w:t xml:space="preserve">TLS</w:t>
            </w:r>
          </w:p>
        </w:tc>
        <w:tc>
          <w:tcPr>
            <w:tcW w:w="2340" w:type="dxa"/>
          </w:tcPr>
          <w:p>
            <w:pPr/>
            <w:r>
              <w:t xml:space="preserve">TLS 1.2+ at the ingress</w:t>
            </w:r>
          </w:p>
        </w:tc>
        <w:tc>
          <w:tcPr>
            <w:tcW w:w="4157" w:type="dxa"/>
          </w:tcPr>
          <w:p>
            <w:pPr/>
            <w:r>
              <w:t xml:space="preserve">Development server uses HTTP; TLS left to the ingress or reverse proxy</w:t>
            </w:r>
          </w:p>
        </w:tc>
      </w:tr>
      <w:tr>
        <w:tc>
          <w:tcPr>
            <w:tcW w:w="720" w:type="dxa"/>
          </w:tcPr>
          <w:p>
            <w:pPr/>
            <w:r>
              <w:t xml:space="preserve">D8</w:t>
            </w:r>
          </w:p>
        </w:tc>
        <w:tc>
          <w:tcPr>
            <w:tcW w:w="2143" w:type="dxa"/>
          </w:tcPr>
          <w:p>
            <w:pPr/>
            <w:r>
              <w:t xml:space="preserve">Orchestration</w:t>
            </w:r>
          </w:p>
        </w:tc>
        <w:tc>
          <w:tcPr>
            <w:tcW w:w="2340" w:type="dxa"/>
          </w:tcPr>
          <w:p>
            <w:pPr/>
            <w:r>
              <w:t xml:space="preserve">Kubernetes</w:t>
            </w:r>
          </w:p>
        </w:tc>
        <w:tc>
          <w:tcPr>
            <w:tcW w:w="4157" w:type="dxa"/>
          </w:tcPr>
          <w:p>
            <w:pPr/>
            <w:r>
              <w:t xml:space="preserve">Docker Compose only; Kubernetes manifests not delivered</w:t>
            </w:r>
          </w:p>
        </w:tc>
      </w:tr>
      <w:tr>
        <w:tc>
          <w:tcPr>
            <w:tcW w:w="720" w:type="dxa"/>
          </w:tcPr>
          <w:p>
            <w:pPr/>
            <w:r>
              <w:t xml:space="preserve">D9</w:t>
            </w:r>
          </w:p>
        </w:tc>
        <w:tc>
          <w:tcPr>
            <w:tcW w:w="2143" w:type="dxa"/>
          </w:tcPr>
          <w:p>
            <w:pPr/>
            <w:r>
              <w:t xml:space="preserve">Database</w:t>
            </w:r>
          </w:p>
        </w:tc>
        <w:tc>
          <w:tcPr>
            <w:tcW w:w="2340" w:type="dxa"/>
          </w:tcPr>
          <w:p>
            <w:pPr/>
            <w:r>
              <w:t xml:space="preserve">PostgreSQL with migration scripts</w:t>
            </w:r>
          </w:p>
        </w:tc>
        <w:tc>
          <w:tcPr>
            <w:tcW w:w="4157" w:type="dxa"/>
          </w:tcPr>
          <w:p>
            <w:pPr/>
            <w:r>
              <w:t xml:space="preserve">SQLite locally, PostgreSQL in Compose; tables created by the app</w:t>
            </w:r>
          </w:p>
        </w:tc>
      </w:tr>
      <w:tr>
        <w:tc>
          <w:tcPr>
            <w:tcW w:w="720" w:type="dxa"/>
          </w:tcPr>
          <w:p>
            <w:pPr/>
            <w:r>
              <w:t xml:space="preserve">D10</w:t>
            </w:r>
          </w:p>
        </w:tc>
        <w:tc>
          <w:tcPr>
            <w:tcW w:w="2143" w:type="dxa"/>
          </w:tcPr>
          <w:p>
            <w:pPr/>
            <w:r>
              <w:t xml:space="preserve">Configuration</w:t>
            </w:r>
          </w:p>
        </w:tc>
        <w:tc>
          <w:tcPr>
            <w:tcW w:w="2340" w:type="dxa"/>
          </w:tcPr>
          <w:p>
            <w:pPr/>
            <w:r>
              <w:t xml:space="preserve">Administrator changes thresholds and default model</w:t>
            </w:r>
          </w:p>
        </w:tc>
        <w:tc>
          <w:tcPr>
            <w:tcW w:w="4157" w:type="dxa"/>
          </w:tcPr>
          <w:p>
            <w:pPr/>
            <w:r>
              <w:t xml:space="preserve">Server settings</w:t>
            </w:r>
          </w:p>
        </w:tc>
      </w:tr>
      <w:tr>
        <w:tc>
          <w:tcPr>
            <w:tcW w:w="720" w:type="dxa"/>
          </w:tcPr>
          <w:p>
            <w:pPr/>
            <w:r>
              <w:t xml:space="preserve">D11</w:t>
            </w:r>
          </w:p>
        </w:tc>
        <w:tc>
          <w:tcPr>
            <w:tcW w:w="2143" w:type="dxa"/>
          </w:tcPr>
          <w:p>
            <w:pPr/>
            <w:r>
              <w:t xml:space="preserve">Rate limit</w:t>
            </w:r>
          </w:p>
        </w:tc>
        <w:tc>
          <w:tcPr>
            <w:tcW w:w="2340" w:type="dxa"/>
          </w:tcPr>
          <w:p>
            <w:pPr/>
            <w:r>
              <w:t xml:space="preserve">60 per minute per user</w:t>
            </w:r>
          </w:p>
        </w:tc>
        <w:tc>
          <w:tcPr>
            <w:tcW w:w="4157" w:type="dxa"/>
          </w:tcPr>
          <w:p>
            <w:pPr/>
            <w:r>
              <w:t xml:space="preserve">In-memory, per process</w:t>
            </w:r>
          </w:p>
        </w:tc>
      </w:tr>
      <w:tr>
        <w:tc>
          <w:tcPr>
            <w:tcW w:w="720" w:type="dxa"/>
          </w:tcPr>
          <w:p>
            <w:pPr/>
            <w:r>
              <w:t xml:space="preserve">D12</w:t>
            </w:r>
          </w:p>
        </w:tc>
        <w:tc>
          <w:tcPr>
            <w:tcW w:w="2143" w:type="dxa"/>
          </w:tcPr>
          <w:p>
            <w:pPr/>
            <w:r>
              <w:t xml:space="preserve">Pseudonymisation</w:t>
            </w:r>
          </w:p>
        </w:tc>
        <w:tc>
          <w:tcPr>
            <w:tcW w:w="2340" w:type="dxa"/>
          </w:tcPr>
          <w:p>
            <w:pPr/>
            <w:r>
              <w:t xml:space="preserve">Replace patient identifier</w:t>
            </w:r>
          </w:p>
        </w:tc>
        <w:tc>
          <w:tcPr>
            <w:tcW w:w="4157" w:type="dxa"/>
          </w:tcPr>
          <w:p>
            <w:pPr/>
            <w:r>
              <w:t xml:space="preserve">Auto-generated </w:t>
            </w:r>
            <w:r>
              <w:rPr>
                <w:rStyle w:val="CodeChar"/>
              </w:rPr>
              <w:t xml:space="preserve">patient_ref</w:t>
            </w:r>
            <w:r>
              <w:t xml:space="preserve">; no replace function</w:t>
            </w:r>
          </w:p>
        </w:tc>
      </w:tr>
      <w:tr>
        <w:tc>
          <w:tcPr>
            <w:tcW w:w="720" w:type="dxa"/>
          </w:tcPr>
          <w:p>
            <w:pPr/>
            <w:r>
              <w:t xml:space="preserve">D13</w:t>
            </w:r>
          </w:p>
        </w:tc>
        <w:tc>
          <w:tcPr>
            <w:tcW w:w="2143" w:type="dxa"/>
          </w:tcPr>
          <w:p>
            <w:pPr/>
            <w:r>
              <w:t xml:space="preserve">Audit retention</w:t>
            </w:r>
          </w:p>
        </w:tc>
        <w:tc>
          <w:tcPr>
            <w:tcW w:w="2340" w:type="dxa"/>
          </w:tcPr>
          <w:p>
            <w:pPr/>
            <w:r>
              <w:t xml:space="preserve">1 year</w:t>
            </w:r>
          </w:p>
        </w:tc>
        <w:tc>
          <w:tcPr>
            <w:tcW w:w="4157" w:type="dxa"/>
          </w:tcPr>
          <w:p>
            <w:pPr/>
            <w:r>
              <w:t xml:space="preserve">Records never purged; no retention job</w:t>
            </w:r>
          </w:p>
        </w:tc>
      </w:tr>
      <w:tr>
        <w:tc>
          <w:tcPr>
            <w:tcW w:w="720" w:type="dxa"/>
          </w:tcPr>
          <w:p>
            <w:pPr/>
            <w:r>
              <w:t xml:space="preserve">D14</w:t>
            </w:r>
          </w:p>
        </w:tc>
        <w:tc>
          <w:tcPr>
            <w:tcW w:w="2143" w:type="dxa"/>
          </w:tcPr>
          <w:p>
            <w:pPr/>
            <w:r>
              <w:t xml:space="preserve">Admin functions</w:t>
            </w:r>
          </w:p>
        </w:tc>
        <w:tc>
          <w:tcPr>
            <w:tcW w:w="2340" w:type="dxa"/>
          </w:tcPr>
          <w:p>
            <w:pPr/>
            <w:r>
              <w:t xml:space="preserve">Admin UI</w:t>
            </w:r>
          </w:p>
        </w:tc>
        <w:tc>
          <w:tcPr>
            <w:tcW w:w="4157" w:type="dxa"/>
          </w:tcPr>
          <w:p>
            <w:pPr/>
            <w:r>
              <w:t xml:space="preserve">Delete prediction and register model are API-only</w:t>
            </w:r>
          </w:p>
        </w:tc>
      </w:tr>
      <w:tr>
        <w:tc>
          <w:tcPr>
            <w:tcW w:w="720" w:type="dxa"/>
          </w:tcPr>
          <w:p>
            <w:pPr/>
            <w:r>
              <w:t xml:space="preserve">D15</w:t>
            </w:r>
          </w:p>
        </w:tc>
        <w:tc>
          <w:tcPr>
            <w:tcW w:w="2143" w:type="dxa"/>
          </w:tcPr>
          <w:p>
            <w:pPr/>
            <w:r>
              <w:t xml:space="preserve">Failure handling</w:t>
            </w:r>
          </w:p>
        </w:tc>
        <w:tc>
          <w:tcPr>
            <w:tcW w:w="2340" w:type="dxa"/>
          </w:tcPr>
          <w:p>
            <w:pPr/>
            <w:r>
              <w:t xml:space="preserve">Offer another model</w:t>
            </w:r>
          </w:p>
        </w:tc>
        <w:tc>
          <w:tcPr>
            <w:tcW w:w="4157" w:type="dxa"/>
          </w:tcPr>
          <w:p>
            <w:pPr/>
            <w:r>
              <w:t xml:space="preserve">User selects another model manually</w:t>
            </w:r>
          </w:p>
        </w:tc>
      </w:tr>
      <w:tr>
        <w:tc>
          <w:tcPr>
            <w:tcW w:w="720" w:type="dxa"/>
          </w:tcPr>
          <w:p>
            <w:pPr/>
            <w:r>
              <w:t xml:space="preserve">D16</w:t>
            </w:r>
          </w:p>
        </w:tc>
        <w:tc>
          <w:tcPr>
            <w:tcW w:w="2143" w:type="dxa"/>
          </w:tcPr>
          <w:p>
            <w:pPr/>
            <w:r>
              <w:t xml:space="preserve">UI</w:t>
            </w:r>
          </w:p>
        </w:tc>
        <w:tc>
          <w:tcPr>
            <w:tcW w:w="2340" w:type="dxa"/>
          </w:tcPr>
          <w:p>
            <w:pPr/>
            <w:r>
              <w:t xml:space="preserve">Five pages</w:t>
            </w:r>
          </w:p>
        </w:tc>
        <w:tc>
          <w:tcPr>
            <w:tcW w:w="4157" w:type="dxa"/>
          </w:tcPr>
          <w:p>
            <w:pPr/>
            <w:r>
              <w:t xml:space="preserve">Four screens; result shown on the Prediction screen</w:t>
            </w:r>
          </w:p>
        </w:tc>
      </w:tr>
      <w:tr>
        <w:tc>
          <w:tcPr>
            <w:tcW w:w="720" w:type="dxa"/>
          </w:tcPr>
          <w:p>
            <w:pPr/>
            <w:r>
              <w:t xml:space="preserve">D18</w:t>
            </w:r>
          </w:p>
        </w:tc>
        <w:tc>
          <w:tcPr>
            <w:tcW w:w="2143" w:type="dxa"/>
          </w:tcPr>
          <w:p>
            <w:pPr/>
            <w:r>
              <w:t xml:space="preserve">Retraining</w:t>
            </w:r>
          </w:p>
        </w:tc>
        <w:tc>
          <w:tcPr>
            <w:tcW w:w="2340" w:type="dxa"/>
          </w:tcPr>
          <w:p>
            <w:pPr/>
            <w:r>
              <w:t xml:space="preserve">Not specified</w:t>
            </w:r>
          </w:p>
        </w:tc>
        <w:tc>
          <w:tcPr>
            <w:tcW w:w="4157" w:type="dxa"/>
          </w:tcPr>
          <w:p>
            <w:pPr/>
            <w:r>
              <w:t xml:space="preserve">Version names reused; reset the database or rename versions after retraining</w:t>
            </w:r>
          </w:p>
        </w:tc>
      </w:tr>
      <w:tr>
        <w:tc>
          <w:tcPr>
            <w:tcW w:w="720" w:type="dxa"/>
          </w:tcPr>
          <w:p>
            <w:pPr/>
            <w:r>
              <w:t xml:space="preserve">D20</w:t>
            </w:r>
          </w:p>
        </w:tc>
        <w:tc>
          <w:tcPr>
            <w:tcW w:w="2143" w:type="dxa"/>
          </w:tcPr>
          <w:p>
            <w:pPr/>
            <w:r>
              <w:t xml:space="preserve">Internal API</w:t>
            </w:r>
          </w:p>
        </w:tc>
        <w:tc>
          <w:tcPr>
            <w:tcW w:w="2340" w:type="dxa"/>
          </w:tcPr>
          <w:p>
            <w:pPr/>
            <w:r>
              <w:rPr>
                <w:rStyle w:val="CodeChar"/>
              </w:rPr>
              <w:t xml:space="preserve">/predict</w:t>
            </w:r>
            <w:r>
              <w:t xml:space="preserve">, </w:t>
            </w:r>
            <w:r>
              <w:rPr>
                <w:rStyle w:val="CodeChar"/>
              </w:rPr>
              <w:t xml:space="preserve">/health</w:t>
            </w:r>
          </w:p>
        </w:tc>
        <w:tc>
          <w:tcPr>
            <w:tcW w:w="4157" w:type="dxa"/>
          </w:tcPr>
          <w:p>
            <w:pPr/>
            <w:r>
              <w:t xml:space="preserve">Adds </w:t>
            </w:r>
            <w:r>
              <w:rPr>
                <w:rStyle w:val="CodeChar"/>
              </w:rPr>
              <w:t xml:space="preserve">/info</w:t>
            </w:r>
            <w:r>
              <w:t xml:space="preserve">, </w:t>
            </w:r>
            <w:r>
              <w:rPr>
                <w:rStyle w:val="CodeChar"/>
              </w:rPr>
              <w:t xml:space="preserve">latency_ms</w:t>
            </w:r>
            <w:r>
              <w:t xml:space="preserve">, NaN/Infinity rejection, 16 KB limit</w:t>
            </w:r>
          </w:p>
        </w:tc>
      </w:tr>
    </w:tbl>
    <w:p>
      <w:pPr/>
      <w:r>
        <w:t xml:space="preserve">The full numbered list (D1 to D20) is in SRS Appendix D.3.</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 w:numId="7">
    <w:abstractNumId w:val="1"/>
    <w:lvlOverride w:ilvl="0">
      <w:startOverride w:val="1"/>
    </w:lvlOverride>
  </w:num>
  <w:num w:numId="8">
    <w:abstractNumId w:val="0"/>
  </w:num>
  <w:num w:numId="9">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bCs/>
      <w:sz w:val="32"/>
      <w:szCs w:val="32"/>
    </w:rPr>
  </w:style>
  <w:style w:type="paragraph" w:styleId="Heading2">
    <w:name w:val="heading 2"/>
    <w:basedOn w:val="Normal"/>
    <w:next w:val="Normal"/>
    <w:qFormat/>
    <w:pPr>
      <w:keepNext/>
      <w:spacing w:before="280" w:after="100"/>
      <w:outlineLvl w:val="1"/>
    </w:pPr>
    <w:rPr>
      <w:b/>
      <w:bCs/>
      <w:sz w:val="26"/>
      <w:szCs w:val="26"/>
    </w:rPr>
  </w:style>
  <w:style w:type="paragraph" w:styleId="Heading3">
    <w:name w:val="heading 3"/>
    <w:basedOn w:val="Normal"/>
    <w:next w:val="Normal"/>
    <w:qFormat/>
    <w:pPr>
      <w:keepNext/>
      <w:spacing w:before="240" w:after="80"/>
      <w:outlineLvl w:val="2"/>
    </w:pPr>
    <w:rPr>
      <w:b/>
      <w:bCs/>
      <w:sz w:val="24"/>
      <w:szCs w:val="24"/>
    </w:rPr>
  </w:style>
  <w:style w:type="paragraph" w:styleId="Heading4">
    <w:name w:val="heading 4"/>
    <w:basedOn w:val="Normal"/>
    <w:next w:val="Normal"/>
    <w:qFormat/>
    <w:pPr>
      <w:keepNext/>
      <w:outlineLvl w:val="3"/>
    </w:pPr>
    <w:rPr>
      <w:b/>
      <w:bCs/>
      <w:sz w:val="22"/>
      <w:szCs w:val="22"/>
    </w:rPr>
  </w:style>
  <w:style w:type="paragraph" w:styleId="Heading5">
    <w:name w:val="heading 5"/>
    <w:basedOn w:val="Normal"/>
    <w:next w:val="Normal"/>
    <w:qFormat/>
    <w:pPr>
      <w:keepNext/>
      <w:outlineLvl w:val="4"/>
    </w:pPr>
    <w:rPr>
      <w:b/>
      <w:bCs/>
      <w:sz w:val="22"/>
      <w:szCs w:val="22"/>
    </w:rPr>
  </w:style>
  <w:style w:type="paragraph" w:styleId="Heading6">
    <w:name w:val="heading 6"/>
    <w:basedOn w:val="Normal"/>
    <w:next w:val="Normal"/>
    <w:qFormat/>
    <w:pPr>
      <w:keepNext/>
      <w:outlineLvl w:val="5"/>
    </w:pPr>
    <w:rPr>
      <w:i/>
      <w:iCs/>
      <w:sz w:val="22"/>
      <w:szCs w:val="22"/>
    </w:rPr>
  </w:style>
  <w:style w:type="paragraph" w:styleId="Title">
    <w:name w:val="Title"/>
    <w:basedOn w:val="Normal"/>
    <w:next w:val="Normal"/>
    <w:qFormat/>
    <w:pPr>
      <w:spacing w:after="80"/>
      <w:contextualSpacing/>
    </w:pPr>
    <w:rPr>
      <w:sz w:val="56"/>
      <w:szCs w:val="56"/>
    </w:rPr>
  </w:style>
  <w:style w:type="paragraph" w:styleId="Quote">
    <w:name w:val="Quote"/>
    <w:basedOn w:val="Normal"/>
    <w:qFormat/>
    <w:pPr>
      <w:ind w:left="720" w:right="720"/>
      <w:pBdr>
        <w:left w:val="single" w:sz="12" w:space="8" w:color="A0A0A0"/>
      </w:pBdr>
    </w:pPr>
    <w:rPr>
      <w:i/>
      <w:iCs/>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szCs w:val="20"/>
    </w:rPr>
  </w:style>
  <w:style w:type="character" w:styleId="CodeChar">
    <w:name w:val="Code Char"/>
    <w:link w:val="Code"/>
    <w:rPr>
      <w:rFonts w:ascii="Consolas" w:hAnsi="Consolas" w:eastAsia="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Software Architecture and Design Specification Ischemia Predictor</dc:title>
  <dc:description>Claude Docs node/c1b50c1e-830c@10 docx-w8</dc:description>
  <cp:revision>10</cp:revision>
</cp:coreProperties>
</file>