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IEEE 829 Test Plan: Ischemia Predictor</w:t>
      </w:r>
    </w:p>
    <w:p>
      <w:pPr/>
      <w:r>
        <w:t xml:space="preserve">TP-IP-001 · Version 1.1 (results recorded) · Ischemia Detection Team · </w:t>
      </w:r>
      <w:r>
        <w:t xml:space="preserve">Oct 31, 2026</w:t>
      </w:r>
      <w:r>
        <w:t xml:space="preserve"> · </w:t>
      </w:r>
      <w:r>
        <w:t xml:space="preserve">@Bindushree</w:t>
      </w:r>
    </w:p>
    <w:p>
      <w:pPr>
        <w:pStyle w:val="Heading2"/>
      </w:pPr>
      <w:r>
        <w:t xml:space="preserve">1 Test Plan Identifier</w:t>
      </w:r>
    </w:p>
    <w:p>
      <w:pPr>
        <w:pStyle w:val="ListParagraph"/>
        <w:numPr>
          <w:ilvl w:val="0"/>
          <w:numId w:val="2"/>
        </w:numPr>
      </w:pPr>
      <w:r>
        <w:rPr>
          <w:b/>
          <w:bCs/>
        </w:rPr>
        <w:t xml:space="preserve">Test Plan ID:</w:t>
      </w:r>
      <w:r>
        <w:t xml:space="preserve"> TP-IP-001</w:t>
      </w:r>
    </w:p>
    <w:p>
      <w:pPr>
        <w:pStyle w:val="ListParagraph"/>
        <w:numPr>
          <w:ilvl w:val="0"/>
          <w:numId w:val="2"/>
        </w:numPr>
      </w:pPr>
      <w:r>
        <w:rPr>
          <w:b/>
          <w:bCs/>
        </w:rPr>
        <w:t xml:space="preserve">Project:</w:t>
      </w:r>
      <w:r>
        <w:t xml:space="preserve"> Ischemia Predictor (ML-based heart-disease / ischemia-proxy decision-support system)</w:t>
      </w:r>
    </w:p>
    <w:p>
      <w:pPr>
        <w:pStyle w:val="ListParagraph"/>
        <w:numPr>
          <w:ilvl w:val="0"/>
          <w:numId w:val="2"/>
        </w:numPr>
      </w:pPr>
      <w:r>
        <w:rPr>
          <w:b/>
          <w:bCs/>
        </w:rPr>
        <w:t xml:space="preserve">Version:</w:t>
      </w:r>
      <w:r>
        <w:t xml:space="preserve"> 1.1 (results of automated execution recorded in Sections 18 and 19)</w:t>
      </w:r>
    </w:p>
    <w:p>
      <w:pPr>
        <w:pStyle w:val="ListParagraph"/>
        <w:numPr>
          <w:ilvl w:val="0"/>
          <w:numId w:val="2"/>
        </w:numPr>
      </w:pPr>
      <w:r>
        <w:rPr>
          <w:b/>
          <w:bCs/>
        </w:rPr>
        <w:t xml:space="preserve">Related SRS:</w:t>
      </w:r>
      <w:r>
        <w:t xml:space="preserve"> Software Requirements Specification for Ischemia Predictor, v1.1 (requirement IDs FR-xx, NFR-xx, SEC-xx are used throughout)</w:t>
      </w:r>
    </w:p>
    <w:p>
      <w:pPr>
        <w:pStyle w:val="Heading2"/>
      </w:pPr>
      <w:r>
        <w:t xml:space="preserve">2 References</w:t>
      </w:r>
    </w:p>
    <w:p>
      <w:pPr>
        <w:pStyle w:val="ListParagraph"/>
        <w:numPr>
          <w:ilvl w:val="0"/>
          <w:numId w:val="3"/>
        </w:numPr>
      </w:pPr>
      <w:r>
        <w:t xml:space="preserve">Software Requirements Specification, Ischemia Predictor v1.1</w:t>
      </w:r>
    </w:p>
    <w:p>
      <w:pPr>
        <w:pStyle w:val="ListParagraph"/>
        <w:numPr>
          <w:ilvl w:val="0"/>
          <w:numId w:val="3"/>
        </w:numPr>
      </w:pPr>
      <w:r>
        <w:t xml:space="preserve">Software Architecture and Design Specification, Ischemia Predictor v1.1</w:t>
      </w:r>
    </w:p>
    <w:p>
      <w:pPr>
        <w:pStyle w:val="ListParagraph"/>
        <w:numPr>
          <w:ilvl w:val="0"/>
          <w:numId w:val="3"/>
        </w:numPr>
      </w:pPr>
      <w:r>
        <w:t xml:space="preserve">Dataset </w:t>
      </w:r>
      <w:r>
        <w:rPr>
          <w:rStyle w:val="CodeChar"/>
        </w:rPr>
        <w:t xml:space="preserve">heart.csv</w:t>
      </w:r>
      <w:r>
        <w:t xml:space="preserve"> (SRS Appendix C, TBD-1 closed)</w:t>
      </w:r>
    </w:p>
    <w:p>
      <w:pPr>
        <w:pStyle w:val="ListParagraph"/>
        <w:numPr>
          <w:ilvl w:val="0"/>
          <w:numId w:val="3"/>
        </w:numPr>
      </w:pPr>
      <w:r>
        <w:t xml:space="preserve">IEEE Std 829-2008, Software and System Test Documentation</w:t>
      </w:r>
    </w:p>
    <w:p>
      <w:pPr>
        <w:pStyle w:val="ListParagraph"/>
        <w:numPr>
          <w:ilvl w:val="0"/>
          <w:numId w:val="3"/>
        </w:numPr>
      </w:pPr>
      <w:r>
        <w:t xml:space="preserve">OWASP Application Security Verification Standard (ASVS) 4.0</w:t>
      </w:r>
    </w:p>
    <w:p>
      <w:pPr>
        <w:pStyle w:val="Heading2"/>
      </w:pPr>
      <w:r>
        <w:t xml:space="preserve">3 Introduction</w:t>
      </w:r>
    </w:p>
    <w:p>
      <w:pPr/>
      <w:r>
        <w:t xml:space="preserve">This plan defines how the Ischemia Predictor is tested. The system takes patient clinical data, preprocesses it, and obtains a prediction ("Ischemia Likely" or "Ischemia Unlikely") from ML, DL or QML microservices. The goal is to verify that every SRS requirement is met: correct functional behaviour, measurable performance, reliable and repeatable results, and strong protection of patient data. Every test case in Section 18 traces back to an SRS requirement. In version 1.1, 28 automated pytest checks have been run; the remaining cases need manual or tool-based execution (Section 18.1).</w:t>
      </w:r>
    </w:p>
    <w:p>
      <w:pPr>
        <w:pStyle w:val="Heading2"/>
      </w:pPr>
      <w:r>
        <w:t xml:space="preserve">4 Test Items</w:t>
      </w:r>
    </w:p>
    <w:p>
      <w:pPr>
        <w:pStyle w:val="ListParagraph"/>
        <w:numPr>
          <w:ilvl w:val="0"/>
          <w:numId w:val="4"/>
        </w:numPr>
      </w:pPr>
      <w:r>
        <w:t xml:space="preserve">Web client (login, entry form, result, history and admin pages)</w:t>
      </w:r>
    </w:p>
    <w:p>
      <w:pPr>
        <w:pStyle w:val="ListParagraph"/>
        <w:numPr>
          <w:ilvl w:val="0"/>
          <w:numId w:val="4"/>
        </w:numPr>
      </w:pPr>
      <w:r>
        <w:t xml:space="preserve">Input validation module</w:t>
      </w:r>
    </w:p>
    <w:p>
      <w:pPr>
        <w:pStyle w:val="ListParagraph"/>
        <w:numPr>
          <w:ilvl w:val="0"/>
          <w:numId w:val="4"/>
        </w:numPr>
      </w:pPr>
      <w:r>
        <w:t xml:space="preserve">Web server REST API (authentication, RBAC, orchestration, logging)</w:t>
      </w:r>
    </w:p>
    <w:p>
      <w:pPr>
        <w:pStyle w:val="ListParagraph"/>
        <w:numPr>
          <w:ilvl w:val="0"/>
          <w:numId w:val="4"/>
        </w:numPr>
      </w:pPr>
      <w:r>
        <w:t xml:space="preserve">Data preprocessing pipeline</w:t>
      </w:r>
    </w:p>
    <w:p>
      <w:pPr>
        <w:pStyle w:val="ListParagraph"/>
        <w:numPr>
          <w:ilvl w:val="0"/>
          <w:numId w:val="4"/>
        </w:numPr>
      </w:pPr>
      <w:r>
        <w:t xml:space="preserve">ML, DL and QML prediction microservices</w:t>
      </w:r>
    </w:p>
    <w:p>
      <w:pPr>
        <w:pStyle w:val="ListParagraph"/>
        <w:numPr>
          <w:ilvl w:val="0"/>
          <w:numId w:val="4"/>
        </w:numPr>
      </w:pPr>
      <w:r>
        <w:t xml:space="preserve">Result display and explanation module</w:t>
      </w:r>
    </w:p>
    <w:p>
      <w:pPr>
        <w:pStyle w:val="ListParagraph"/>
        <w:numPr>
          <w:ilvl w:val="0"/>
          <w:numId w:val="4"/>
        </w:numPr>
      </w:pPr>
      <w:r>
        <w:t xml:space="preserve">Prediction history and audit log database</w:t>
      </w:r>
    </w:p>
    <w:p>
      <w:pPr>
        <w:pStyle w:val="ListParagraph"/>
        <w:numPr>
          <w:ilvl w:val="0"/>
          <w:numId w:val="4"/>
        </w:numPr>
      </w:pPr>
      <w:r>
        <w:t xml:space="preserve">Model registry and model management functions</w:t>
      </w:r>
    </w:p>
    <w:p>
      <w:pPr>
        <w:pStyle w:val="Heading2"/>
      </w:pPr>
      <w:r>
        <w:t xml:space="preserve">5 Software Risk Issues</w:t>
      </w:r>
    </w:p>
    <w:p>
      <w:pPr>
        <w:pStyle w:val="ListParagraph"/>
        <w:numPr>
          <w:ilvl w:val="0"/>
          <w:numId w:val="5"/>
        </w:numPr>
      </w:pPr>
      <w:r>
        <w:t xml:space="preserve">Incorrect predictions (false negatives are the most serious clinically)</w:t>
      </w:r>
    </w:p>
    <w:p>
      <w:pPr>
        <w:pStyle w:val="ListParagraph"/>
        <w:numPr>
          <w:ilvl w:val="0"/>
          <w:numId w:val="5"/>
        </w:numPr>
      </w:pPr>
      <w:r>
        <w:t xml:space="preserve">Mismatch between training and inference preprocessing</w:t>
      </w:r>
    </w:p>
    <w:p>
      <w:pPr>
        <w:pStyle w:val="ListParagraph"/>
        <w:numPr>
          <w:ilvl w:val="0"/>
          <w:numId w:val="5"/>
        </w:numPr>
      </w:pPr>
      <w:r>
        <w:t xml:space="preserve">Microservice failure or timeouts</w:t>
      </w:r>
    </w:p>
    <w:p>
      <w:pPr>
        <w:pStyle w:val="ListParagraph"/>
        <w:numPr>
          <w:ilvl w:val="0"/>
          <w:numId w:val="5"/>
        </w:numPr>
      </w:pPr>
      <w:r>
        <w:t xml:space="preserve">Data leakage of patient information</w:t>
      </w:r>
    </w:p>
    <w:p>
      <w:pPr>
        <w:pStyle w:val="ListParagraph"/>
        <w:numPr>
          <w:ilvl w:val="0"/>
          <w:numId w:val="5"/>
        </w:numPr>
      </w:pPr>
      <w:r>
        <w:t xml:space="preserve">Slow responses under concurrent load</w:t>
      </w:r>
    </w:p>
    <w:p>
      <w:pPr>
        <w:pStyle w:val="ListParagraph"/>
        <w:numPr>
          <w:ilvl w:val="0"/>
          <w:numId w:val="5"/>
        </w:numPr>
      </w:pPr>
      <w:r>
        <w:t xml:space="preserve">Browser compatibility issues</w:t>
      </w:r>
    </w:p>
    <w:p>
      <w:pPr>
        <w:pStyle w:val="ListParagraph"/>
        <w:numPr>
          <w:ilvl w:val="0"/>
          <w:numId w:val="5"/>
        </w:numPr>
      </w:pPr>
      <w:r>
        <w:t xml:space="preserve">The label is a proxy: model accuracy on </w:t>
      </w:r>
      <w:r>
        <w:rPr>
          <w:rStyle w:val="CodeChar"/>
        </w:rPr>
        <w:t xml:space="preserve">HeartDisease</w:t>
      </w:r>
      <w:r>
        <w:t xml:space="preserve"> does not prove accuracy for ischemia</w:t>
      </w:r>
    </w:p>
    <w:p>
      <w:pPr>
        <w:pStyle w:val="Heading3"/>
      </w:pPr>
      <w:r>
        <w:t xml:space="preserve">5.1 Security Validation</w:t>
      </w:r>
    </w:p>
    <w:tbl>
      <w:tblPr>
        <w:tblStyle w:val="TableGrid"/>
        <w:tblW w:w="0" w:type="auto"/>
        <w:tblLayout w:type="fixed"/>
        <w:tblLook w:val="04A0" w:firstRow="1" w:lastRow="0" w:firstColumn="0" w:lastColumn="0" w:noHBand="0" w:noVBand="1"/>
      </w:tblPr>
      <w:tblGrid>
        <w:gridCol w:w="1740"/>
        <w:gridCol w:w="4214"/>
        <w:gridCol w:w="2022"/>
        <w:gridCol w:w="1384"/>
      </w:tblGrid>
      <w:tr>
        <w:trPr>
          <w:tblHeader/>
        </w:trPr>
        <w:tc>
          <w:tcPr>
            <w:tcW w:w="1740" w:type="dxa"/>
            <w:shd w:val="clear" w:color="auto" w:fill="F2F2F2"/>
          </w:tcPr>
          <w:p>
            <w:pPr/>
            <w:r>
              <w:t xml:space="preserve">Security area</w:t>
            </w:r>
          </w:p>
        </w:tc>
        <w:tc>
          <w:tcPr>
            <w:tcW w:w="4214" w:type="dxa"/>
            <w:shd w:val="clear" w:color="auto" w:fill="F2F2F2"/>
          </w:tcPr>
          <w:p>
            <w:pPr/>
            <w:r>
              <w:t xml:space="preserve">Validation method</w:t>
            </w:r>
          </w:p>
        </w:tc>
        <w:tc>
          <w:tcPr>
            <w:tcW w:w="2022" w:type="dxa"/>
            <w:shd w:val="clear" w:color="auto" w:fill="F2F2F2"/>
          </w:tcPr>
          <w:p>
            <w:pPr/>
            <w:r>
              <w:t xml:space="preserve">SRS requirement</w:t>
            </w:r>
          </w:p>
        </w:tc>
        <w:tc>
          <w:tcPr>
            <w:tcW w:w="1384" w:type="dxa"/>
            <w:shd w:val="clear" w:color="auto" w:fill="F2F2F2"/>
          </w:tcPr>
          <w:p>
            <w:pPr/>
            <w:r>
              <w:t xml:space="preserve">Test cases</w:t>
            </w:r>
          </w:p>
        </w:tc>
      </w:tr>
      <w:tr>
        <w:tc>
          <w:tcPr>
            <w:tcW w:w="1740" w:type="dxa"/>
          </w:tcPr>
          <w:p>
            <w:pPr/>
            <w:r>
              <w:t xml:space="preserve">Authentication and password policy</w:t>
            </w:r>
          </w:p>
        </w:tc>
        <w:tc>
          <w:tcPr>
            <w:tcW w:w="4214" w:type="dxa"/>
          </w:tcPr>
          <w:p>
            <w:pPr/>
            <w:r>
              <w:t xml:space="preserve">Attempt weak passwords; inspect stored hashes in the database</w:t>
            </w:r>
          </w:p>
        </w:tc>
        <w:tc>
          <w:tcPr>
            <w:tcW w:w="2022" w:type="dxa"/>
          </w:tcPr>
          <w:p>
            <w:pPr/>
            <w:r>
              <w:t xml:space="preserve">SEC-01</w:t>
            </w:r>
          </w:p>
        </w:tc>
        <w:tc>
          <w:tcPr>
            <w:tcW w:w="1384" w:type="dxa"/>
          </w:tcPr>
          <w:p>
            <w:pPr/>
            <w:r>
              <w:t xml:space="preserve">TC-17</w:t>
            </w:r>
          </w:p>
        </w:tc>
      </w:tr>
      <w:tr>
        <w:tc>
          <w:tcPr>
            <w:tcW w:w="1740" w:type="dxa"/>
          </w:tcPr>
          <w:p>
            <w:pPr/>
            <w:r>
              <w:t xml:space="preserve">Brute-force protection</w:t>
            </w:r>
          </w:p>
        </w:tc>
        <w:tc>
          <w:tcPr>
            <w:tcW w:w="4214" w:type="dxa"/>
          </w:tcPr>
          <w:p>
            <w:pPr/>
            <w:r>
              <w:t xml:space="preserve">Submit 5 wrong passwords; verify lockout for 15 minutes</w:t>
            </w:r>
          </w:p>
        </w:tc>
        <w:tc>
          <w:tcPr>
            <w:tcW w:w="2022" w:type="dxa"/>
          </w:tcPr>
          <w:p>
            <w:pPr/>
            <w:r>
              <w:t xml:space="preserve">SEC-02</w:t>
            </w:r>
          </w:p>
        </w:tc>
        <w:tc>
          <w:tcPr>
            <w:tcW w:w="1384" w:type="dxa"/>
          </w:tcPr>
          <w:p>
            <w:pPr/>
            <w:r>
              <w:t xml:space="preserve">TC-02</w:t>
            </w:r>
          </w:p>
        </w:tc>
      </w:tr>
      <w:tr>
        <w:tc>
          <w:tcPr>
            <w:tcW w:w="1740" w:type="dxa"/>
          </w:tcPr>
          <w:p>
            <w:pPr/>
            <w:r>
              <w:t xml:space="preserve">Encryption in transit</w:t>
            </w:r>
          </w:p>
        </w:tc>
        <w:tc>
          <w:tcPr>
            <w:tcW w:w="4214" w:type="dxa"/>
          </w:tcPr>
          <w:p>
            <w:pPr/>
            <w:r>
              <w:t xml:space="preserve">Scan with an SSL/TLS tool; confirm HTTP is refused or redirected and TLS 1.2+ is enforced</w:t>
            </w:r>
          </w:p>
        </w:tc>
        <w:tc>
          <w:tcPr>
            <w:tcW w:w="2022" w:type="dxa"/>
          </w:tcPr>
          <w:p>
            <w:pPr/>
            <w:r>
              <w:t xml:space="preserve">SEC-03</w:t>
            </w:r>
          </w:p>
        </w:tc>
        <w:tc>
          <w:tcPr>
            <w:tcW w:w="1384" w:type="dxa"/>
          </w:tcPr>
          <w:p>
            <w:pPr/>
            <w:r>
              <w:t xml:space="preserve">TC-18</w:t>
            </w:r>
          </w:p>
        </w:tc>
      </w:tr>
      <w:tr>
        <w:tc>
          <w:tcPr>
            <w:tcW w:w="1740" w:type="dxa"/>
          </w:tcPr>
          <w:p>
            <w:pPr/>
            <w:r>
              <w:t xml:space="preserve">Access control (RBAC)</w:t>
            </w:r>
          </w:p>
        </w:tc>
        <w:tc>
          <w:tcPr>
            <w:tcW w:w="4214" w:type="dxa"/>
          </w:tcPr>
          <w:p>
            <w:pPr/>
            <w:r>
              <w:t xml:space="preserve">Call admin APIs with a Clinician token; expect HTTP 403</w:t>
            </w:r>
          </w:p>
        </w:tc>
        <w:tc>
          <w:tcPr>
            <w:tcW w:w="2022" w:type="dxa"/>
          </w:tcPr>
          <w:p>
            <w:pPr/>
            <w:r>
              <w:t xml:space="preserve">SEC-04</w:t>
            </w:r>
          </w:p>
        </w:tc>
        <w:tc>
          <w:tcPr>
            <w:tcW w:w="1384" w:type="dxa"/>
          </w:tcPr>
          <w:p>
            <w:pPr/>
            <w:r>
              <w:t xml:space="preserve">TC-11</w:t>
            </w:r>
          </w:p>
        </w:tc>
      </w:tr>
      <w:tr>
        <w:tc>
          <w:tcPr>
            <w:tcW w:w="1740" w:type="dxa"/>
          </w:tcPr>
          <w:p>
            <w:pPr/>
            <w:r>
              <w:t xml:space="preserve">Audit logging</w:t>
            </w:r>
          </w:p>
        </w:tc>
        <w:tc>
          <w:tcPr>
            <w:tcW w:w="4214" w:type="dxa"/>
          </w:tcPr>
          <w:p>
            <w:pPr/>
            <w:r>
              <w:t xml:space="preserve">Perform login, prediction and deletion; verify log entries</w:t>
            </w:r>
          </w:p>
        </w:tc>
        <w:tc>
          <w:tcPr>
            <w:tcW w:w="2022" w:type="dxa"/>
          </w:tcPr>
          <w:p>
            <w:pPr/>
            <w:r>
              <w:t xml:space="preserve">SEC-05</w:t>
            </w:r>
          </w:p>
        </w:tc>
        <w:tc>
          <w:tcPr>
            <w:tcW w:w="1384" w:type="dxa"/>
          </w:tcPr>
          <w:p>
            <w:pPr/>
            <w:r>
              <w:t xml:space="preserve">TC-19</w:t>
            </w:r>
          </w:p>
        </w:tc>
      </w:tr>
      <w:tr>
        <w:tc>
          <w:tcPr>
            <w:tcW w:w="1740" w:type="dxa"/>
          </w:tcPr>
          <w:p>
            <w:pPr/>
            <w:r>
              <w:t xml:space="preserve">Injection and XSS</w:t>
            </w:r>
          </w:p>
        </w:tc>
        <w:tc>
          <w:tcPr>
            <w:tcW w:w="4214" w:type="dxa"/>
          </w:tcPr>
          <w:p>
            <w:pPr/>
            <w:r>
              <w:t xml:space="preserve">Submit SQL injection and script payloads in every input field</w:t>
            </w:r>
          </w:p>
        </w:tc>
        <w:tc>
          <w:tcPr>
            <w:tcW w:w="2022" w:type="dxa"/>
          </w:tcPr>
          <w:p>
            <w:pPr/>
            <w:r>
              <w:t xml:space="preserve">SEC-06</w:t>
            </w:r>
          </w:p>
        </w:tc>
        <w:tc>
          <w:tcPr>
            <w:tcW w:w="1384" w:type="dxa"/>
          </w:tcPr>
          <w:p>
            <w:pPr/>
            <w:r>
              <w:t xml:space="preserve">TC-12</w:t>
            </w:r>
          </w:p>
        </w:tc>
      </w:tr>
      <w:tr>
        <w:tc>
          <w:tcPr>
            <w:tcW w:w="1740" w:type="dxa"/>
          </w:tcPr>
          <w:p>
            <w:pPr/>
            <w:r>
              <w:t xml:space="preserve">Model integrity</w:t>
            </w:r>
          </w:p>
        </w:tc>
        <w:tc>
          <w:tcPr>
            <w:tcW w:w="4214" w:type="dxa"/>
          </w:tcPr>
          <w:p>
            <w:pPr/>
            <w:r>
              <w:t xml:space="preserve">Corrupt a model file; verify it is rejected at load</w:t>
            </w:r>
          </w:p>
        </w:tc>
        <w:tc>
          <w:tcPr>
            <w:tcW w:w="2022" w:type="dxa"/>
          </w:tcPr>
          <w:p>
            <w:pPr/>
            <w:r>
              <w:t xml:space="preserve">SEC-07</w:t>
            </w:r>
          </w:p>
        </w:tc>
        <w:tc>
          <w:tcPr>
            <w:tcW w:w="1384" w:type="dxa"/>
          </w:tcPr>
          <w:p>
            <w:pPr/>
            <w:r>
              <w:t xml:space="preserve">TC-15</w:t>
            </w:r>
          </w:p>
        </w:tc>
      </w:tr>
      <w:tr>
        <w:tc>
          <w:tcPr>
            <w:tcW w:w="1740" w:type="dxa"/>
          </w:tcPr>
          <w:p>
            <w:pPr/>
            <w:r>
              <w:t xml:space="preserve">Network isolation</w:t>
            </w:r>
          </w:p>
        </w:tc>
        <w:tc>
          <w:tcPr>
            <w:tcW w:w="4214" w:type="dxa"/>
          </w:tcPr>
          <w:p>
            <w:pPr/>
            <w:r>
              <w:t xml:space="preserve">Attempt direct access to a microservice from outside the internal network</w:t>
            </w:r>
          </w:p>
        </w:tc>
        <w:tc>
          <w:tcPr>
            <w:tcW w:w="2022" w:type="dxa"/>
          </w:tcPr>
          <w:p>
            <w:pPr/>
            <w:r>
              <w:t xml:space="preserve">SEC-08</w:t>
            </w:r>
          </w:p>
        </w:tc>
        <w:tc>
          <w:tcPr>
            <w:tcW w:w="1384" w:type="dxa"/>
          </w:tcPr>
          <w:p>
            <w:pPr/>
            <w:r>
              <w:t xml:space="preserve">TC-20</w:t>
            </w:r>
          </w:p>
        </w:tc>
      </w:tr>
      <w:tr>
        <w:tc>
          <w:tcPr>
            <w:tcW w:w="1740" w:type="dxa"/>
          </w:tcPr>
          <w:p>
            <w:pPr/>
            <w:r>
              <w:t xml:space="preserve">Rate limiting</w:t>
            </w:r>
          </w:p>
        </w:tc>
        <w:tc>
          <w:tcPr>
            <w:tcW w:w="4214" w:type="dxa"/>
          </w:tcPr>
          <w:p>
            <w:pPr/>
            <w:r>
              <w:t xml:space="preserve">Send more than 60 requests per minute from one user; expect throttling</w:t>
            </w:r>
          </w:p>
        </w:tc>
        <w:tc>
          <w:tcPr>
            <w:tcW w:w="2022" w:type="dxa"/>
          </w:tcPr>
          <w:p>
            <w:pPr/>
            <w:r>
              <w:t xml:space="preserve">SEC-09</w:t>
            </w:r>
          </w:p>
        </w:tc>
        <w:tc>
          <w:tcPr>
            <w:tcW w:w="1384" w:type="dxa"/>
          </w:tcPr>
          <w:p>
            <w:pPr/>
            <w:r>
              <w:t xml:space="preserve">TC-21</w:t>
            </w:r>
          </w:p>
        </w:tc>
      </w:tr>
    </w:tbl>
    <w:p>
      <w:pPr/>
      <w:r>
        <w:t xml:space="preserve">Tools planned: OWASP ZAP (vulnerability scan), Postman (API abuse cases), browser developer tools (session and storage checks). pytest is used for the automated API-level checks.</w:t>
      </w:r>
    </w:p>
    <w:p>
      <w:pPr>
        <w:pStyle w:val="Heading2"/>
      </w:pPr>
      <w:r>
        <w:t xml:space="preserve">6 Features to be Tested</w:t>
      </w:r>
    </w:p>
    <w:p>
      <w:pPr>
        <w:pStyle w:val="ListParagraph"/>
        <w:numPr>
          <w:ilvl w:val="0"/>
          <w:numId w:val="6"/>
        </w:numPr>
      </w:pPr>
      <w:r>
        <w:t xml:space="preserve">Login, logout and session timeout (FR-01 to FR-03)</w:t>
      </w:r>
    </w:p>
    <w:p>
      <w:pPr>
        <w:pStyle w:val="ListParagraph"/>
        <w:numPr>
          <w:ilvl w:val="0"/>
          <w:numId w:val="6"/>
        </w:numPr>
      </w:pPr>
      <w:r>
        <w:t xml:space="preserve">Patient data input and validation (FR-04 to FR-06)</w:t>
      </w:r>
    </w:p>
    <w:p>
      <w:pPr>
        <w:pStyle w:val="ListParagraph"/>
        <w:numPr>
          <w:ilvl w:val="0"/>
          <w:numId w:val="6"/>
        </w:numPr>
      </w:pPr>
      <w:r>
        <w:t xml:space="preserve">Data preprocessing (FR-07, FR-08)</w:t>
      </w:r>
    </w:p>
    <w:p>
      <w:pPr>
        <w:pStyle w:val="ListParagraph"/>
        <w:numPr>
          <w:ilvl w:val="0"/>
          <w:numId w:val="6"/>
        </w:numPr>
      </w:pPr>
      <w:r>
        <w:t xml:space="preserve">Prediction using ML, DL and QML models (FR-09, FR-15)</w:t>
      </w:r>
    </w:p>
    <w:p>
      <w:pPr>
        <w:pStyle w:val="ListParagraph"/>
        <w:numPr>
          <w:ilvl w:val="0"/>
          <w:numId w:val="6"/>
        </w:numPr>
      </w:pPr>
      <w:r>
        <w:t xml:space="preserve">Result display: label, probability, risk category, top features, disclaimer (FR-10 to FR-14)</w:t>
      </w:r>
    </w:p>
    <w:p>
      <w:pPr>
        <w:pStyle w:val="ListParagraph"/>
        <w:numPr>
          <w:ilvl w:val="0"/>
          <w:numId w:val="6"/>
        </w:numPr>
      </w:pPr>
      <w:r>
        <w:t xml:space="preserve">Reset/clear data (FR-16)</w:t>
      </w:r>
    </w:p>
    <w:p>
      <w:pPr>
        <w:pStyle w:val="ListParagraph"/>
        <w:numPr>
          <w:ilvl w:val="0"/>
          <w:numId w:val="6"/>
        </w:numPr>
      </w:pPr>
      <w:r>
        <w:t xml:space="preserve">Error handling (FR-17, FR-18)</w:t>
      </w:r>
    </w:p>
    <w:p>
      <w:pPr>
        <w:pStyle w:val="ListParagraph"/>
        <w:numPr>
          <w:ilvl w:val="0"/>
          <w:numId w:val="6"/>
        </w:numPr>
      </w:pPr>
      <w:r>
        <w:t xml:space="preserve">Prediction history (FR-19 to FR-21)</w:t>
      </w:r>
    </w:p>
    <w:p>
      <w:pPr>
        <w:pStyle w:val="ListParagraph"/>
        <w:numPr>
          <w:ilvl w:val="0"/>
          <w:numId w:val="6"/>
        </w:numPr>
      </w:pPr>
      <w:r>
        <w:t xml:space="preserve">Model management (FR-22 to FR-24)</w:t>
      </w:r>
    </w:p>
    <w:p>
      <w:pPr>
        <w:pStyle w:val="ListParagraph"/>
        <w:numPr>
          <w:ilvl w:val="0"/>
          <w:numId w:val="6"/>
        </w:numPr>
      </w:pPr>
      <w:r>
        <w:t xml:space="preserve">Performance, reliability, accuracy, usability, compatibility (NFR-01 to NFR-13)</w:t>
      </w:r>
    </w:p>
    <w:p>
      <w:pPr>
        <w:pStyle w:val="ListParagraph"/>
        <w:numPr>
          <w:ilvl w:val="0"/>
          <w:numId w:val="6"/>
        </w:numPr>
      </w:pPr>
      <w:r>
        <w:t xml:space="preserve">Security protection (SEC-01 to SEC-10)</w:t>
      </w:r>
    </w:p>
    <w:p>
      <w:pPr>
        <w:pStyle w:val="Heading2"/>
      </w:pPr>
      <w:r>
        <w:t xml:space="preserve">7 Features not to be Tested</w:t>
      </w:r>
    </w:p>
    <w:p>
      <w:pPr>
        <w:pStyle w:val="ListParagraph"/>
        <w:numPr>
          <w:ilvl w:val="0"/>
          <w:numId w:val="7"/>
        </w:numPr>
      </w:pPr>
      <w:r>
        <w:t xml:space="preserve">Internal working of third-party libraries (scikit-learn, PennyLane)</w:t>
      </w:r>
    </w:p>
    <w:p>
      <w:pPr>
        <w:pStyle w:val="ListParagraph"/>
        <w:numPr>
          <w:ilvl w:val="0"/>
          <w:numId w:val="7"/>
        </w:numPr>
      </w:pPr>
      <w:r>
        <w:t xml:space="preserve">Hardware-level performance and quantum hardware behaviour (a simulator is used)</w:t>
      </w:r>
    </w:p>
    <w:p>
      <w:pPr>
        <w:pStyle w:val="ListParagraph"/>
        <w:numPr>
          <w:ilvl w:val="0"/>
          <w:numId w:val="7"/>
        </w:numPr>
      </w:pPr>
      <w:r>
        <w:t xml:space="preserve">External network infrastructure and hosting provider uptime</w:t>
      </w:r>
    </w:p>
    <w:p>
      <w:pPr>
        <w:pStyle w:val="ListParagraph"/>
        <w:numPr>
          <w:ilvl w:val="0"/>
          <w:numId w:val="7"/>
        </w:numPr>
      </w:pPr>
      <w:r>
        <w:t xml:space="preserve">Clinical correctness of the diagnosis itself (the tool is decision support only)</w:t>
      </w:r>
    </w:p>
    <w:p>
      <w:pPr>
        <w:pStyle w:val="ListParagraph"/>
        <w:numPr>
          <w:ilvl w:val="0"/>
          <w:numId w:val="7"/>
        </w:numPr>
      </w:pPr>
      <w:r>
        <w:t xml:space="preserve">Clinical validity of </w:t>
      </w:r>
      <w:r>
        <w:rPr>
          <w:rStyle w:val="CodeChar"/>
        </w:rPr>
        <w:t xml:space="preserve">HeartDisease</w:t>
      </w:r>
      <w:r>
        <w:t xml:space="preserve"> as a proxy for ischemia</w:t>
      </w:r>
    </w:p>
    <w:p>
      <w:pPr>
        <w:pStyle w:val="Heading2"/>
      </w:pPr>
      <w:r>
        <w:t xml:space="preserve">8 Approach</w:t>
      </w:r>
    </w:p>
    <w:p>
      <w:pPr>
        <w:pStyle w:val="ListParagraph"/>
        <w:numPr>
          <w:ilvl w:val="0"/>
          <w:numId w:val="8"/>
        </w:numPr>
      </w:pPr>
      <w:r>
        <w:rPr>
          <w:b/>
          <w:bCs/>
        </w:rPr>
        <w:t xml:space="preserve">Unit testing:</w:t>
      </w:r>
      <w:r>
        <w:t xml:space="preserve"> preprocessing functions, validators, risk-category logic. Measured coverage is 73% of the gateway, services and shared code (target at least 70%, NFR-10); training scripts are not included in that figure.</w:t>
      </w:r>
    </w:p>
    <w:p>
      <w:pPr>
        <w:pStyle w:val="ListParagraph"/>
        <w:numPr>
          <w:ilvl w:val="0"/>
          <w:numId w:val="8"/>
        </w:numPr>
      </w:pPr>
      <w:r>
        <w:rPr>
          <w:b/>
          <w:bCs/>
        </w:rPr>
        <w:t xml:space="preserve">Functional testing:</w:t>
      </w:r>
      <w:r>
        <w:t xml:space="preserve"> black-box tests of every feature using valid, invalid and boundary values.</w:t>
      </w:r>
    </w:p>
    <w:p>
      <w:pPr>
        <w:pStyle w:val="ListParagraph"/>
        <w:numPr>
          <w:ilvl w:val="0"/>
          <w:numId w:val="8"/>
        </w:numPr>
      </w:pPr>
      <w:r>
        <w:rPr>
          <w:b/>
          <w:bCs/>
        </w:rPr>
        <w:t xml:space="preserve">Integration testing:</w:t>
      </w:r>
      <w:r>
        <w:t xml:space="preserve"> web server with each microservice, and with the database.</w:t>
      </w:r>
    </w:p>
    <w:p>
      <w:pPr>
        <w:pStyle w:val="ListParagraph"/>
        <w:numPr>
          <w:ilvl w:val="0"/>
          <w:numId w:val="8"/>
        </w:numPr>
      </w:pPr>
      <w:r>
        <w:rPr>
          <w:b/>
          <w:bCs/>
        </w:rPr>
        <w:t xml:space="preserve">System testing:</w:t>
      </w:r>
      <w:r>
        <w:t xml:space="preserve"> end-to-end workflow from login to stored result.</w:t>
      </w:r>
    </w:p>
    <w:p>
      <w:pPr>
        <w:pStyle w:val="ListParagraph"/>
        <w:numPr>
          <w:ilvl w:val="0"/>
          <w:numId w:val="8"/>
        </w:numPr>
      </w:pPr>
      <w:r>
        <w:rPr>
          <w:b/>
          <w:bCs/>
        </w:rPr>
        <w:t xml:space="preserve">Performance testing:</w:t>
      </w:r>
      <w:r>
        <w:t xml:space="preserve"> load tests with 50 and 200 concurrent users (JMeter or Locust).</w:t>
      </w:r>
    </w:p>
    <w:p>
      <w:pPr>
        <w:pStyle w:val="ListParagraph"/>
        <w:numPr>
          <w:ilvl w:val="0"/>
          <w:numId w:val="8"/>
        </w:numPr>
      </w:pPr>
      <w:r>
        <w:rPr>
          <w:b/>
          <w:bCs/>
        </w:rPr>
        <w:t xml:space="preserve">Security testing:</w:t>
      </w:r>
      <w:r>
        <w:t xml:space="preserve"> as described in Section 5.1.</w:t>
      </w:r>
    </w:p>
    <w:p>
      <w:pPr>
        <w:pStyle w:val="ListParagraph"/>
        <w:numPr>
          <w:ilvl w:val="0"/>
          <w:numId w:val="8"/>
        </w:numPr>
      </w:pPr>
      <w:r>
        <w:rPr>
          <w:b/>
          <w:bCs/>
        </w:rPr>
        <w:t xml:space="preserve">Model validation testing:</w:t>
      </w:r>
      <w:r>
        <w:t xml:space="preserve"> accuracy and recall on the held-out set; repeatability over 100 runs.</w:t>
      </w:r>
    </w:p>
    <w:p>
      <w:pPr>
        <w:pStyle w:val="ListParagraph"/>
        <w:numPr>
          <w:ilvl w:val="0"/>
          <w:numId w:val="8"/>
        </w:numPr>
      </w:pPr>
      <w:r>
        <w:rPr>
          <w:b/>
          <w:bCs/>
        </w:rPr>
        <w:t xml:space="preserve">Compatibility testing:</w:t>
      </w:r>
      <w:r>
        <w:t xml:space="preserve"> Chrome, Firefox, Edge and Safari (latest two versions).</w:t>
      </w:r>
    </w:p>
    <w:p>
      <w:pPr/>
      <w:r>
        <w:t xml:space="preserve">Automated tests: 28 pytest checks (</w:t>
      </w:r>
      <w:r>
        <w:rPr>
          <w:rStyle w:val="CodeChar"/>
        </w:rPr>
        <w:t xml:space="preserve">tests/test_api.py</w:t>
      </w:r>
      <w:r>
        <w:t xml:space="preserve">, </w:t>
      </w:r>
      <w:r>
        <w:rPr>
          <w:rStyle w:val="CodeChar"/>
        </w:rPr>
        <w:t xml:space="preserve">tests/test_service.py</w:t>
      </w:r>
      <w:r>
        <w:t xml:space="preserve">, </w:t>
      </w:r>
      <w:r>
        <w:rPr>
          <w:rStyle w:val="CodeChar"/>
        </w:rPr>
        <w:t xml:space="preserve">tests/test_tc_extra.py</w:t>
      </w:r>
      <w:r>
        <w:t xml:space="preserve">) run with </w:t>
      </w:r>
      <w:r>
        <w:rPr>
          <w:rStyle w:val="CodeChar"/>
        </w:rPr>
        <w:t xml:space="preserve">python -m pytest -q</w:t>
      </w:r>
      <w:r>
        <w:t xml:space="preserve">. They use an isolated SQLite database, a temporary pipeline and either a mocked or a small stand-in model, so they need no running services. UI, load, TLS, network-isolation, browser and usability cases are executed manually or with tools. Results are compared with expected results and recorded in Section 18.1.</w:t>
      </w:r>
    </w:p>
    <w:p>
      <w:pPr>
        <w:pStyle w:val="Heading2"/>
      </w:pPr>
      <w:r>
        <w:t xml:space="preserve">9 Item Pass/Fail Criteria</w:t>
      </w:r>
    </w:p>
    <w:p>
      <w:pPr/>
      <w:r>
        <w:t xml:space="preserve">A test case passes when the actual result matches the expected result stated in Section 18; otherwise it fails. The release passes when:</w:t>
      </w:r>
    </w:p>
    <w:p>
      <w:pPr>
        <w:pStyle w:val="ListParagraph"/>
        <w:numPr>
          <w:ilvl w:val="0"/>
          <w:numId w:val="9"/>
        </w:numPr>
      </w:pPr>
      <w:r>
        <w:t xml:space="preserve">100% of High-priority test cases pass</w:t>
      </w:r>
    </w:p>
    <w:p>
      <w:pPr>
        <w:pStyle w:val="ListParagraph"/>
        <w:numPr>
          <w:ilvl w:val="0"/>
          <w:numId w:val="9"/>
        </w:numPr>
      </w:pPr>
      <w:r>
        <w:t xml:space="preserve">at least 95% of all test cases pass</w:t>
      </w:r>
    </w:p>
    <w:p>
      <w:pPr>
        <w:pStyle w:val="ListParagraph"/>
        <w:numPr>
          <w:ilvl w:val="0"/>
          <w:numId w:val="9"/>
        </w:numPr>
      </w:pPr>
      <w:r>
        <w:t xml:space="preserve">no open critical or high-severity defects remain</w:t>
      </w:r>
    </w:p>
    <w:p>
      <w:pPr>
        <w:pStyle w:val="ListParagraph"/>
        <w:numPr>
          <w:ilvl w:val="0"/>
          <w:numId w:val="9"/>
        </w:numPr>
      </w:pPr>
      <w:r>
        <w:t xml:space="preserve">NFR-01 (95% of predictions within 3 seconds at 50 users) and NFR-06 (accuracy and recall at least 85%) are met</w:t>
      </w:r>
    </w:p>
    <w:p>
      <w:pPr>
        <w:pStyle w:val="Heading2"/>
      </w:pPr>
      <w:r>
        <w:t xml:space="preserve">10 Suspension Criteria and Resumption Requirements</w:t>
      </w:r>
    </w:p>
    <w:p>
      <w:pPr/>
      <w:r>
        <w:t xml:space="preserve">Testing is suspended if any of these occurs: the web server crashes repeatedly, a model fails to load, the database is unreachable, or more than 30% of test cases in a cycle are blocked by one defect. Testing resumes after the defect is fixed and a smoke test (login, one prediction) passes.</w:t>
      </w:r>
    </w:p>
    <w:p>
      <w:pPr>
        <w:pStyle w:val="Heading2"/>
      </w:pPr>
      <w:r>
        <w:t xml:space="preserve">11 Test Deliverables</w:t>
      </w:r>
    </w:p>
    <w:p>
      <w:pPr>
        <w:pStyle w:val="ListParagraph"/>
        <w:numPr>
          <w:ilvl w:val="0"/>
          <w:numId w:val="10"/>
        </w:numPr>
      </w:pPr>
      <w:r>
        <w:t xml:space="preserve">Test Plan document (this document)</w:t>
      </w:r>
    </w:p>
    <w:p>
      <w:pPr>
        <w:pStyle w:val="ListParagraph"/>
        <w:numPr>
          <w:ilvl w:val="0"/>
          <w:numId w:val="10"/>
        </w:numPr>
      </w:pPr>
      <w:r>
        <w:t xml:space="preserve">Test case specification (Section 18)</w:t>
      </w:r>
    </w:p>
    <w:p>
      <w:pPr>
        <w:pStyle w:val="ListParagraph"/>
        <w:numPr>
          <w:ilvl w:val="0"/>
          <w:numId w:val="10"/>
        </w:numPr>
      </w:pPr>
      <w:r>
        <w:t xml:space="preserve">Requirements traceability matrix (Section 18.2)</w:t>
      </w:r>
    </w:p>
    <w:p>
      <w:pPr>
        <w:pStyle w:val="ListParagraph"/>
        <w:numPr>
          <w:ilvl w:val="0"/>
          <w:numId w:val="10"/>
        </w:numPr>
      </w:pPr>
      <w:r>
        <w:t xml:space="preserve">Test execution report (Section 18.1 results and Section 19)</w:t>
      </w:r>
    </w:p>
    <w:p>
      <w:pPr>
        <w:pStyle w:val="ListParagraph"/>
        <w:numPr>
          <w:ilvl w:val="0"/>
          <w:numId w:val="10"/>
        </w:numPr>
      </w:pPr>
      <w:r>
        <w:t xml:space="preserve">Defect/bug reports</w:t>
      </w:r>
    </w:p>
    <w:p>
      <w:pPr>
        <w:pStyle w:val="ListParagraph"/>
        <w:numPr>
          <w:ilvl w:val="0"/>
          <w:numId w:val="10"/>
        </w:numPr>
      </w:pPr>
      <w:r>
        <w:t xml:space="preserve">Performance and security test reports (pending)</w:t>
      </w:r>
    </w:p>
    <w:p>
      <w:pPr>
        <w:pStyle w:val="ListParagraph"/>
        <w:numPr>
          <w:ilvl w:val="0"/>
          <w:numId w:val="10"/>
        </w:numPr>
      </w:pPr>
      <w:r>
        <w:t xml:space="preserve">Final test summary (Section 20)</w:t>
      </w:r>
    </w:p>
    <w:p>
      <w:pPr>
        <w:pStyle w:val="Heading2"/>
      </w:pPr>
      <w:r>
        <w:t xml:space="preserve">12 Remaining Test Tasks</w:t>
      </w:r>
    </w:p>
    <w:p>
      <w:pPr/>
      <w:r>
        <w:t xml:space="preserve">Manual UI checks (TC-08 and the on-screen parts of TC-01, TC-07, TC-09), load tests (TC-13, TC-14), TLS scan (TC-18), network-isolation test (TC-20), browser compatibility (TC-23), usability study (TC-25), an OWASP ZAP scan, and a full 15-minute idle-session check (TC-24). Measurement of NFR-02, NFR-08 and a user-guide review are also pending.</w:t>
      </w:r>
    </w:p>
    <w:p>
      <w:pPr>
        <w:pStyle w:val="Heading2"/>
      </w:pPr>
      <w:r>
        <w:t xml:space="preserve">13 Environmental Needs</w:t>
      </w:r>
    </w:p>
    <w:p>
      <w:pPr/>
      <w:r>
        <w:rPr>
          <w:b/>
          <w:bCs/>
        </w:rPr>
        <w:t xml:space="preserve">Hardware</w:t>
      </w:r>
    </w:p>
    <w:p>
      <w:pPr>
        <w:pStyle w:val="ListParagraph"/>
        <w:numPr>
          <w:ilvl w:val="0"/>
          <w:numId w:val="11"/>
        </w:numPr>
      </w:pPr>
      <w:r>
        <w:t xml:space="preserve">Test machine: 8 GB RAM or more, Intel i5 (or equivalent) or higher</w:t>
      </w:r>
    </w:p>
    <w:p>
      <w:pPr>
        <w:pStyle w:val="ListParagraph"/>
        <w:numPr>
          <w:ilvl w:val="0"/>
          <w:numId w:val="11"/>
        </w:numPr>
      </w:pPr>
      <w:r>
        <w:t xml:space="preserve">Server for load tests: 4 CPU cores and 16 GB RAM (or a cloud/virtual machine of similar size)</w:t>
      </w:r>
    </w:p>
    <w:p>
      <w:pPr/>
      <w:r>
        <w:rPr>
          <w:b/>
          <w:bCs/>
        </w:rPr>
        <w:t xml:space="preserve">Software</w:t>
      </w:r>
    </w:p>
    <w:p>
      <w:pPr>
        <w:pStyle w:val="ListParagraph"/>
        <w:numPr>
          <w:ilvl w:val="0"/>
          <w:numId w:val="12"/>
        </w:numPr>
      </w:pPr>
      <w:r>
        <w:t xml:space="preserve">Python 3.10+, scikit-learn, PennyLane, Flask, Flask-SQLAlchemy, PyJWT, bcrypt, cryptography</w:t>
      </w:r>
    </w:p>
    <w:p>
      <w:pPr>
        <w:pStyle w:val="ListParagraph"/>
        <w:numPr>
          <w:ilvl w:val="0"/>
          <w:numId w:val="12"/>
        </w:numPr>
      </w:pPr>
      <w:r>
        <w:t xml:space="preserve">SQLite (local) and PostgreSQL 15+ (Compose), Docker and Docker Compose</w:t>
      </w:r>
    </w:p>
    <w:p>
      <w:pPr>
        <w:pStyle w:val="ListParagraph"/>
        <w:numPr>
          <w:ilvl w:val="0"/>
          <w:numId w:val="12"/>
        </w:numPr>
      </w:pPr>
      <w:r>
        <w:t xml:space="preserve">Browsers: Chrome, Firefox, Edge, Safari</w:t>
      </w:r>
    </w:p>
    <w:p>
      <w:pPr>
        <w:pStyle w:val="ListParagraph"/>
        <w:numPr>
          <w:ilvl w:val="0"/>
          <w:numId w:val="12"/>
        </w:numPr>
      </w:pPr>
      <w:r>
        <w:t xml:space="preserve">Tools: pytest and pytest-cov (used), Postman, OWASP ZAP, JMeter or Locust (planned)</w:t>
      </w:r>
    </w:p>
    <w:p>
      <w:pPr>
        <w:pStyle w:val="ListParagraph"/>
        <w:numPr>
          <w:ilvl w:val="0"/>
          <w:numId w:val="12"/>
        </w:numPr>
      </w:pPr>
      <w:r>
        <w:t xml:space="preserve">Test data: the public, de-identified </w:t>
      </w:r>
      <w:r>
        <w:rPr>
          <w:rStyle w:val="CodeChar"/>
        </w:rPr>
        <w:t xml:space="preserve">heart.csv</w:t>
      </w:r>
      <w:r>
        <w:t xml:space="preserve"> with a held-out 20% split (</w:t>
      </w:r>
      <w:r>
        <w:rPr>
          <w:rStyle w:val="CodeChar"/>
        </w:rPr>
        <w:t xml:space="preserve">models/heldout.csv</w:t>
      </w:r>
      <w:r>
        <w:t xml:space="preserve">); no real patient identities</w:t>
      </w:r>
    </w:p>
    <w:p>
      <w:pPr>
        <w:pStyle w:val="Heading2"/>
      </w:pPr>
      <w:r>
        <w:t xml:space="preserve">14 Staffing and Training Needs</w:t>
      </w:r>
    </w:p>
    <w:p>
      <w:pPr/>
      <w:r>
        <w:t xml:space="preserve">Testing is done by the development team. Testers need basic knowledge of Python, REST APIs, machine-learning metrics and the security tools listed above. A short walkthrough of the SRS and the tools is required before testing begins.</w:t>
      </w:r>
    </w:p>
    <w:p>
      <w:pPr>
        <w:pStyle w:val="Heading2"/>
      </w:pPr>
      <w:r>
        <w:t xml:space="preserve">15 Responsibilities</w:t>
      </w:r>
    </w:p>
    <w:p>
      <w:pPr>
        <w:pStyle w:val="ListParagraph"/>
        <w:numPr>
          <w:ilvl w:val="0"/>
          <w:numId w:val="13"/>
        </w:numPr>
      </w:pPr>
      <w:r>
        <w:rPr>
          <w:b/>
          <w:bCs/>
        </w:rPr>
        <w:t xml:space="preserve">Developer:</w:t>
      </w:r>
      <w:r>
        <w:t xml:space="preserve"> implement features, fix defects, write unit tests</w:t>
      </w:r>
    </w:p>
    <w:p>
      <w:pPr>
        <w:pStyle w:val="ListParagraph"/>
        <w:numPr>
          <w:ilvl w:val="0"/>
          <w:numId w:val="13"/>
        </w:numPr>
      </w:pPr>
      <w:r>
        <w:rPr>
          <w:b/>
          <w:bCs/>
        </w:rPr>
        <w:t xml:space="preserve">ML Engineer:</w:t>
      </w:r>
      <w:r>
        <w:t xml:space="preserve"> provide validated models; run model validation tests</w:t>
      </w:r>
    </w:p>
    <w:p>
      <w:pPr>
        <w:pStyle w:val="ListParagraph"/>
        <w:numPr>
          <w:ilvl w:val="0"/>
          <w:numId w:val="13"/>
        </w:numPr>
      </w:pPr>
      <w:r>
        <w:rPr>
          <w:b/>
          <w:bCs/>
        </w:rPr>
        <w:t xml:space="preserve">Tester:</w:t>
      </w:r>
      <w:r>
        <w:t xml:space="preserve"> prepare data, execute test cases, log defects</w:t>
      </w:r>
    </w:p>
    <w:p>
      <w:pPr>
        <w:pStyle w:val="ListParagraph"/>
        <w:numPr>
          <w:ilvl w:val="0"/>
          <w:numId w:val="13"/>
        </w:numPr>
      </w:pPr>
      <w:r>
        <w:rPr>
          <w:b/>
          <w:bCs/>
        </w:rPr>
        <w:t xml:space="preserve">Security tester:</w:t>
      </w:r>
      <w:r>
        <w:t xml:space="preserve"> run security validation (Section 5.1)</w:t>
      </w:r>
    </w:p>
    <w:p>
      <w:pPr>
        <w:pStyle w:val="ListParagraph"/>
        <w:numPr>
          <w:ilvl w:val="0"/>
          <w:numId w:val="13"/>
        </w:numPr>
      </w:pPr>
      <w:r>
        <w:rPr>
          <w:b/>
          <w:bCs/>
        </w:rPr>
        <w:t xml:space="preserve">Project Guide:</w:t>
      </w:r>
      <w:r>
        <w:t xml:space="preserve"> review and approve the test process and results</w:t>
      </w:r>
    </w:p>
    <w:p>
      <w:pPr>
        <w:pStyle w:val="Heading2"/>
      </w:pPr>
      <w:r>
        <w:t xml:space="preserve">16 Schedule</w:t>
      </w:r>
    </w:p>
    <w:tbl>
      <w:tblPr>
        <w:tblStyle w:val="TableGrid"/>
        <w:tblW w:w="0" w:type="auto"/>
        <w:tblLayout w:type="fixed"/>
        <w:tblLook w:val="04A0" w:firstRow="1" w:lastRow="0" w:firstColumn="0" w:lastColumn="0" w:noHBand="0" w:noVBand="1"/>
      </w:tblPr>
      <w:tblGrid>
        <w:gridCol w:w="7566"/>
        <w:gridCol w:w="1793"/>
      </w:tblGrid>
      <w:tr>
        <w:trPr>
          <w:tblHeader/>
        </w:trPr>
        <w:tc>
          <w:tcPr>
            <w:tcW w:w="7566" w:type="dxa"/>
            <w:shd w:val="clear" w:color="auto" w:fill="F2F2F2"/>
          </w:tcPr>
          <w:p>
            <w:pPr/>
            <w:r>
              <w:t xml:space="preserve">Task</w:t>
            </w:r>
          </w:p>
        </w:tc>
        <w:tc>
          <w:tcPr>
            <w:tcW w:w="1793" w:type="dxa"/>
            <w:shd w:val="clear" w:color="auto" w:fill="F2F2F2"/>
          </w:tcPr>
          <w:p>
            <w:pPr/>
            <w:r>
              <w:t xml:space="preserve">Duration</w:t>
            </w:r>
          </w:p>
        </w:tc>
      </w:tr>
      <w:tr>
        <w:tc>
          <w:tcPr>
            <w:tcW w:w="7566" w:type="dxa"/>
          </w:tcPr>
          <w:p>
            <w:pPr/>
            <w:r>
              <w:t xml:space="preserve">Test plan preparation</w:t>
            </w:r>
          </w:p>
        </w:tc>
        <w:tc>
          <w:tcPr>
            <w:tcW w:w="1793" w:type="dxa"/>
          </w:tcPr>
          <w:p>
            <w:pPr/>
            <w:r>
              <w:t xml:space="preserve">2 days</w:t>
            </w:r>
          </w:p>
        </w:tc>
      </w:tr>
      <w:tr>
        <w:tc>
          <w:tcPr>
            <w:tcW w:w="7566" w:type="dxa"/>
          </w:tcPr>
          <w:p>
            <w:pPr/>
            <w:r>
              <w:t xml:space="preserve">Test case design</w:t>
            </w:r>
          </w:p>
        </w:tc>
        <w:tc>
          <w:tcPr>
            <w:tcW w:w="1793" w:type="dxa"/>
          </w:tcPr>
          <w:p>
            <w:pPr/>
            <w:r>
              <w:t xml:space="preserve">3 days</w:t>
            </w:r>
          </w:p>
        </w:tc>
      </w:tr>
      <w:tr>
        <w:tc>
          <w:tcPr>
            <w:tcW w:w="7566" w:type="dxa"/>
          </w:tcPr>
          <w:p>
            <w:pPr/>
            <w:r>
              <w:t xml:space="preserve">Test environment and data setup</w:t>
            </w:r>
          </w:p>
        </w:tc>
        <w:tc>
          <w:tcPr>
            <w:tcW w:w="1793" w:type="dxa"/>
          </w:tcPr>
          <w:p>
            <w:pPr/>
            <w:r>
              <w:t xml:space="preserve">2 days</w:t>
            </w:r>
          </w:p>
        </w:tc>
      </w:tr>
      <w:tr>
        <w:tc>
          <w:tcPr>
            <w:tcW w:w="7566" w:type="dxa"/>
          </w:tcPr>
          <w:p>
            <w:pPr/>
            <w:r>
              <w:t xml:space="preserve">Test execution (functional and integration)</w:t>
            </w:r>
          </w:p>
        </w:tc>
        <w:tc>
          <w:tcPr>
            <w:tcW w:w="1793" w:type="dxa"/>
          </w:tcPr>
          <w:p>
            <w:pPr/>
            <w:r>
              <w:t xml:space="preserve">4 days</w:t>
            </w:r>
          </w:p>
        </w:tc>
      </w:tr>
      <w:tr>
        <w:tc>
          <w:tcPr>
            <w:tcW w:w="7566" w:type="dxa"/>
          </w:tcPr>
          <w:p>
            <w:pPr/>
            <w:r>
              <w:t xml:space="preserve">Performance and security testing</w:t>
            </w:r>
          </w:p>
        </w:tc>
        <w:tc>
          <w:tcPr>
            <w:tcW w:w="1793" w:type="dxa"/>
          </w:tcPr>
          <w:p>
            <w:pPr/>
            <w:r>
              <w:t xml:space="preserve">3 days</w:t>
            </w:r>
          </w:p>
        </w:tc>
      </w:tr>
      <w:tr>
        <w:tc>
          <w:tcPr>
            <w:tcW w:w="7566" w:type="dxa"/>
          </w:tcPr>
          <w:p>
            <w:pPr/>
            <w:r>
              <w:t xml:space="preserve">Bug fixing and regression testing</w:t>
            </w:r>
          </w:p>
        </w:tc>
        <w:tc>
          <w:tcPr>
            <w:tcW w:w="1793" w:type="dxa"/>
          </w:tcPr>
          <w:p>
            <w:pPr/>
            <w:r>
              <w:t xml:space="preserve">3 days</w:t>
            </w:r>
          </w:p>
        </w:tc>
      </w:tr>
      <w:tr>
        <w:tc>
          <w:tcPr>
            <w:tcW w:w="7566" w:type="dxa"/>
          </w:tcPr>
          <w:p>
            <w:pPr/>
            <w:r>
              <w:t xml:space="preserve">Final testing and test summary</w:t>
            </w:r>
          </w:p>
        </w:tc>
        <w:tc>
          <w:tcPr>
            <w:tcW w:w="1793" w:type="dxa"/>
          </w:tcPr>
          <w:p>
            <w:pPr/>
            <w:r>
              <w:t xml:space="preserve">2 days</w:t>
            </w:r>
          </w:p>
        </w:tc>
      </w:tr>
    </w:tbl>
    <w:p>
      <w:pPr>
        <w:pStyle w:val="Heading2"/>
      </w:pPr>
      <w:r>
        <w:t xml:space="preserve">17 Planning Risks and Contingencies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Contingency and outcome</w:t>
            </w:r>
          </w:p>
        </w:tc>
      </w:tr>
      <w:tr>
        <w:tc>
          <w:tcPr>
            <w:tcW w:w="4440" w:type="dxa"/>
          </w:tcPr>
          <w:p>
            <w:pPr/>
            <w:r>
              <w:t xml:space="preserve">Dataset inconsistencies or too little validation data</w:t>
            </w:r>
          </w:p>
        </w:tc>
        <w:tc>
          <w:tcPr>
            <w:tcW w:w="4920" w:type="dxa"/>
          </w:tcPr>
          <w:p>
            <w:pPr/>
            <w:r>
              <w:t xml:space="preserve">Keep a backup copy of the dataset; use cross-validation if the held-out set is small. Outcome: 5-fold cross-validation was added to the training report</w:t>
            </w:r>
          </w:p>
        </w:tc>
      </w:tr>
      <w:tr>
        <w:tc>
          <w:tcPr>
            <w:tcW w:w="4440" w:type="dxa"/>
          </w:tcPr>
          <w:p>
            <w:pPr/>
            <w:r>
              <w:t xml:space="preserve">Model does not meet the 85% targets</w:t>
            </w:r>
          </w:p>
        </w:tc>
        <w:tc>
          <w:tcPr>
            <w:tcW w:w="4920" w:type="dxa"/>
          </w:tcPr>
          <w:p>
            <w:pPr/>
            <w:r>
              <w:t xml:space="preserve">Retrain or tune; report the achieved values. Outcome: this happened for QML (78.8% accuracy, 83.3% recall); it is reported and not served</w:t>
            </w:r>
          </w:p>
        </w:tc>
      </w:tr>
      <w:tr>
        <w:tc>
          <w:tcPr>
            <w:tcW w:w="4440" w:type="dxa"/>
          </w:tcPr>
          <w:p>
            <w:pPr/>
            <w:r>
              <w:t xml:space="preserve">QML service too slow on the simulator</w:t>
            </w:r>
          </w:p>
        </w:tc>
        <w:tc>
          <w:tcPr>
            <w:tcW w:w="4920" w:type="dxa"/>
          </w:tcPr>
          <w:p>
            <w:pPr/>
            <w:r>
              <w:t xml:space="preserve">Test with a reduced load for QML and record the limitation</w:t>
            </w:r>
          </w:p>
        </w:tc>
      </w:tr>
      <w:tr>
        <w:tc>
          <w:tcPr>
            <w:tcW w:w="4440" w:type="dxa"/>
          </w:tcPr>
          <w:p>
            <w:pPr/>
            <w:r>
              <w:t xml:space="preserve">Test environment downtime</w:t>
            </w:r>
          </w:p>
        </w:tc>
        <w:tc>
          <w:tcPr>
            <w:tcW w:w="4920" w:type="dxa"/>
          </w:tcPr>
          <w:p>
            <w:pPr/>
            <w:r>
              <w:t xml:space="preserve">Containerize the setup so it can be rebuilt quickly</w:t>
            </w:r>
          </w:p>
        </w:tc>
      </w:tr>
      <w:tr>
        <w:tc>
          <w:tcPr>
            <w:tcW w:w="4440" w:type="dxa"/>
          </w:tcPr>
          <w:p>
            <w:pPr/>
            <w:r>
              <w:t xml:space="preserve">Schedule slip</w:t>
            </w:r>
          </w:p>
        </w:tc>
        <w:tc>
          <w:tcPr>
            <w:tcW w:w="4920" w:type="dxa"/>
          </w:tcPr>
          <w:p>
            <w:pPr/>
            <w:r>
              <w:t xml:space="preserve">Run High-priority test cases first. Outcome: automated cases were run first; load, TLS, browser and usability cases remain</w:t>
            </w:r>
          </w:p>
        </w:tc>
      </w:tr>
    </w:tbl>
    <w:p>
      <w:pPr>
        <w:pStyle w:val="Heading2"/>
      </w:pPr>
      <w:r>
        <w:t xml:space="preserve">18 Test Case Specification</w:t>
      </w:r>
    </w:p>
    <w:p>
      <w:pPr>
        <w:pStyle w:val="Heading3"/>
      </w:pPr>
      <w:r>
        <w:t xml:space="preserve">18.1 Test Cases and Results</w:t>
      </w:r>
    </w:p>
    <w:p>
      <w:pPr/>
      <w:r>
        <w:t xml:space="preserve">There are 25 test cases covering functional (F), non-functional (NF) and security (S) requirements. The Actual Result column names the pytest check that produced the result (all run on 31 Oct 2026, 28 checks passing). "Not run" means the case needs a manual or tool-based run that has not yet been done.</w:t>
      </w:r>
    </w:p>
    <w:tbl>
      <w:tblPr>
        <w:tblStyle w:val="TableGrid"/>
        <w:tblW w:w="0" w:type="auto"/>
        <w:tblLayout w:type="fixed"/>
        <w:tblLook w:val="04A0" w:firstRow="1" w:lastRow="0" w:firstColumn="0" w:lastColumn="0" w:noHBand="0" w:noVBand="1"/>
      </w:tblPr>
      <w:tblGrid>
        <w:gridCol w:w="868"/>
        <w:gridCol w:w="750"/>
        <w:gridCol w:w="1770"/>
        <w:gridCol w:w="1670"/>
        <w:gridCol w:w="788"/>
        <w:gridCol w:w="2485"/>
        <w:gridCol w:w="1028"/>
      </w:tblGrid>
      <w:tr>
        <w:trPr>
          <w:tblHeader/>
        </w:trPr>
        <w:tc>
          <w:tcPr>
            <w:tcW w:w="868" w:type="dxa"/>
            <w:shd w:val="clear" w:color="auto" w:fill="F2F2F2"/>
          </w:tcPr>
          <w:p>
            <w:pPr/>
            <w:r>
              <w:t xml:space="preserve">TC ID</w:t>
            </w:r>
          </w:p>
        </w:tc>
        <w:tc>
          <w:tcPr>
            <w:tcW w:w="750" w:type="dxa"/>
            <w:shd w:val="clear" w:color="auto" w:fill="F2F2F2"/>
          </w:tcPr>
          <w:p>
            <w:pPr/>
            <w:r>
              <w:t xml:space="preserve">Type</w:t>
            </w:r>
          </w:p>
        </w:tc>
        <w:tc>
          <w:tcPr>
            <w:tcW w:w="1770" w:type="dxa"/>
            <w:shd w:val="clear" w:color="auto" w:fill="F2F2F2"/>
          </w:tcPr>
          <w:p>
            <w:pPr/>
            <w:r>
              <w:t xml:space="preserve">Description and input</w:t>
            </w:r>
          </w:p>
        </w:tc>
        <w:tc>
          <w:tcPr>
            <w:tcW w:w="1670" w:type="dxa"/>
            <w:shd w:val="clear" w:color="auto" w:fill="F2F2F2"/>
          </w:tcPr>
          <w:p>
            <w:pPr/>
            <w:r>
              <w:t xml:space="preserve">Expected result</w:t>
            </w:r>
          </w:p>
        </w:tc>
        <w:tc>
          <w:tcPr>
            <w:tcW w:w="788" w:type="dxa"/>
            <w:shd w:val="clear" w:color="auto" w:fill="F2F2F2"/>
          </w:tcPr>
          <w:p>
            <w:pPr/>
            <w:r>
              <w:t xml:space="preserve">SRS req</w:t>
            </w:r>
          </w:p>
        </w:tc>
        <w:tc>
          <w:tcPr>
            <w:tcW w:w="2485" w:type="dxa"/>
            <w:shd w:val="clear" w:color="auto" w:fill="F2F2F2"/>
          </w:tcPr>
          <w:p>
            <w:pPr/>
            <w:r>
              <w:t xml:space="preserve">Actual result</w:t>
            </w:r>
          </w:p>
        </w:tc>
        <w:tc>
          <w:tcPr>
            <w:tcW w:w="1028" w:type="dxa"/>
            <w:shd w:val="clear" w:color="auto" w:fill="F2F2F2"/>
          </w:tcPr>
          <w:p>
            <w:pPr/>
            <w:r>
              <w:t xml:space="preserve">Status</w:t>
            </w:r>
          </w:p>
        </w:tc>
      </w:tr>
      <w:tr>
        <w:tc>
          <w:tcPr>
            <w:tcW w:w="868" w:type="dxa"/>
          </w:tcPr>
          <w:p>
            <w:pPr/>
            <w:r>
              <w:t xml:space="preserve">TC-01</w:t>
            </w:r>
          </w:p>
        </w:tc>
        <w:tc>
          <w:tcPr>
            <w:tcW w:w="750" w:type="dxa"/>
          </w:tcPr>
          <w:p>
            <w:pPr/>
            <w:r>
              <w:t xml:space="preserve">F</w:t>
            </w:r>
          </w:p>
        </w:tc>
        <w:tc>
          <w:tcPr>
            <w:tcW w:w="1770" w:type="dxa"/>
          </w:tcPr>
          <w:p>
            <w:pPr/>
            <w:r>
              <w:t xml:space="preserve">Log in with a valid Clinician username and password</w:t>
            </w:r>
          </w:p>
        </w:tc>
        <w:tc>
          <w:tcPr>
            <w:tcW w:w="1670" w:type="dxa"/>
          </w:tcPr>
          <w:p>
            <w:pPr/>
            <w:r>
              <w:t xml:space="preserve">Login succeeds; entry form opens</w:t>
            </w:r>
          </w:p>
        </w:tc>
        <w:tc>
          <w:tcPr>
            <w:tcW w:w="788" w:type="dxa"/>
          </w:tcPr>
          <w:p>
            <w:pPr/>
            <w:r>
              <w:t xml:space="preserve">FR-01</w:t>
            </w:r>
          </w:p>
        </w:tc>
        <w:tc>
          <w:tcPr>
            <w:tcW w:w="2485" w:type="dxa"/>
          </w:tcPr>
          <w:p>
            <w:pPr/>
            <w:r>
              <w:rPr>
                <w:rStyle w:val="CodeChar"/>
              </w:rPr>
              <w:t xml:space="preserve">test_tc01_login</w:t>
            </w:r>
            <w:r>
              <w:t xml:space="preserve">: HTTP 200 with token. Form display is a manual UI check</w:t>
            </w:r>
          </w:p>
        </w:tc>
        <w:tc>
          <w:tcPr>
            <w:tcW w:w="1028" w:type="dxa"/>
          </w:tcPr>
          <w:p>
            <w:pPr/>
            <w:r>
              <w:t xml:space="preserve">Pass (API)</w:t>
            </w:r>
          </w:p>
        </w:tc>
      </w:tr>
      <w:tr>
        <w:tc>
          <w:tcPr>
            <w:tcW w:w="868" w:type="dxa"/>
          </w:tcPr>
          <w:p>
            <w:pPr/>
            <w:r>
              <w:t xml:space="preserve">TC-02</w:t>
            </w:r>
          </w:p>
        </w:tc>
        <w:tc>
          <w:tcPr>
            <w:tcW w:w="750" w:type="dxa"/>
          </w:tcPr>
          <w:p>
            <w:pPr/>
            <w:r>
              <w:t xml:space="preserve">S</w:t>
            </w:r>
          </w:p>
        </w:tc>
        <w:tc>
          <w:tcPr>
            <w:tcW w:w="1770" w:type="dxa"/>
          </w:tcPr>
          <w:p>
            <w:pPr/>
            <w:r>
              <w:t xml:space="preserve">Enter a wrong password 5 times in a row, then a correct one</w:t>
            </w:r>
          </w:p>
        </w:tc>
        <w:tc>
          <w:tcPr>
            <w:tcW w:w="1670" w:type="dxa"/>
          </w:tcPr>
          <w:p>
            <w:pPr/>
            <w:r>
              <w:t xml:space="preserve">Account locked for 15 minutes; correct password is refused during lockout</w:t>
            </w:r>
          </w:p>
        </w:tc>
        <w:tc>
          <w:tcPr>
            <w:tcW w:w="788" w:type="dxa"/>
          </w:tcPr>
          <w:p>
            <w:pPr/>
            <w:r>
              <w:t xml:space="preserve">SEC-02</w:t>
            </w:r>
          </w:p>
        </w:tc>
        <w:tc>
          <w:tcPr>
            <w:tcW w:w="2485" w:type="dxa"/>
          </w:tcPr>
          <w:p>
            <w:pPr/>
            <w:r>
              <w:rPr>
                <w:rStyle w:val="CodeChar"/>
              </w:rPr>
              <w:t xml:space="preserve">test_tc02_lockout</w:t>
            </w:r>
            <w:r>
              <w:t xml:space="preserve">: fifth failure returns 423; correct password then also 423. The 15-minute expiry was not waited out</w:t>
            </w:r>
          </w:p>
        </w:tc>
        <w:tc>
          <w:tcPr>
            <w:tcW w:w="1028" w:type="dxa"/>
          </w:tcPr>
          <w:p>
            <w:pPr/>
            <w:r>
              <w:t xml:space="preserve">Pass</w:t>
            </w:r>
          </w:p>
        </w:tc>
      </w:tr>
      <w:tr>
        <w:tc>
          <w:tcPr>
            <w:tcW w:w="868" w:type="dxa"/>
          </w:tcPr>
          <w:p>
            <w:pPr/>
            <w:r>
              <w:t xml:space="preserve">TC-03</w:t>
            </w:r>
          </w:p>
        </w:tc>
        <w:tc>
          <w:tcPr>
            <w:tcW w:w="750" w:type="dxa"/>
          </w:tcPr>
          <w:p>
            <w:pPr/>
            <w:r>
              <w:t xml:space="preserve">F</w:t>
            </w:r>
          </w:p>
        </w:tc>
        <w:tc>
          <w:tcPr>
            <w:tcW w:w="1770" w:type="dxa"/>
          </w:tcPr>
          <w:p>
            <w:pPr/>
            <w:r>
              <w:t xml:space="preserve">Submit the form with the cholesterol field empty and the age field set to "abc"</w:t>
            </w:r>
          </w:p>
        </w:tc>
        <w:tc>
          <w:tcPr>
            <w:tcW w:w="1670" w:type="dxa"/>
          </w:tcPr>
          <w:p>
            <w:pPr/>
            <w:r>
              <w:t xml:space="preserve">Both fields listed with valid ranges in one response within 1 second; no prediction call made</w:t>
            </w:r>
          </w:p>
        </w:tc>
        <w:tc>
          <w:tcPr>
            <w:tcW w:w="788" w:type="dxa"/>
          </w:tcPr>
          <w:p>
            <w:pPr/>
            <w:r>
              <w:t xml:space="preserve">FR-05, FR-06</w:t>
            </w:r>
          </w:p>
        </w:tc>
        <w:tc>
          <w:tcPr>
            <w:tcW w:w="2485" w:type="dxa"/>
          </w:tcPr>
          <w:p>
            <w:pPr/>
            <w:r>
              <w:rPr>
                <w:rStyle w:val="CodeChar"/>
              </w:rPr>
              <w:t xml:space="preserve">test_tc03_exact_empty_cholesterol_and_bad_age</w:t>
            </w:r>
            <w:r>
              <w:t xml:space="preserve">: 400, both fields listed, prediction service not called. The 1-second timing was not measured</w:t>
            </w:r>
          </w:p>
        </w:tc>
        <w:tc>
          <w:tcPr>
            <w:tcW w:w="1028" w:type="dxa"/>
          </w:tcPr>
          <w:p>
            <w:pPr/>
            <w:r>
              <w:t xml:space="preserve">Pass</w:t>
            </w:r>
          </w:p>
        </w:tc>
      </w:tr>
      <w:tr>
        <w:tc>
          <w:tcPr>
            <w:tcW w:w="868" w:type="dxa"/>
          </w:tcPr>
          <w:p>
            <w:pPr/>
            <w:r>
              <w:t xml:space="preserve">TC-04</w:t>
            </w:r>
          </w:p>
        </w:tc>
        <w:tc>
          <w:tcPr>
            <w:tcW w:w="750" w:type="dxa"/>
          </w:tcPr>
          <w:p>
            <w:pPr/>
            <w:r>
              <w:t xml:space="preserve">F</w:t>
            </w:r>
          </w:p>
        </w:tc>
        <w:tc>
          <w:tcPr>
            <w:tcW w:w="1770" w:type="dxa"/>
          </w:tcPr>
          <w:p>
            <w:pPr/>
            <w:r>
              <w:t xml:space="preserve">Submit resting blood pressure = 300 mmHg (valid range 50–250)</w:t>
            </w:r>
          </w:p>
        </w:tc>
        <w:tc>
          <w:tcPr>
            <w:tcW w:w="1670" w:type="dxa"/>
          </w:tcPr>
          <w:p>
            <w:pPr/>
            <w:r>
              <w:t xml:space="preserve">Value rejected with a range message; no prediction</w:t>
            </w:r>
          </w:p>
        </w:tc>
        <w:tc>
          <w:tcPr>
            <w:tcW w:w="788" w:type="dxa"/>
          </w:tcPr>
          <w:p>
            <w:pPr/>
            <w:r>
              <w:t xml:space="preserve">FR-05</w:t>
            </w:r>
          </w:p>
        </w:tc>
        <w:tc>
          <w:tcPr>
            <w:tcW w:w="2485" w:type="dxa"/>
          </w:tcPr>
          <w:p>
            <w:pPr/>
            <w:r>
              <w:rPr>
                <w:rStyle w:val="CodeChar"/>
              </w:rPr>
              <w:t xml:space="preserve">test_tc04_exact_resting_bp_300</w:t>
            </w:r>
            <w:r>
              <w:t xml:space="preserve">: 400, message contains 50 and 250</w:t>
            </w:r>
          </w:p>
        </w:tc>
        <w:tc>
          <w:tcPr>
            <w:tcW w:w="1028" w:type="dxa"/>
          </w:tcPr>
          <w:p>
            <w:pPr/>
            <w:r>
              <w:t xml:space="preserve">Pass</w:t>
            </w:r>
          </w:p>
        </w:tc>
      </w:tr>
      <w:tr>
        <w:tc>
          <w:tcPr>
            <w:tcW w:w="868" w:type="dxa"/>
          </w:tcPr>
          <w:p>
            <w:pPr/>
            <w:r>
              <w:t xml:space="preserve">TC-05</w:t>
            </w:r>
          </w:p>
        </w:tc>
        <w:tc>
          <w:tcPr>
            <w:tcW w:w="750" w:type="dxa"/>
          </w:tcPr>
          <w:p>
            <w:pPr/>
            <w:r>
              <w:t xml:space="preserve">F</w:t>
            </w:r>
          </w:p>
        </w:tc>
        <w:tc>
          <w:tcPr>
            <w:tcW w:w="1770" w:type="dxa"/>
          </w:tcPr>
          <w:p>
            <w:pPr/>
            <w:r>
              <w:t xml:space="preserve">Submit a valid complete record</w:t>
            </w:r>
          </w:p>
        </w:tc>
        <w:tc>
          <w:tcPr>
            <w:tcW w:w="1670" w:type="dxa"/>
          </w:tcPr>
          <w:p>
            <w:pPr/>
            <w:r>
              <w:t xml:space="preserve">Exactly one label and a probability with one decimal place are shown</w:t>
            </w:r>
          </w:p>
        </w:tc>
        <w:tc>
          <w:tcPr>
            <w:tcW w:w="788" w:type="dxa"/>
          </w:tcPr>
          <w:p>
            <w:pPr/>
            <w:r>
              <w:t xml:space="preserve">FR-09, FR-10, FR-11</w:t>
            </w:r>
          </w:p>
        </w:tc>
        <w:tc>
          <w:tcPr>
            <w:tcW w:w="2485" w:type="dxa"/>
          </w:tcPr>
          <w:p>
            <w:pPr/>
            <w:r>
              <w:rPr>
                <w:rStyle w:val="CodeChar"/>
              </w:rPr>
              <w:t xml:space="preserve">test_tc05_07_prediction</w:t>
            </w:r>
            <w:r>
              <w:t xml:space="preserve"> (mocked model): 201 with one label and probability. Real ML and DL models also answered through the running web server. QML is not served (unvalidated)</w:t>
            </w:r>
          </w:p>
        </w:tc>
        <w:tc>
          <w:tcPr>
            <w:tcW w:w="1028" w:type="dxa"/>
          </w:tcPr>
          <w:p>
            <w:pPr/>
            <w:r>
              <w:t xml:space="preserve">Pass (ML, DL); QML blocked</w:t>
            </w:r>
          </w:p>
        </w:tc>
      </w:tr>
      <w:tr>
        <w:tc>
          <w:tcPr>
            <w:tcW w:w="868" w:type="dxa"/>
          </w:tcPr>
          <w:p>
            <w:pPr/>
            <w:r>
              <w:t xml:space="preserve">TC-06</w:t>
            </w:r>
          </w:p>
        </w:tc>
        <w:tc>
          <w:tcPr>
            <w:tcW w:w="750" w:type="dxa"/>
          </w:tcPr>
          <w:p>
            <w:pPr/>
            <w:r>
              <w:t xml:space="preserve">F</w:t>
            </w:r>
          </w:p>
        </w:tc>
        <w:tc>
          <w:tcPr>
            <w:tcW w:w="1770" w:type="dxa"/>
          </w:tcPr>
          <w:p>
            <w:pPr/>
            <w:r>
              <w:t xml:space="preserve">Use inputs giving probabilities of about 20%, 50% and 80% (mocked model)</w:t>
            </w:r>
          </w:p>
        </w:tc>
        <w:tc>
          <w:tcPr>
            <w:tcW w:w="1670" w:type="dxa"/>
          </w:tcPr>
          <w:p>
            <w:pPr/>
            <w:r>
              <w:t xml:space="preserve">Risk shown as Low, Moderate and High respectively</w:t>
            </w:r>
          </w:p>
        </w:tc>
        <w:tc>
          <w:tcPr>
            <w:tcW w:w="788" w:type="dxa"/>
          </w:tcPr>
          <w:p>
            <w:pPr/>
            <w:r>
              <w:t xml:space="preserve">FR-12</w:t>
            </w:r>
          </w:p>
        </w:tc>
        <w:tc>
          <w:tcPr>
            <w:tcW w:w="2485" w:type="dxa"/>
          </w:tcPr>
          <w:p>
            <w:pPr/>
            <w:r>
              <w:rPr>
                <w:rStyle w:val="CodeChar"/>
              </w:rPr>
              <w:t xml:space="preserve">test_tc06_risk_levels</w:t>
            </w:r>
            <w:r>
              <w:t xml:space="preserve">: Low, Moderate, High</w:t>
            </w:r>
          </w:p>
        </w:tc>
        <w:tc>
          <w:tcPr>
            <w:tcW w:w="1028" w:type="dxa"/>
          </w:tcPr>
          <w:p>
            <w:pPr/>
            <w:r>
              <w:t xml:space="preserve">Pass</w:t>
            </w:r>
          </w:p>
        </w:tc>
      </w:tr>
      <w:tr>
        <w:tc>
          <w:tcPr>
            <w:tcW w:w="868" w:type="dxa"/>
          </w:tcPr>
          <w:p>
            <w:pPr/>
            <w:r>
              <w:t xml:space="preserve">TC-07</w:t>
            </w:r>
          </w:p>
        </w:tc>
        <w:tc>
          <w:tcPr>
            <w:tcW w:w="750" w:type="dxa"/>
          </w:tcPr>
          <w:p>
            <w:pPr/>
            <w:r>
              <w:t xml:space="preserve">F</w:t>
            </w:r>
          </w:p>
        </w:tc>
        <w:tc>
          <w:tcPr>
            <w:tcW w:w="1770" w:type="dxa"/>
          </w:tcPr>
          <w:p>
            <w:pPr/>
            <w:r>
              <w:t xml:space="preserve">Open any result page</w:t>
            </w:r>
          </w:p>
        </w:tc>
        <w:tc>
          <w:tcPr>
            <w:tcW w:w="1670" w:type="dxa"/>
          </w:tcPr>
          <w:p>
            <w:pPr/>
            <w:r>
              <w:t xml:space="preserve">Top 5 contributing features with direction, and the medical disclaimer, are shown</w:t>
            </w:r>
          </w:p>
        </w:tc>
        <w:tc>
          <w:tcPr>
            <w:tcW w:w="788" w:type="dxa"/>
          </w:tcPr>
          <w:p>
            <w:pPr/>
            <w:r>
              <w:t xml:space="preserve">FR-13, FR-14, NFR-04, NFR-12</w:t>
            </w:r>
          </w:p>
        </w:tc>
        <w:tc>
          <w:tcPr>
            <w:tcW w:w="2485" w:type="dxa"/>
          </w:tcPr>
          <w:p>
            <w:pPr/>
            <w:r>
              <w:rPr>
                <w:rStyle w:val="CodeChar"/>
              </w:rPr>
              <w:t xml:space="preserve">test_tc05_07_prediction</w:t>
            </w:r>
            <w:r>
              <w:t xml:space="preserve">: 5 features and disclaimer in the response. On-screen display is a manual check</w:t>
            </w:r>
          </w:p>
        </w:tc>
        <w:tc>
          <w:tcPr>
            <w:tcW w:w="1028" w:type="dxa"/>
          </w:tcPr>
          <w:p>
            <w:pPr/>
            <w:r>
              <w:t xml:space="preserve">Pass (API)</w:t>
            </w:r>
          </w:p>
        </w:tc>
      </w:tr>
      <w:tr>
        <w:tc>
          <w:tcPr>
            <w:tcW w:w="868" w:type="dxa"/>
          </w:tcPr>
          <w:p>
            <w:pPr/>
            <w:r>
              <w:t xml:space="preserve">TC-08</w:t>
            </w:r>
          </w:p>
        </w:tc>
        <w:tc>
          <w:tcPr>
            <w:tcW w:w="750" w:type="dxa"/>
          </w:tcPr>
          <w:p>
            <w:pPr/>
            <w:r>
              <w:t xml:space="preserve">F</w:t>
            </w:r>
          </w:p>
        </w:tc>
        <w:tc>
          <w:tcPr>
            <w:tcW w:w="1770" w:type="dxa"/>
          </w:tcPr>
          <w:p>
            <w:pPr/>
            <w:r>
              <w:t xml:space="preserve">Fill the form, run a prediction, click Clear</w:t>
            </w:r>
          </w:p>
        </w:tc>
        <w:tc>
          <w:tcPr>
            <w:tcW w:w="1670" w:type="dxa"/>
          </w:tcPr>
          <w:p>
            <w:pPr/>
            <w:r>
              <w:t xml:space="preserve">All fields and the displayed result are emptied with one click</w:t>
            </w:r>
          </w:p>
        </w:tc>
        <w:tc>
          <w:tcPr>
            <w:tcW w:w="788" w:type="dxa"/>
          </w:tcPr>
          <w:p>
            <w:pPr/>
            <w:r>
              <w:t xml:space="preserve">FR-16</w:t>
            </w:r>
          </w:p>
        </w:tc>
        <w:tc>
          <w:tcPr>
            <w:tcW w:w="2485" w:type="dxa"/>
          </w:tcPr>
          <w:p>
            <w:pPr/>
            <w:r>
              <w:t xml:space="preserve">Manual UI test not yet done</w:t>
            </w:r>
          </w:p>
        </w:tc>
        <w:tc>
          <w:tcPr>
            <w:tcW w:w="1028" w:type="dxa"/>
          </w:tcPr>
          <w:p>
            <w:pPr/>
            <w:r>
              <w:t xml:space="preserve">Not run</w:t>
            </w:r>
          </w:p>
        </w:tc>
      </w:tr>
      <w:tr>
        <w:tc>
          <w:tcPr>
            <w:tcW w:w="868" w:type="dxa"/>
          </w:tcPr>
          <w:p>
            <w:pPr/>
            <w:r>
              <w:t xml:space="preserve">TC-09</w:t>
            </w:r>
          </w:p>
        </w:tc>
        <w:tc>
          <w:tcPr>
            <w:tcW w:w="750" w:type="dxa"/>
          </w:tcPr>
          <w:p>
            <w:pPr/>
            <w:r>
              <w:t xml:space="preserve">F</w:t>
            </w:r>
          </w:p>
        </w:tc>
        <w:tc>
          <w:tcPr>
            <w:tcW w:w="1770" w:type="dxa"/>
          </w:tcPr>
          <w:p>
            <w:pPr/>
            <w:r>
              <w:t xml:space="preserve">Stop the ML microservice, then submit a valid record</w:t>
            </w:r>
          </w:p>
        </w:tc>
        <w:tc>
          <w:tcPr>
            <w:tcW w:w="1670" w:type="dxa"/>
          </w:tcPr>
          <w:p>
            <w:pPr/>
            <w:r>
              <w:t xml:space="preserve">Message appears within 10 seconds; entered data is kept; error logged without patient identifiers</w:t>
            </w:r>
          </w:p>
        </w:tc>
        <w:tc>
          <w:tcPr>
            <w:tcW w:w="788" w:type="dxa"/>
          </w:tcPr>
          <w:p>
            <w:pPr/>
            <w:r>
              <w:t xml:space="preserve">FR-17, FR-18</w:t>
            </w:r>
          </w:p>
        </w:tc>
        <w:tc>
          <w:tcPr>
            <w:tcW w:w="2485" w:type="dxa"/>
          </w:tcPr>
          <w:p>
            <w:pPr/>
            <w:r>
              <w:rPr>
                <w:rStyle w:val="CodeChar"/>
              </w:rPr>
              <w:t xml:space="preserve">test_tc09_message_text</w:t>
            </w:r>
            <w:r>
              <w:t xml:space="preserve">, </w:t>
            </w:r>
            <w:r>
              <w:rPr>
                <w:rStyle w:val="CodeChar"/>
              </w:rPr>
              <w:t xml:space="preserve">test_tc09_service_down</w:t>
            </w:r>
            <w:r>
              <w:t xml:space="preserve">: 503, exact message, error body has only code, message and request ID. "Data kept" in the form is a manual check</w:t>
            </w:r>
          </w:p>
        </w:tc>
        <w:tc>
          <w:tcPr>
            <w:tcW w:w="1028" w:type="dxa"/>
          </w:tcPr>
          <w:p>
            <w:pPr/>
            <w:r>
              <w:t xml:space="preserve">Pass (API)</w:t>
            </w:r>
          </w:p>
        </w:tc>
      </w:tr>
      <w:tr>
        <w:tc>
          <w:tcPr>
            <w:tcW w:w="868" w:type="dxa"/>
          </w:tcPr>
          <w:p>
            <w:pPr/>
            <w:r>
              <w:t xml:space="preserve">TC-10</w:t>
            </w:r>
          </w:p>
        </w:tc>
        <w:tc>
          <w:tcPr>
            <w:tcW w:w="750" w:type="dxa"/>
          </w:tcPr>
          <w:p>
            <w:pPr/>
            <w:r>
              <w:t xml:space="preserve">F</w:t>
            </w:r>
          </w:p>
        </w:tc>
        <w:tc>
          <w:tcPr>
            <w:tcW w:w="1770" w:type="dxa"/>
          </w:tcPr>
          <w:p>
            <w:pPr/>
            <w:r>
              <w:t xml:space="preserve">Run two predictions as Clinician A; log in as Clinician B and open History</w:t>
            </w:r>
          </w:p>
        </w:tc>
        <w:tc>
          <w:tcPr>
            <w:tcW w:w="1670" w:type="dxa"/>
          </w:tcPr>
          <w:p>
            <w:pPr/>
            <w:r>
              <w:t xml:space="preserve">A sees both records (newest first, 20 per page, with model version); B does not see them</w:t>
            </w:r>
          </w:p>
        </w:tc>
        <w:tc>
          <w:tcPr>
            <w:tcW w:w="788" w:type="dxa"/>
          </w:tcPr>
          <w:p>
            <w:pPr/>
            <w:r>
              <w:t xml:space="preserve">FR-19, FR-20, FR-24</w:t>
            </w:r>
          </w:p>
        </w:tc>
        <w:tc>
          <w:tcPr>
            <w:tcW w:w="2485" w:type="dxa"/>
          </w:tcPr>
          <w:p>
            <w:pPr/>
            <w:r>
              <w:rPr>
                <w:rStyle w:val="CodeChar"/>
              </w:rPr>
              <w:t xml:space="preserve">test_tc10_history_isolation</w:t>
            </w:r>
            <w:r>
              <w:t xml:space="preserve">: A sees 1 record, B sees 0</w:t>
            </w:r>
          </w:p>
        </w:tc>
        <w:tc>
          <w:tcPr>
            <w:tcW w:w="1028" w:type="dxa"/>
          </w:tcPr>
          <w:p>
            <w:pPr/>
            <w:r>
              <w:t xml:space="preserve">Pass</w:t>
            </w:r>
          </w:p>
        </w:tc>
      </w:tr>
      <w:tr>
        <w:tc>
          <w:tcPr>
            <w:tcW w:w="868" w:type="dxa"/>
          </w:tcPr>
          <w:p>
            <w:pPr/>
            <w:r>
              <w:t xml:space="preserve">TC-11</w:t>
            </w:r>
          </w:p>
        </w:tc>
        <w:tc>
          <w:tcPr>
            <w:tcW w:w="750" w:type="dxa"/>
          </w:tcPr>
          <w:p>
            <w:pPr/>
            <w:r>
              <w:t xml:space="preserve">S</w:t>
            </w:r>
          </w:p>
        </w:tc>
        <w:tc>
          <w:tcPr>
            <w:tcW w:w="1770" w:type="dxa"/>
          </w:tcPr>
          <w:p>
            <w:pPr/>
            <w:r>
              <w:t xml:space="preserve">Call an admin API (create user) with a Clinician token</w:t>
            </w:r>
          </w:p>
        </w:tc>
        <w:tc>
          <w:tcPr>
            <w:tcW w:w="1670" w:type="dxa"/>
          </w:tcPr>
          <w:p>
            <w:pPr/>
            <w:r>
              <w:t xml:space="preserve">HTTP 403 and no change in data</w:t>
            </w:r>
          </w:p>
        </w:tc>
        <w:tc>
          <w:tcPr>
            <w:tcW w:w="788" w:type="dxa"/>
          </w:tcPr>
          <w:p>
            <w:pPr/>
            <w:r>
              <w:t xml:space="preserve">FR-02, SEC-04</w:t>
            </w:r>
          </w:p>
        </w:tc>
        <w:tc>
          <w:tcPr>
            <w:tcW w:w="2485" w:type="dxa"/>
          </w:tcPr>
          <w:p>
            <w:pPr/>
            <w:r>
              <w:rPr>
                <w:rStyle w:val="CodeChar"/>
              </w:rPr>
              <w:t xml:space="preserve">test_tc11_rbac</w:t>
            </w:r>
            <w:r>
              <w:t xml:space="preserve">: 403</w:t>
            </w:r>
          </w:p>
        </w:tc>
        <w:tc>
          <w:tcPr>
            <w:tcW w:w="1028" w:type="dxa"/>
          </w:tcPr>
          <w:p>
            <w:pPr/>
            <w:r>
              <w:t xml:space="preserve">Pass</w:t>
            </w:r>
          </w:p>
        </w:tc>
      </w:tr>
      <w:tr>
        <w:tc>
          <w:tcPr>
            <w:tcW w:w="868" w:type="dxa"/>
          </w:tcPr>
          <w:p>
            <w:pPr/>
            <w:r>
              <w:t xml:space="preserve">TC-12</w:t>
            </w:r>
          </w:p>
        </w:tc>
        <w:tc>
          <w:tcPr>
            <w:tcW w:w="750" w:type="dxa"/>
          </w:tcPr>
          <w:p>
            <w:pPr/>
            <w:r>
              <w:t xml:space="preserve">S</w:t>
            </w:r>
          </w:p>
        </w:tc>
        <w:tc>
          <w:tcPr>
            <w:tcW w:w="1770" w:type="dxa"/>
          </w:tcPr>
          <w:p>
            <w:pPr/>
            <w:r>
              <w:t xml:space="preserve">Enter ' OR '1'='1 and &lt;script&gt;alert(1)&lt;/script&gt; in every text field and API parameter</w:t>
            </w:r>
          </w:p>
        </w:tc>
        <w:tc>
          <w:tcPr>
            <w:tcW w:w="1670" w:type="dxa"/>
          </w:tcPr>
          <w:p>
            <w:pPr/>
            <w:r>
              <w:t xml:space="preserve">Input rejected or sanitized; no database error, no script executes</w:t>
            </w:r>
          </w:p>
        </w:tc>
        <w:tc>
          <w:tcPr>
            <w:tcW w:w="788" w:type="dxa"/>
          </w:tcPr>
          <w:p>
            <w:pPr/>
            <w:r>
              <w:t xml:space="preserve">SEC-06</w:t>
            </w:r>
          </w:p>
        </w:tc>
        <w:tc>
          <w:tcPr>
            <w:tcW w:w="2485" w:type="dxa"/>
          </w:tcPr>
          <w:p>
            <w:pPr/>
            <w:r>
              <w:rPr>
                <w:rStyle w:val="CodeChar"/>
              </w:rPr>
              <w:t xml:space="preserve">test_tc12_injection_strings</w:t>
            </w:r>
            <w:r>
              <w:t xml:space="preserve">: login with SQL string returns 401; script in a numeric field returns 400; text in </w:t>
            </w:r>
            <w:r>
              <w:rPr>
                <w:rStyle w:val="CodeChar"/>
              </w:rPr>
              <w:t xml:space="preserve">patient_ref</w:t>
            </w:r>
            <w:r>
              <w:t xml:space="preserve"> is stored safely; database intact. Browser rendering and an OWASP ZAP scan not yet done</w:t>
            </w:r>
          </w:p>
        </w:tc>
        <w:tc>
          <w:tcPr>
            <w:tcW w:w="1028" w:type="dxa"/>
          </w:tcPr>
          <w:p>
            <w:pPr/>
            <w:r>
              <w:t xml:space="preserve">Pass (API)</w:t>
            </w:r>
          </w:p>
        </w:tc>
      </w:tr>
      <w:tr>
        <w:tc>
          <w:tcPr>
            <w:tcW w:w="868" w:type="dxa"/>
          </w:tcPr>
          <w:p>
            <w:pPr/>
            <w:r>
              <w:t xml:space="preserve">TC-13</w:t>
            </w:r>
          </w:p>
        </w:tc>
        <w:tc>
          <w:tcPr>
            <w:tcW w:w="750" w:type="dxa"/>
          </w:tcPr>
          <w:p>
            <w:pPr/>
            <w:r>
              <w:t xml:space="preserve">NF</w:t>
            </w:r>
          </w:p>
        </w:tc>
        <w:tc>
          <w:tcPr>
            <w:tcW w:w="1770" w:type="dxa"/>
          </w:tcPr>
          <w:p>
            <w:pPr/>
            <w:r>
              <w:t xml:space="preserve">Load test: 50 concurrent users submit valid records for 10 minutes</w:t>
            </w:r>
          </w:p>
        </w:tc>
        <w:tc>
          <w:tcPr>
            <w:tcW w:w="1670" w:type="dxa"/>
          </w:tcPr>
          <w:p>
            <w:pPr/>
            <w:r>
              <w:t xml:space="preserve">At least 95% of predictions return within 3 seconds</w:t>
            </w:r>
          </w:p>
        </w:tc>
        <w:tc>
          <w:tcPr>
            <w:tcW w:w="788" w:type="dxa"/>
          </w:tcPr>
          <w:p>
            <w:pPr/>
            <w:r>
              <w:t xml:space="preserve">NFR-01</w:t>
            </w:r>
          </w:p>
        </w:tc>
        <w:tc>
          <w:tcPr>
            <w:tcW w:w="2485" w:type="dxa"/>
          </w:tcPr>
          <w:p>
            <w:pPr/>
            <w:r>
              <w:t xml:space="preserve">Load tool not yet run</w:t>
            </w:r>
          </w:p>
        </w:tc>
        <w:tc>
          <w:tcPr>
            <w:tcW w:w="1028" w:type="dxa"/>
          </w:tcPr>
          <w:p>
            <w:pPr/>
            <w:r>
              <w:t xml:space="preserve">Not run</w:t>
            </w:r>
          </w:p>
        </w:tc>
      </w:tr>
      <w:tr>
        <w:tc>
          <w:tcPr>
            <w:tcW w:w="868" w:type="dxa"/>
          </w:tcPr>
          <w:p>
            <w:pPr/>
            <w:r>
              <w:t xml:space="preserve">TC-14</w:t>
            </w:r>
          </w:p>
        </w:tc>
        <w:tc>
          <w:tcPr>
            <w:tcW w:w="750" w:type="dxa"/>
          </w:tcPr>
          <w:p>
            <w:pPr/>
            <w:r>
              <w:t xml:space="preserve">NF</w:t>
            </w:r>
          </w:p>
        </w:tc>
        <w:tc>
          <w:tcPr>
            <w:tcW w:w="1770" w:type="dxa"/>
          </w:tcPr>
          <w:p>
            <w:pPr/>
            <w:r>
              <w:t xml:space="preserve">Load test: 200 concurrent users, compare with the 50-user result</w:t>
            </w:r>
          </w:p>
        </w:tc>
        <w:tc>
          <w:tcPr>
            <w:tcW w:w="1670" w:type="dxa"/>
          </w:tcPr>
          <w:p>
            <w:pPr/>
            <w:r>
              <w:t xml:space="preserve">Response time rises by no more than 25%</w:t>
            </w:r>
          </w:p>
        </w:tc>
        <w:tc>
          <w:tcPr>
            <w:tcW w:w="788" w:type="dxa"/>
          </w:tcPr>
          <w:p>
            <w:pPr/>
            <w:r>
              <w:t xml:space="preserve">NFR-03</w:t>
            </w:r>
          </w:p>
        </w:tc>
        <w:tc>
          <w:tcPr>
            <w:tcW w:w="2485" w:type="dxa"/>
          </w:tcPr>
          <w:p>
            <w:pPr/>
            <w:r>
              <w:t xml:space="preserve">Load tool not yet run</w:t>
            </w:r>
          </w:p>
        </w:tc>
        <w:tc>
          <w:tcPr>
            <w:tcW w:w="1028" w:type="dxa"/>
          </w:tcPr>
          <w:p>
            <w:pPr/>
            <w:r>
              <w:t xml:space="preserve">Not run</w:t>
            </w:r>
          </w:p>
        </w:tc>
      </w:tr>
      <w:tr>
        <w:tc>
          <w:tcPr>
            <w:tcW w:w="868" w:type="dxa"/>
          </w:tcPr>
          <w:p>
            <w:pPr/>
            <w:r>
              <w:t xml:space="preserve">TC-15</w:t>
            </w:r>
          </w:p>
        </w:tc>
        <w:tc>
          <w:tcPr>
            <w:tcW w:w="750" w:type="dxa"/>
          </w:tcPr>
          <w:p>
            <w:pPr/>
            <w:r>
              <w:t xml:space="preserve">S</w:t>
            </w:r>
          </w:p>
        </w:tc>
        <w:tc>
          <w:tcPr>
            <w:tcW w:w="1770" w:type="dxa"/>
          </w:tcPr>
          <w:p>
            <w:pPr/>
            <w:r>
              <w:t xml:space="preserve">Alter one byte of the model file and restart the service</w:t>
            </w:r>
          </w:p>
        </w:tc>
        <w:tc>
          <w:tcPr>
            <w:tcW w:w="1670" w:type="dxa"/>
          </w:tcPr>
          <w:p>
            <w:pPr/>
            <w:r>
              <w:t xml:space="preserve">Model fails checksum verification and is not loaded; error logged</w:t>
            </w:r>
          </w:p>
        </w:tc>
        <w:tc>
          <w:tcPr>
            <w:tcW w:w="788" w:type="dxa"/>
          </w:tcPr>
          <w:p>
            <w:pPr/>
            <w:r>
              <w:t xml:space="preserve">SEC-07, FR-22</w:t>
            </w:r>
          </w:p>
        </w:tc>
        <w:tc>
          <w:tcPr>
            <w:tcW w:w="2485" w:type="dxa"/>
          </w:tcPr>
          <w:p>
            <w:pPr/>
            <w:r>
              <w:rPr>
                <w:rStyle w:val="CodeChar"/>
              </w:rPr>
              <w:t xml:space="preserve">test_tampered_model_blocked</w:t>
            </w:r>
            <w:r>
              <w:t xml:space="preserve">: tampered file refused, 503, warning logged</w:t>
            </w:r>
          </w:p>
        </w:tc>
        <w:tc>
          <w:tcPr>
            <w:tcW w:w="1028" w:type="dxa"/>
          </w:tcPr>
          <w:p>
            <w:pPr/>
            <w:r>
              <w:t xml:space="preserve">Pass</w:t>
            </w:r>
          </w:p>
        </w:tc>
      </w:tr>
      <w:tr>
        <w:tc>
          <w:tcPr>
            <w:tcW w:w="868" w:type="dxa"/>
          </w:tcPr>
          <w:p>
            <w:pPr/>
            <w:r>
              <w:t xml:space="preserve">TC-16</w:t>
            </w:r>
          </w:p>
        </w:tc>
        <w:tc>
          <w:tcPr>
            <w:tcW w:w="750" w:type="dxa"/>
          </w:tcPr>
          <w:p>
            <w:pPr/>
            <w:r>
              <w:t xml:space="preserve">NF</w:t>
            </w:r>
          </w:p>
        </w:tc>
        <w:tc>
          <w:tcPr>
            <w:tcW w:w="1770" w:type="dxa"/>
          </w:tcPr>
          <w:p>
            <w:pPr/>
            <w:r>
              <w:t xml:space="preserve">Submit the same record 100 times with the same model version</w:t>
            </w:r>
          </w:p>
        </w:tc>
        <w:tc>
          <w:tcPr>
            <w:tcW w:w="1670" w:type="dxa"/>
          </w:tcPr>
          <w:p>
            <w:pPr/>
            <w:r>
              <w:t xml:space="preserve">All 100 outputs are identical</w:t>
            </w:r>
          </w:p>
        </w:tc>
        <w:tc>
          <w:tcPr>
            <w:tcW w:w="788" w:type="dxa"/>
          </w:tcPr>
          <w:p>
            <w:pPr/>
            <w:r>
              <w:t xml:space="preserve">NFR-07</w:t>
            </w:r>
          </w:p>
        </w:tc>
        <w:tc>
          <w:tcPr>
            <w:tcW w:w="2485" w:type="dxa"/>
          </w:tcPr>
          <w:p>
            <w:pPr/>
            <w:r>
              <w:rPr>
                <w:rStyle w:val="CodeChar"/>
              </w:rPr>
              <w:t xml:space="preserve">test_tc16_repeatability_100_runs</w:t>
            </w:r>
            <w:r>
              <w:t xml:space="preserve">: 1 distinct output over 100 calls (stand-in model; repeat once with the real models)</w:t>
            </w:r>
          </w:p>
        </w:tc>
        <w:tc>
          <w:tcPr>
            <w:tcW w:w="1028" w:type="dxa"/>
          </w:tcPr>
          <w:p>
            <w:pPr/>
            <w:r>
              <w:t xml:space="preserve">Pass</w:t>
            </w:r>
          </w:p>
        </w:tc>
      </w:tr>
      <w:tr>
        <w:tc>
          <w:tcPr>
            <w:tcW w:w="868" w:type="dxa"/>
          </w:tcPr>
          <w:p>
            <w:pPr/>
            <w:r>
              <w:t xml:space="preserve">TC-17</w:t>
            </w:r>
          </w:p>
        </w:tc>
        <w:tc>
          <w:tcPr>
            <w:tcW w:w="750" w:type="dxa"/>
          </w:tcPr>
          <w:p>
            <w:pPr/>
            <w:r>
              <w:t xml:space="preserve">S</w:t>
            </w:r>
          </w:p>
        </w:tc>
        <w:tc>
          <w:tcPr>
            <w:tcW w:w="1770" w:type="dxa"/>
          </w:tcPr>
          <w:p>
            <w:pPr/>
            <w:r>
              <w:t xml:space="preserve">Register a user with a 6-character password; then inspect the password column</w:t>
            </w:r>
          </w:p>
        </w:tc>
        <w:tc>
          <w:tcPr>
            <w:tcW w:w="1670" w:type="dxa"/>
          </w:tcPr>
          <w:p>
            <w:pPr/>
            <w:r>
              <w:t xml:space="preserve">Weak password rejected; stored passwords are salted hashes</w:t>
            </w:r>
          </w:p>
        </w:tc>
        <w:tc>
          <w:tcPr>
            <w:tcW w:w="788" w:type="dxa"/>
          </w:tcPr>
          <w:p>
            <w:pPr/>
            <w:r>
              <w:t xml:space="preserve">SEC-01</w:t>
            </w:r>
          </w:p>
        </w:tc>
        <w:tc>
          <w:tcPr>
            <w:tcW w:w="2485" w:type="dxa"/>
          </w:tcPr>
          <w:p>
            <w:pPr/>
            <w:r>
              <w:rPr>
                <w:rStyle w:val="CodeChar"/>
              </w:rPr>
              <w:t xml:space="preserve">test_tc17_password_policy</w:t>
            </w:r>
            <w:r>
              <w:t xml:space="preserve">: 400. </w:t>
            </w:r>
            <w:r>
              <w:rPr>
                <w:rStyle w:val="CodeChar"/>
              </w:rPr>
              <w:t xml:space="preserve">test_tc17_hash_is_bcrypt</w:t>
            </w:r>
            <w:r>
              <w:t xml:space="preserve">: stored value starts with the bcrypt prefix and is not the password</w:t>
            </w:r>
          </w:p>
        </w:tc>
        <w:tc>
          <w:tcPr>
            <w:tcW w:w="1028" w:type="dxa"/>
          </w:tcPr>
          <w:p>
            <w:pPr/>
            <w:r>
              <w:t xml:space="preserve">Pass</w:t>
            </w:r>
          </w:p>
        </w:tc>
      </w:tr>
      <w:tr>
        <w:tc>
          <w:tcPr>
            <w:tcW w:w="868" w:type="dxa"/>
          </w:tcPr>
          <w:p>
            <w:pPr/>
            <w:r>
              <w:t xml:space="preserve">TC-18</w:t>
            </w:r>
          </w:p>
        </w:tc>
        <w:tc>
          <w:tcPr>
            <w:tcW w:w="750" w:type="dxa"/>
          </w:tcPr>
          <w:p>
            <w:pPr/>
            <w:r>
              <w:t xml:space="preserve">S</w:t>
            </w:r>
          </w:p>
        </w:tc>
        <w:tc>
          <w:tcPr>
            <w:tcW w:w="1770" w:type="dxa"/>
          </w:tcPr>
          <w:p>
            <w:pPr/>
            <w:r>
              <w:t xml:space="preserve">Open the site over HTTP and scan the server with an SSL/TLS tool</w:t>
            </w:r>
          </w:p>
        </w:tc>
        <w:tc>
          <w:tcPr>
            <w:tcW w:w="1670" w:type="dxa"/>
          </w:tcPr>
          <w:p>
            <w:pPr/>
            <w:r>
              <w:t xml:space="preserve">HTTP refused or redirected; only TLS 1.2 or higher accepted</w:t>
            </w:r>
          </w:p>
        </w:tc>
        <w:tc>
          <w:tcPr>
            <w:tcW w:w="788" w:type="dxa"/>
          </w:tcPr>
          <w:p>
            <w:pPr/>
            <w:r>
              <w:t xml:space="preserve">SEC-03</w:t>
            </w:r>
          </w:p>
        </w:tc>
        <w:tc>
          <w:tcPr>
            <w:tcW w:w="2485" w:type="dxa"/>
          </w:tcPr>
          <w:p>
            <w:pPr/>
            <w:r>
              <w:t xml:space="preserve">The development server has no TLS; needs a reverse proxy to test</w:t>
            </w:r>
          </w:p>
        </w:tc>
        <w:tc>
          <w:tcPr>
            <w:tcW w:w="1028" w:type="dxa"/>
          </w:tcPr>
          <w:p>
            <w:pPr/>
            <w:r>
              <w:t xml:space="preserve">Not run</w:t>
            </w:r>
          </w:p>
        </w:tc>
      </w:tr>
      <w:tr>
        <w:tc>
          <w:tcPr>
            <w:tcW w:w="868" w:type="dxa"/>
          </w:tcPr>
          <w:p>
            <w:pPr/>
            <w:r>
              <w:t xml:space="preserve">TC-19</w:t>
            </w:r>
          </w:p>
        </w:tc>
        <w:tc>
          <w:tcPr>
            <w:tcW w:w="750" w:type="dxa"/>
          </w:tcPr>
          <w:p>
            <w:pPr/>
            <w:r>
              <w:t xml:space="preserve">S</w:t>
            </w:r>
          </w:p>
        </w:tc>
        <w:tc>
          <w:tcPr>
            <w:tcW w:w="1770" w:type="dxa"/>
          </w:tcPr>
          <w:p>
            <w:pPr/>
            <w:r>
              <w:t xml:space="preserve">Perform login, prediction, record deletion and model activation</w:t>
            </w:r>
          </w:p>
        </w:tc>
        <w:tc>
          <w:tcPr>
            <w:tcW w:w="1670" w:type="dxa"/>
          </w:tcPr>
          <w:p>
            <w:pPr/>
            <w:r>
              <w:t xml:space="preserve">Each action creates an audit entry with user, action, timestamp and IP</w:t>
            </w:r>
          </w:p>
        </w:tc>
        <w:tc>
          <w:tcPr>
            <w:tcW w:w="788" w:type="dxa"/>
          </w:tcPr>
          <w:p>
            <w:pPr/>
            <w:r>
              <w:t xml:space="preserve">SEC-05</w:t>
            </w:r>
          </w:p>
        </w:tc>
        <w:tc>
          <w:tcPr>
            <w:tcW w:w="2485" w:type="dxa"/>
          </w:tcPr>
          <w:p>
            <w:pPr/>
            <w:r>
              <w:rPr>
                <w:rStyle w:val="CodeChar"/>
              </w:rPr>
              <w:t xml:space="preserve">test_tc19_audit_entries</w:t>
            </w:r>
            <w:r>
              <w:t xml:space="preserve">: login, prediction, deletion and model_activation entries all present with the four fields</w:t>
            </w:r>
          </w:p>
        </w:tc>
        <w:tc>
          <w:tcPr>
            <w:tcW w:w="1028" w:type="dxa"/>
          </w:tcPr>
          <w:p>
            <w:pPr/>
            <w:r>
              <w:t xml:space="preserve">Pass</w:t>
            </w:r>
          </w:p>
        </w:tc>
      </w:tr>
      <w:tr>
        <w:tc>
          <w:tcPr>
            <w:tcW w:w="868" w:type="dxa"/>
          </w:tcPr>
          <w:p>
            <w:pPr/>
            <w:r>
              <w:t xml:space="preserve">TC-20</w:t>
            </w:r>
          </w:p>
        </w:tc>
        <w:tc>
          <w:tcPr>
            <w:tcW w:w="750" w:type="dxa"/>
          </w:tcPr>
          <w:p>
            <w:pPr/>
            <w:r>
              <w:t xml:space="preserve">S</w:t>
            </w:r>
          </w:p>
        </w:tc>
        <w:tc>
          <w:tcPr>
            <w:tcW w:w="1770" w:type="dxa"/>
          </w:tcPr>
          <w:p>
            <w:pPr/>
            <w:r>
              <w:t xml:space="preserve">Call the ML microservice endpoint directly from a machine outside the internal network</w:t>
            </w:r>
          </w:p>
        </w:tc>
        <w:tc>
          <w:tcPr>
            <w:tcW w:w="1670" w:type="dxa"/>
          </w:tcPr>
          <w:p>
            <w:pPr/>
            <w:r>
              <w:t xml:space="preserve">Connection refused or blocked</w:t>
            </w:r>
          </w:p>
        </w:tc>
        <w:tc>
          <w:tcPr>
            <w:tcW w:w="788" w:type="dxa"/>
          </w:tcPr>
          <w:p>
            <w:pPr/>
            <w:r>
              <w:t xml:space="preserve">SEC-08</w:t>
            </w:r>
          </w:p>
        </w:tc>
        <w:tc>
          <w:tcPr>
            <w:tcW w:w="2485" w:type="dxa"/>
          </w:tcPr>
          <w:p>
            <w:pPr/>
            <w:r>
              <w:t xml:space="preserve">Needs the Docker Compose or Kubernetes network; not yet run</w:t>
            </w:r>
          </w:p>
        </w:tc>
        <w:tc>
          <w:tcPr>
            <w:tcW w:w="1028" w:type="dxa"/>
          </w:tcPr>
          <w:p>
            <w:pPr/>
            <w:r>
              <w:t xml:space="preserve">Not run</w:t>
            </w:r>
          </w:p>
        </w:tc>
      </w:tr>
      <w:tr>
        <w:tc>
          <w:tcPr>
            <w:tcW w:w="868" w:type="dxa"/>
          </w:tcPr>
          <w:p>
            <w:pPr/>
            <w:r>
              <w:t xml:space="preserve">TC-21</w:t>
            </w:r>
          </w:p>
        </w:tc>
        <w:tc>
          <w:tcPr>
            <w:tcW w:w="750" w:type="dxa"/>
          </w:tcPr>
          <w:p>
            <w:pPr/>
            <w:r>
              <w:t xml:space="preserve">S</w:t>
            </w:r>
          </w:p>
        </w:tc>
        <w:tc>
          <w:tcPr>
            <w:tcW w:w="1770" w:type="dxa"/>
          </w:tcPr>
          <w:p>
            <w:pPr/>
            <w:r>
              <w:t xml:space="preserve">Send 70 requests in one minute as one user</w:t>
            </w:r>
          </w:p>
        </w:tc>
        <w:tc>
          <w:tcPr>
            <w:tcW w:w="1670" w:type="dxa"/>
          </w:tcPr>
          <w:p>
            <w:pPr/>
            <w:r>
              <w:t xml:space="preserve">Requests above 60 per minute are throttled (HTTP 429)</w:t>
            </w:r>
          </w:p>
        </w:tc>
        <w:tc>
          <w:tcPr>
            <w:tcW w:w="788" w:type="dxa"/>
          </w:tcPr>
          <w:p>
            <w:pPr/>
            <w:r>
              <w:t xml:space="preserve">SEC-09</w:t>
            </w:r>
          </w:p>
        </w:tc>
        <w:tc>
          <w:tcPr>
            <w:tcW w:w="2485" w:type="dxa"/>
          </w:tcPr>
          <w:p>
            <w:pPr/>
            <w:r>
              <w:rPr>
                <w:rStyle w:val="CodeChar"/>
              </w:rPr>
              <w:t xml:space="preserve">test_tc21_rate_limit</w:t>
            </w:r>
            <w:r>
              <w:t xml:space="preserve">, </w:t>
            </w:r>
            <w:r>
              <w:rPr>
                <w:rStyle w:val="CodeChar"/>
              </w:rPr>
              <w:t xml:space="preserve">test_tc21_retry_after_header</w:t>
            </w:r>
            <w:r>
              <w:t xml:space="preserve">: 429 with </w:t>
            </w:r>
            <w:r>
              <w:rPr>
                <w:rStyle w:val="CodeChar"/>
              </w:rPr>
              <w:t xml:space="preserve">Retry-After: 60</w:t>
            </w:r>
          </w:p>
        </w:tc>
        <w:tc>
          <w:tcPr>
            <w:tcW w:w="1028" w:type="dxa"/>
          </w:tcPr>
          <w:p>
            <w:pPr/>
            <w:r>
              <w:t xml:space="preserve">Pass</w:t>
            </w:r>
          </w:p>
        </w:tc>
      </w:tr>
      <w:tr>
        <w:tc>
          <w:tcPr>
            <w:tcW w:w="868" w:type="dxa"/>
          </w:tcPr>
          <w:p>
            <w:pPr/>
            <w:r>
              <w:t xml:space="preserve">TC-22</w:t>
            </w:r>
          </w:p>
        </w:tc>
        <w:tc>
          <w:tcPr>
            <w:tcW w:w="750" w:type="dxa"/>
          </w:tcPr>
          <w:p>
            <w:pPr/>
            <w:r>
              <w:t xml:space="preserve">NF</w:t>
            </w:r>
          </w:p>
        </w:tc>
        <w:tc>
          <w:tcPr>
            <w:tcW w:w="1770" w:type="dxa"/>
          </w:tcPr>
          <w:p>
            <w:pPr/>
            <w:r>
              <w:t xml:space="preserve">Evaluate the active model on the held-out validation set</w:t>
            </w:r>
          </w:p>
        </w:tc>
        <w:tc>
          <w:tcPr>
            <w:tcW w:w="1670" w:type="dxa"/>
          </w:tcPr>
          <w:p>
            <w:pPr/>
            <w:r>
              <w:t xml:space="preserve">Accuracy at least 85% and recall at least 85%</w:t>
            </w:r>
          </w:p>
        </w:tc>
        <w:tc>
          <w:tcPr>
            <w:tcW w:w="788" w:type="dxa"/>
          </w:tcPr>
          <w:p>
            <w:pPr/>
            <w:r>
              <w:t xml:space="preserve">NFR-06</w:t>
            </w:r>
          </w:p>
        </w:tc>
        <w:tc>
          <w:tcPr>
            <w:tcW w:w="2485" w:type="dxa"/>
          </w:tcPr>
          <w:p>
            <w:pPr/>
            <w:r>
              <w:t xml:space="preserve">ML 90.2% accuracy and 93.1% recall; DL 87.0% and 91.2%; </w:t>
            </w:r>
            <w:r>
              <w:rPr>
                <w:b/>
                <w:bCs/>
              </w:rPr>
              <w:t xml:space="preserve">QML 78.8% and 83.3%</w:t>
            </w:r>
            <w:r>
              <w:t xml:space="preserve">. Only validated models are served (</w:t>
            </w:r>
            <w:r>
              <w:rPr>
                <w:rStyle w:val="CodeChar"/>
              </w:rPr>
              <w:t xml:space="preserve">test_tc22_only_validated_models_used</w:t>
            </w:r>
            <w:r>
              <w:t xml:space="preserve">)</w:t>
            </w:r>
          </w:p>
        </w:tc>
        <w:tc>
          <w:tcPr>
            <w:tcW w:w="1028" w:type="dxa"/>
          </w:tcPr>
          <w:p>
            <w:pPr/>
            <w:r>
              <w:t xml:space="preserve">Partial: ML, DL pass; QML fails</w:t>
            </w:r>
          </w:p>
        </w:tc>
      </w:tr>
      <w:tr>
        <w:tc>
          <w:tcPr>
            <w:tcW w:w="868" w:type="dxa"/>
          </w:tcPr>
          <w:p>
            <w:pPr/>
            <w:r>
              <w:t xml:space="preserve">TC-23</w:t>
            </w:r>
          </w:p>
        </w:tc>
        <w:tc>
          <w:tcPr>
            <w:tcW w:w="750" w:type="dxa"/>
          </w:tcPr>
          <w:p>
            <w:pPr/>
            <w:r>
              <w:t xml:space="preserve">NF</w:t>
            </w:r>
          </w:p>
        </w:tc>
        <w:tc>
          <w:tcPr>
            <w:tcW w:w="1770" w:type="dxa"/>
          </w:tcPr>
          <w:p>
            <w:pPr/>
            <w:r>
              <w:t xml:space="preserve">Open and run a full prediction on Chrome, Firefox, Edge and Safari</w:t>
            </w:r>
          </w:p>
        </w:tc>
        <w:tc>
          <w:tcPr>
            <w:tcW w:w="1670" w:type="dxa"/>
          </w:tcPr>
          <w:p>
            <w:pPr/>
            <w:r>
              <w:t xml:space="preserve">Layout and results are correct on all four</w:t>
            </w:r>
          </w:p>
        </w:tc>
        <w:tc>
          <w:tcPr>
            <w:tcW w:w="788" w:type="dxa"/>
          </w:tcPr>
          <w:p>
            <w:pPr/>
            <w:r>
              <w:t xml:space="preserve">NFR-11</w:t>
            </w:r>
          </w:p>
        </w:tc>
        <w:tc>
          <w:tcPr>
            <w:tcW w:w="2485" w:type="dxa"/>
          </w:tcPr>
          <w:p>
            <w:pPr/>
            <w:r>
              <w:t xml:space="preserve">Not yet run</w:t>
            </w:r>
          </w:p>
        </w:tc>
        <w:tc>
          <w:tcPr>
            <w:tcW w:w="1028" w:type="dxa"/>
          </w:tcPr>
          <w:p>
            <w:pPr/>
            <w:r>
              <w:t xml:space="preserve">Not run</w:t>
            </w:r>
          </w:p>
        </w:tc>
      </w:tr>
      <w:tr>
        <w:tc>
          <w:tcPr>
            <w:tcW w:w="868" w:type="dxa"/>
          </w:tcPr>
          <w:p>
            <w:pPr/>
            <w:r>
              <w:t xml:space="preserve">TC-24</w:t>
            </w:r>
          </w:p>
        </w:tc>
        <w:tc>
          <w:tcPr>
            <w:tcW w:w="750" w:type="dxa"/>
          </w:tcPr>
          <w:p>
            <w:pPr/>
            <w:r>
              <w:t xml:space="preserve">F</w:t>
            </w:r>
          </w:p>
        </w:tc>
        <w:tc>
          <w:tcPr>
            <w:tcW w:w="1770" w:type="dxa"/>
          </w:tcPr>
          <w:p>
            <w:pPr/>
            <w:r>
              <w:t xml:space="preserve">Stay inactive for 15 minutes after login</w:t>
            </w:r>
          </w:p>
        </w:tc>
        <w:tc>
          <w:tcPr>
            <w:tcW w:w="1670" w:type="dxa"/>
          </w:tcPr>
          <w:p>
            <w:pPr/>
            <w:r>
              <w:t xml:space="preserve">Session ends and login is required again</w:t>
            </w:r>
          </w:p>
        </w:tc>
        <w:tc>
          <w:tcPr>
            <w:tcW w:w="788" w:type="dxa"/>
          </w:tcPr>
          <w:p>
            <w:pPr/>
            <w:r>
              <w:t xml:space="preserve">FR-03</w:t>
            </w:r>
          </w:p>
        </w:tc>
        <w:tc>
          <w:tcPr>
            <w:tcW w:w="2485" w:type="dxa"/>
          </w:tcPr>
          <w:p>
            <w:pPr/>
            <w:r>
              <w:rPr>
                <w:rStyle w:val="CodeChar"/>
              </w:rPr>
              <w:t xml:space="preserve">test_tc24_session_expiry</w:t>
            </w:r>
            <w:r>
              <w:t xml:space="preserve">: expired token refused with 401; new token lifetime is about 15 minutes. A real 15-minute idle wait was not done</w:t>
            </w:r>
          </w:p>
        </w:tc>
        <w:tc>
          <w:tcPr>
            <w:tcW w:w="1028" w:type="dxa"/>
          </w:tcPr>
          <w:p>
            <w:pPr/>
            <w:r>
              <w:t xml:space="preserve">Pass</w:t>
            </w:r>
          </w:p>
        </w:tc>
      </w:tr>
      <w:tr>
        <w:tc>
          <w:tcPr>
            <w:tcW w:w="868" w:type="dxa"/>
          </w:tcPr>
          <w:p>
            <w:pPr/>
            <w:r>
              <w:t xml:space="preserve">TC-25</w:t>
            </w:r>
          </w:p>
        </w:tc>
        <w:tc>
          <w:tcPr>
            <w:tcW w:w="750" w:type="dxa"/>
          </w:tcPr>
          <w:p>
            <w:pPr/>
            <w:r>
              <w:t xml:space="preserve">NF</w:t>
            </w:r>
          </w:p>
        </w:tc>
        <w:tc>
          <w:tcPr>
            <w:tcW w:w="1770" w:type="dxa"/>
          </w:tcPr>
          <w:p>
            <w:pPr/>
            <w:r>
              <w:t xml:space="preserve">Give 10 new clinicians a 10-minute introduction, then ask each to complete one prediction</w:t>
            </w:r>
          </w:p>
        </w:tc>
        <w:tc>
          <w:tcPr>
            <w:tcW w:w="1670" w:type="dxa"/>
          </w:tcPr>
          <w:p>
            <w:pPr/>
            <w:r>
              <w:t xml:space="preserve">At least 9 of 10 finish unaided in under 2 minutes</w:t>
            </w:r>
          </w:p>
        </w:tc>
        <w:tc>
          <w:tcPr>
            <w:tcW w:w="788" w:type="dxa"/>
          </w:tcPr>
          <w:p>
            <w:pPr/>
            <w:r>
              <w:t xml:space="preserve">NFR-09</w:t>
            </w:r>
          </w:p>
        </w:tc>
        <w:tc>
          <w:tcPr>
            <w:tcW w:w="2485" w:type="dxa"/>
          </w:tcPr>
          <w:p>
            <w:pPr/>
            <w:r>
              <w:t xml:space="preserve">Usability study not yet run</w:t>
            </w:r>
          </w:p>
        </w:tc>
        <w:tc>
          <w:tcPr>
            <w:tcW w:w="1028" w:type="dxa"/>
          </w:tcPr>
          <w:p>
            <w:pPr/>
            <w:r>
              <w:t xml:space="preserve">Not run</w:t>
            </w:r>
          </w:p>
        </w:tc>
      </w:tr>
    </w:tbl>
    <w:p>
      <w:pPr>
        <w:pStyle w:val="Heading3"/>
      </w:pPr>
      <w:r>
        <w:t xml:space="preserve">18.2 Requirements Traceability Matrix</w:t>
      </w:r>
    </w:p>
    <w:tbl>
      <w:tblPr>
        <w:tblStyle w:val="TableGrid"/>
        <w:tblW w:w="0" w:type="auto"/>
        <w:tblLayout w:type="fixed"/>
        <w:tblLook w:val="04A0" w:firstRow="1" w:lastRow="0" w:firstColumn="0" w:lastColumn="0" w:noHBand="0" w:noVBand="1"/>
      </w:tblPr>
      <w:tblGrid>
        <w:gridCol w:w="3108"/>
        <w:gridCol w:w="6251"/>
      </w:tblGrid>
      <w:tr>
        <w:trPr>
          <w:tblHeader/>
        </w:trPr>
        <w:tc>
          <w:tcPr>
            <w:tcW w:w="3108" w:type="dxa"/>
            <w:shd w:val="clear" w:color="auto" w:fill="F2F2F2"/>
          </w:tcPr>
          <w:p>
            <w:pPr/>
            <w:r>
              <w:t xml:space="preserve">SRS requirement</w:t>
            </w:r>
          </w:p>
        </w:tc>
        <w:tc>
          <w:tcPr>
            <w:tcW w:w="6251" w:type="dxa"/>
            <w:shd w:val="clear" w:color="auto" w:fill="F2F2F2"/>
          </w:tcPr>
          <w:p>
            <w:pPr/>
            <w:r>
              <w:t xml:space="preserve">Test case(s)</w:t>
            </w:r>
          </w:p>
        </w:tc>
      </w:tr>
      <w:tr>
        <w:tc>
          <w:tcPr>
            <w:tcW w:w="3108" w:type="dxa"/>
          </w:tcPr>
          <w:p>
            <w:pPr/>
            <w:r>
              <w:t xml:space="preserve">FR-01</w:t>
            </w:r>
          </w:p>
        </w:tc>
        <w:tc>
          <w:tcPr>
            <w:tcW w:w="6251" w:type="dxa"/>
          </w:tcPr>
          <w:p>
            <w:pPr/>
            <w:r>
              <w:t xml:space="preserve">TC-01</w:t>
            </w:r>
          </w:p>
        </w:tc>
      </w:tr>
      <w:tr>
        <w:tc>
          <w:tcPr>
            <w:tcW w:w="3108" w:type="dxa"/>
          </w:tcPr>
          <w:p>
            <w:pPr/>
            <w:r>
              <w:t xml:space="preserve">FR-02</w:t>
            </w:r>
          </w:p>
        </w:tc>
        <w:tc>
          <w:tcPr>
            <w:tcW w:w="6251" w:type="dxa"/>
          </w:tcPr>
          <w:p>
            <w:pPr/>
            <w:r>
              <w:t xml:space="preserve">TC-11</w:t>
            </w:r>
          </w:p>
        </w:tc>
      </w:tr>
      <w:tr>
        <w:tc>
          <w:tcPr>
            <w:tcW w:w="3108" w:type="dxa"/>
          </w:tcPr>
          <w:p>
            <w:pPr/>
            <w:r>
              <w:t xml:space="preserve">FR-03</w:t>
            </w:r>
          </w:p>
        </w:tc>
        <w:tc>
          <w:tcPr>
            <w:tcW w:w="6251" w:type="dxa"/>
          </w:tcPr>
          <w:p>
            <w:pPr/>
            <w:r>
              <w:t xml:space="preserve">TC-24</w:t>
            </w:r>
          </w:p>
        </w:tc>
      </w:tr>
      <w:tr>
        <w:tc>
          <w:tcPr>
            <w:tcW w:w="3108" w:type="dxa"/>
          </w:tcPr>
          <w:p>
            <w:pPr/>
            <w:r>
              <w:t xml:space="preserve">FR-04</w:t>
            </w:r>
          </w:p>
        </w:tc>
        <w:tc>
          <w:tcPr>
            <w:tcW w:w="6251" w:type="dxa"/>
          </w:tcPr>
          <w:p>
            <w:pPr/>
            <w:r>
              <w:t xml:space="preserve">TC-05</w:t>
            </w:r>
          </w:p>
        </w:tc>
      </w:tr>
      <w:tr>
        <w:tc>
          <w:tcPr>
            <w:tcW w:w="3108" w:type="dxa"/>
          </w:tcPr>
          <w:p>
            <w:pPr/>
            <w:r>
              <w:t xml:space="preserve">FR-05</w:t>
            </w:r>
          </w:p>
        </w:tc>
        <w:tc>
          <w:tcPr>
            <w:tcW w:w="6251" w:type="dxa"/>
          </w:tcPr>
          <w:p>
            <w:pPr/>
            <w:r>
              <w:t xml:space="preserve">TC-03, TC-04</w:t>
            </w:r>
          </w:p>
        </w:tc>
      </w:tr>
      <w:tr>
        <w:tc>
          <w:tcPr>
            <w:tcW w:w="3108" w:type="dxa"/>
          </w:tcPr>
          <w:p>
            <w:pPr/>
            <w:r>
              <w:t xml:space="preserve">FR-06</w:t>
            </w:r>
          </w:p>
        </w:tc>
        <w:tc>
          <w:tcPr>
            <w:tcW w:w="6251" w:type="dxa"/>
          </w:tcPr>
          <w:p>
            <w:pPr/>
            <w:r>
              <w:t xml:space="preserve">TC-03</w:t>
            </w:r>
          </w:p>
        </w:tc>
      </w:tr>
      <w:tr>
        <w:tc>
          <w:tcPr>
            <w:tcW w:w="3108" w:type="dxa"/>
          </w:tcPr>
          <w:p>
            <w:pPr/>
            <w:r>
              <w:t xml:space="preserve">FR-07, FR-08</w:t>
            </w:r>
          </w:p>
        </w:tc>
        <w:tc>
          <w:tcPr>
            <w:tcW w:w="6251" w:type="dxa"/>
          </w:tcPr>
          <w:p>
            <w:pPr/>
            <w:r>
              <w:t xml:space="preserve">TC-05 (preprocessing check), TC-16</w:t>
            </w:r>
          </w:p>
        </w:tc>
      </w:tr>
      <w:tr>
        <w:tc>
          <w:tcPr>
            <w:tcW w:w="3108" w:type="dxa"/>
          </w:tcPr>
          <w:p>
            <w:pPr/>
            <w:r>
              <w:t xml:space="preserve">FR-09, FR-10, FR-11</w:t>
            </w:r>
          </w:p>
        </w:tc>
        <w:tc>
          <w:tcPr>
            <w:tcW w:w="6251" w:type="dxa"/>
          </w:tcPr>
          <w:p>
            <w:pPr/>
            <w:r>
              <w:t xml:space="preserve">TC-05</w:t>
            </w:r>
          </w:p>
        </w:tc>
      </w:tr>
      <w:tr>
        <w:tc>
          <w:tcPr>
            <w:tcW w:w="3108" w:type="dxa"/>
          </w:tcPr>
          <w:p>
            <w:pPr/>
            <w:r>
              <w:t xml:space="preserve">FR-12</w:t>
            </w:r>
          </w:p>
        </w:tc>
        <w:tc>
          <w:tcPr>
            <w:tcW w:w="6251" w:type="dxa"/>
          </w:tcPr>
          <w:p>
            <w:pPr/>
            <w:r>
              <w:t xml:space="preserve">TC-06</w:t>
            </w:r>
          </w:p>
        </w:tc>
      </w:tr>
      <w:tr>
        <w:tc>
          <w:tcPr>
            <w:tcW w:w="3108" w:type="dxa"/>
          </w:tcPr>
          <w:p>
            <w:pPr/>
            <w:r>
              <w:t xml:space="preserve">FR-13, FR-14</w:t>
            </w:r>
          </w:p>
        </w:tc>
        <w:tc>
          <w:tcPr>
            <w:tcW w:w="6251" w:type="dxa"/>
          </w:tcPr>
          <w:p>
            <w:pPr/>
            <w:r>
              <w:t xml:space="preserve">TC-07</w:t>
            </w:r>
          </w:p>
        </w:tc>
      </w:tr>
      <w:tr>
        <w:tc>
          <w:tcPr>
            <w:tcW w:w="3108" w:type="dxa"/>
          </w:tcPr>
          <w:p>
            <w:pPr/>
            <w:r>
              <w:t xml:space="preserve">FR-15</w:t>
            </w:r>
          </w:p>
        </w:tc>
        <w:tc>
          <w:tcPr>
            <w:tcW w:w="6251" w:type="dxa"/>
          </w:tcPr>
          <w:p>
            <w:pPr/>
            <w:r>
              <w:t xml:space="preserve">TC-05 (run once per model: ML, DL; QML blocked while unvalidated)</w:t>
            </w:r>
          </w:p>
        </w:tc>
      </w:tr>
      <w:tr>
        <w:tc>
          <w:tcPr>
            <w:tcW w:w="3108" w:type="dxa"/>
          </w:tcPr>
          <w:p>
            <w:pPr/>
            <w:r>
              <w:t xml:space="preserve">FR-16</w:t>
            </w:r>
          </w:p>
        </w:tc>
        <w:tc>
          <w:tcPr>
            <w:tcW w:w="6251" w:type="dxa"/>
          </w:tcPr>
          <w:p>
            <w:pPr/>
            <w:r>
              <w:t xml:space="preserve">TC-08</w:t>
            </w:r>
          </w:p>
        </w:tc>
      </w:tr>
      <w:tr>
        <w:tc>
          <w:tcPr>
            <w:tcW w:w="3108" w:type="dxa"/>
          </w:tcPr>
          <w:p>
            <w:pPr/>
            <w:r>
              <w:t xml:space="preserve">FR-17, FR-18</w:t>
            </w:r>
          </w:p>
        </w:tc>
        <w:tc>
          <w:tcPr>
            <w:tcW w:w="6251" w:type="dxa"/>
          </w:tcPr>
          <w:p>
            <w:pPr/>
            <w:r>
              <w:t xml:space="preserve">TC-09</w:t>
            </w:r>
          </w:p>
        </w:tc>
      </w:tr>
      <w:tr>
        <w:tc>
          <w:tcPr>
            <w:tcW w:w="3108" w:type="dxa"/>
          </w:tcPr>
          <w:p>
            <w:pPr/>
            <w:r>
              <w:t xml:space="preserve">FR-19, FR-20, FR-24</w:t>
            </w:r>
          </w:p>
        </w:tc>
        <w:tc>
          <w:tcPr>
            <w:tcW w:w="6251" w:type="dxa"/>
          </w:tcPr>
          <w:p>
            <w:pPr/>
            <w:r>
              <w:t xml:space="preserve">TC-10</w:t>
            </w:r>
          </w:p>
        </w:tc>
      </w:tr>
      <w:tr>
        <w:tc>
          <w:tcPr>
            <w:tcW w:w="3108" w:type="dxa"/>
          </w:tcPr>
          <w:p>
            <w:pPr/>
            <w:r>
              <w:t xml:space="preserve">FR-21</w:t>
            </w:r>
          </w:p>
        </w:tc>
        <w:tc>
          <w:tcPr>
            <w:tcW w:w="6251" w:type="dxa"/>
          </w:tcPr>
          <w:p>
            <w:pPr/>
            <w:r>
              <w:t xml:space="preserve">TC-19 (deletion step)</w:t>
            </w:r>
          </w:p>
        </w:tc>
      </w:tr>
      <w:tr>
        <w:tc>
          <w:tcPr>
            <w:tcW w:w="3108" w:type="dxa"/>
          </w:tcPr>
          <w:p>
            <w:pPr/>
            <w:r>
              <w:t xml:space="preserve">FR-22</w:t>
            </w:r>
          </w:p>
        </w:tc>
        <w:tc>
          <w:tcPr>
            <w:tcW w:w="6251" w:type="dxa"/>
          </w:tcPr>
          <w:p>
            <w:pPr/>
            <w:r>
              <w:t xml:space="preserve">TC-15, TC-22</w:t>
            </w:r>
          </w:p>
        </w:tc>
      </w:tr>
      <w:tr>
        <w:tc>
          <w:tcPr>
            <w:tcW w:w="3108" w:type="dxa"/>
          </w:tcPr>
          <w:p>
            <w:pPr/>
            <w:r>
              <w:t xml:space="preserve">FR-23</w:t>
            </w:r>
          </w:p>
        </w:tc>
        <w:tc>
          <w:tcPr>
            <w:tcW w:w="6251" w:type="dxa"/>
          </w:tcPr>
          <w:p>
            <w:pPr/>
            <w:r>
              <w:t xml:space="preserve">TC-15 (activation step), TC-19</w:t>
            </w:r>
          </w:p>
        </w:tc>
      </w:tr>
      <w:tr>
        <w:tc>
          <w:tcPr>
            <w:tcW w:w="3108" w:type="dxa"/>
          </w:tcPr>
          <w:p>
            <w:pPr/>
            <w:r>
              <w:t xml:space="preserve">NFR-01</w:t>
            </w:r>
          </w:p>
        </w:tc>
        <w:tc>
          <w:tcPr>
            <w:tcW w:w="6251" w:type="dxa"/>
          </w:tcPr>
          <w:p>
            <w:pPr/>
            <w:r>
              <w:t xml:space="preserve">TC-13</w:t>
            </w:r>
          </w:p>
        </w:tc>
      </w:tr>
      <w:tr>
        <w:tc>
          <w:tcPr>
            <w:tcW w:w="3108" w:type="dxa"/>
          </w:tcPr>
          <w:p>
            <w:pPr/>
            <w:r>
              <w:t xml:space="preserve">NFR-03</w:t>
            </w:r>
          </w:p>
        </w:tc>
        <w:tc>
          <w:tcPr>
            <w:tcW w:w="6251" w:type="dxa"/>
          </w:tcPr>
          <w:p>
            <w:pPr/>
            <w:r>
              <w:t xml:space="preserve">TC-14</w:t>
            </w:r>
          </w:p>
        </w:tc>
      </w:tr>
      <w:tr>
        <w:tc>
          <w:tcPr>
            <w:tcW w:w="3108" w:type="dxa"/>
          </w:tcPr>
          <w:p>
            <w:pPr/>
            <w:r>
              <w:t xml:space="preserve">NFR-04, NFR-12</w:t>
            </w:r>
          </w:p>
        </w:tc>
        <w:tc>
          <w:tcPr>
            <w:tcW w:w="6251" w:type="dxa"/>
          </w:tcPr>
          <w:p>
            <w:pPr/>
            <w:r>
              <w:t xml:space="preserve">TC-07</w:t>
            </w:r>
          </w:p>
        </w:tc>
      </w:tr>
      <w:tr>
        <w:tc>
          <w:tcPr>
            <w:tcW w:w="3108" w:type="dxa"/>
          </w:tcPr>
          <w:p>
            <w:pPr/>
            <w:r>
              <w:t xml:space="preserve">NFR-06</w:t>
            </w:r>
          </w:p>
        </w:tc>
        <w:tc>
          <w:tcPr>
            <w:tcW w:w="6251" w:type="dxa"/>
          </w:tcPr>
          <w:p>
            <w:pPr/>
            <w:r>
              <w:t xml:space="preserve">TC-22</w:t>
            </w:r>
          </w:p>
        </w:tc>
      </w:tr>
      <w:tr>
        <w:tc>
          <w:tcPr>
            <w:tcW w:w="3108" w:type="dxa"/>
          </w:tcPr>
          <w:p>
            <w:pPr/>
            <w:r>
              <w:t xml:space="preserve">NFR-07</w:t>
            </w:r>
          </w:p>
        </w:tc>
        <w:tc>
          <w:tcPr>
            <w:tcW w:w="6251" w:type="dxa"/>
          </w:tcPr>
          <w:p>
            <w:pPr/>
            <w:r>
              <w:t xml:space="preserve">TC-16</w:t>
            </w:r>
          </w:p>
        </w:tc>
      </w:tr>
      <w:tr>
        <w:tc>
          <w:tcPr>
            <w:tcW w:w="3108" w:type="dxa"/>
          </w:tcPr>
          <w:p>
            <w:pPr/>
            <w:r>
              <w:t xml:space="preserve">NFR-09</w:t>
            </w:r>
          </w:p>
        </w:tc>
        <w:tc>
          <w:tcPr>
            <w:tcW w:w="6251" w:type="dxa"/>
          </w:tcPr>
          <w:p>
            <w:pPr/>
            <w:r>
              <w:t xml:space="preserve">TC-25</w:t>
            </w:r>
          </w:p>
        </w:tc>
      </w:tr>
      <w:tr>
        <w:tc>
          <w:tcPr>
            <w:tcW w:w="3108" w:type="dxa"/>
          </w:tcPr>
          <w:p>
            <w:pPr/>
            <w:r>
              <w:t xml:space="preserve">NFR-11</w:t>
            </w:r>
          </w:p>
        </w:tc>
        <w:tc>
          <w:tcPr>
            <w:tcW w:w="6251" w:type="dxa"/>
          </w:tcPr>
          <w:p>
            <w:pPr/>
            <w:r>
              <w:t xml:space="preserve">TC-23</w:t>
            </w:r>
          </w:p>
        </w:tc>
      </w:tr>
      <w:tr>
        <w:tc>
          <w:tcPr>
            <w:tcW w:w="3108" w:type="dxa"/>
          </w:tcPr>
          <w:p>
            <w:pPr/>
            <w:r>
              <w:t xml:space="preserve">SEC-01</w:t>
            </w:r>
          </w:p>
        </w:tc>
        <w:tc>
          <w:tcPr>
            <w:tcW w:w="6251" w:type="dxa"/>
          </w:tcPr>
          <w:p>
            <w:pPr/>
            <w:r>
              <w:t xml:space="preserve">TC-17</w:t>
            </w:r>
          </w:p>
        </w:tc>
      </w:tr>
      <w:tr>
        <w:tc>
          <w:tcPr>
            <w:tcW w:w="3108" w:type="dxa"/>
          </w:tcPr>
          <w:p>
            <w:pPr/>
            <w:r>
              <w:t xml:space="preserve">SEC-02</w:t>
            </w:r>
          </w:p>
        </w:tc>
        <w:tc>
          <w:tcPr>
            <w:tcW w:w="6251" w:type="dxa"/>
          </w:tcPr>
          <w:p>
            <w:pPr/>
            <w:r>
              <w:t xml:space="preserve">TC-02</w:t>
            </w:r>
          </w:p>
        </w:tc>
      </w:tr>
      <w:tr>
        <w:tc>
          <w:tcPr>
            <w:tcW w:w="3108" w:type="dxa"/>
          </w:tcPr>
          <w:p>
            <w:pPr/>
            <w:r>
              <w:t xml:space="preserve">SEC-03</w:t>
            </w:r>
          </w:p>
        </w:tc>
        <w:tc>
          <w:tcPr>
            <w:tcW w:w="6251" w:type="dxa"/>
          </w:tcPr>
          <w:p>
            <w:pPr/>
            <w:r>
              <w:t xml:space="preserve">TC-18</w:t>
            </w:r>
          </w:p>
        </w:tc>
      </w:tr>
      <w:tr>
        <w:tc>
          <w:tcPr>
            <w:tcW w:w="3108" w:type="dxa"/>
          </w:tcPr>
          <w:p>
            <w:pPr/>
            <w:r>
              <w:t xml:space="preserve">SEC-04</w:t>
            </w:r>
          </w:p>
        </w:tc>
        <w:tc>
          <w:tcPr>
            <w:tcW w:w="6251" w:type="dxa"/>
          </w:tcPr>
          <w:p>
            <w:pPr/>
            <w:r>
              <w:t xml:space="preserve">TC-11</w:t>
            </w:r>
          </w:p>
        </w:tc>
      </w:tr>
      <w:tr>
        <w:tc>
          <w:tcPr>
            <w:tcW w:w="3108" w:type="dxa"/>
          </w:tcPr>
          <w:p>
            <w:pPr/>
            <w:r>
              <w:t xml:space="preserve">SEC-05</w:t>
            </w:r>
          </w:p>
        </w:tc>
        <w:tc>
          <w:tcPr>
            <w:tcW w:w="6251" w:type="dxa"/>
          </w:tcPr>
          <w:p>
            <w:pPr/>
            <w:r>
              <w:t xml:space="preserve">TC-19</w:t>
            </w:r>
          </w:p>
        </w:tc>
      </w:tr>
      <w:tr>
        <w:tc>
          <w:tcPr>
            <w:tcW w:w="3108" w:type="dxa"/>
          </w:tcPr>
          <w:p>
            <w:pPr/>
            <w:r>
              <w:t xml:space="preserve">SEC-06</w:t>
            </w:r>
          </w:p>
        </w:tc>
        <w:tc>
          <w:tcPr>
            <w:tcW w:w="6251" w:type="dxa"/>
          </w:tcPr>
          <w:p>
            <w:pPr/>
            <w:r>
              <w:t xml:space="preserve">TC-12</w:t>
            </w:r>
          </w:p>
        </w:tc>
      </w:tr>
      <w:tr>
        <w:tc>
          <w:tcPr>
            <w:tcW w:w="3108" w:type="dxa"/>
          </w:tcPr>
          <w:p>
            <w:pPr/>
            <w:r>
              <w:t xml:space="preserve">SEC-07</w:t>
            </w:r>
          </w:p>
        </w:tc>
        <w:tc>
          <w:tcPr>
            <w:tcW w:w="6251" w:type="dxa"/>
          </w:tcPr>
          <w:p>
            <w:pPr/>
            <w:r>
              <w:t xml:space="preserve">TC-15</w:t>
            </w:r>
          </w:p>
        </w:tc>
      </w:tr>
      <w:tr>
        <w:tc>
          <w:tcPr>
            <w:tcW w:w="3108" w:type="dxa"/>
          </w:tcPr>
          <w:p>
            <w:pPr/>
            <w:r>
              <w:t xml:space="preserve">SEC-08</w:t>
            </w:r>
          </w:p>
        </w:tc>
        <w:tc>
          <w:tcPr>
            <w:tcW w:w="6251" w:type="dxa"/>
          </w:tcPr>
          <w:p>
            <w:pPr/>
            <w:r>
              <w:t xml:space="preserve">TC-20</w:t>
            </w:r>
          </w:p>
        </w:tc>
      </w:tr>
      <w:tr>
        <w:tc>
          <w:tcPr>
            <w:tcW w:w="3108" w:type="dxa"/>
          </w:tcPr>
          <w:p>
            <w:pPr/>
            <w:r>
              <w:t xml:space="preserve">SEC-09</w:t>
            </w:r>
          </w:p>
        </w:tc>
        <w:tc>
          <w:tcPr>
            <w:tcW w:w="6251" w:type="dxa"/>
          </w:tcPr>
          <w:p>
            <w:pPr/>
            <w:r>
              <w:t xml:space="preserve">TC-21</w:t>
            </w:r>
          </w:p>
        </w:tc>
      </w:tr>
    </w:tbl>
    <w:p>
      <w:pPr/>
      <w:r>
        <w:t xml:space="preserve">Not covered by a dedicated case: NFR-02, NFR-05, NFR-08, NFR-10, NFR-13, SEC-10 and the full FR-23. NFR-10 was checked by measuring coverage (73%); NFR-05 is checked by </w:t>
      </w:r>
      <w:r>
        <w:rPr>
          <w:rStyle w:val="CodeChar"/>
        </w:rPr>
        <w:t xml:space="preserve">test_tc05_07_prediction</w:t>
      </w:r>
      <w:r>
        <w:t xml:space="preserve"> and the stored record fields; the rest are verified by inspection or remain open and are reported in SRS Appendix D.</w:t>
      </w:r>
    </w:p>
    <w:p>
      <w:pPr>
        <w:pStyle w:val="Heading2"/>
      </w:pPr>
      <w:r>
        <w:t xml:space="preserve">19 Test Execution Summary</w:t>
      </w:r>
    </w:p>
    <w:tbl>
      <w:tblPr>
        <w:tblStyle w:val="TableGrid"/>
        <w:tblW w:w="0" w:type="auto"/>
        <w:tblLayout w:type="fixed"/>
        <w:tblLook w:val="04A0" w:firstRow="1" w:lastRow="0" w:firstColumn="0" w:lastColumn="0" w:noHBand="0" w:noVBand="1"/>
      </w:tblPr>
      <w:tblGrid>
        <w:gridCol w:w="3904"/>
        <w:gridCol w:w="5455"/>
      </w:tblGrid>
      <w:tr>
        <w:trPr>
          <w:tblHeader/>
        </w:trPr>
        <w:tc>
          <w:tcPr>
            <w:tcW w:w="3904" w:type="dxa"/>
            <w:shd w:val="clear" w:color="auto" w:fill="F2F2F2"/>
          </w:tcPr>
          <w:p>
            <w:pPr/>
            <w:r>
              <w:t xml:space="preserve">Measure</w:t>
            </w:r>
          </w:p>
        </w:tc>
        <w:tc>
          <w:tcPr>
            <w:tcW w:w="5455" w:type="dxa"/>
            <w:shd w:val="clear" w:color="auto" w:fill="F2F2F2"/>
          </w:tcPr>
          <w:p>
            <w:pPr/>
            <w:r>
              <w:t xml:space="preserve">Result</w:t>
            </w:r>
          </w:p>
        </w:tc>
      </w:tr>
      <w:tr>
        <w:tc>
          <w:tcPr>
            <w:tcW w:w="3904" w:type="dxa"/>
          </w:tcPr>
          <w:p>
            <w:pPr/>
            <w:r>
              <w:t xml:space="preserve">Total test cases designed</w:t>
            </w:r>
          </w:p>
        </w:tc>
        <w:tc>
          <w:tcPr>
            <w:tcW w:w="5455" w:type="dxa"/>
          </w:tcPr>
          <w:p>
            <w:pPr/>
            <w:r>
              <w:t xml:space="preserve">25</w:t>
            </w:r>
          </w:p>
        </w:tc>
      </w:tr>
      <w:tr>
        <w:tc>
          <w:tcPr>
            <w:tcW w:w="3904" w:type="dxa"/>
          </w:tcPr>
          <w:p>
            <w:pPr/>
            <w:r>
              <w:t xml:space="preserve">Test cases executed</w:t>
            </w:r>
          </w:p>
        </w:tc>
        <w:tc>
          <w:tcPr>
            <w:tcW w:w="5455" w:type="dxa"/>
          </w:tcPr>
          <w:p>
            <w:pPr/>
            <w:r>
              <w:t xml:space="preserve">18</w:t>
            </w:r>
          </w:p>
        </w:tc>
      </w:tr>
      <w:tr>
        <w:tc>
          <w:tcPr>
            <w:tcW w:w="3904" w:type="dxa"/>
          </w:tcPr>
          <w:p>
            <w:pPr/>
            <w:r>
              <w:t xml:space="preserve">Passed</w:t>
            </w:r>
          </w:p>
        </w:tc>
        <w:tc>
          <w:tcPr>
            <w:tcW w:w="5455" w:type="dxa"/>
          </w:tcPr>
          <w:p>
            <w:pPr/>
            <w:r>
              <w:t xml:space="preserve">17</w:t>
            </w:r>
          </w:p>
        </w:tc>
      </w:tr>
      <w:tr>
        <w:tc>
          <w:tcPr>
            <w:tcW w:w="3904" w:type="dxa"/>
          </w:tcPr>
          <w:p>
            <w:pPr/>
            <w:r>
              <w:t xml:space="preserve">Failed or partial</w:t>
            </w:r>
          </w:p>
        </w:tc>
        <w:tc>
          <w:tcPr>
            <w:tcW w:w="5455" w:type="dxa"/>
          </w:tcPr>
          <w:p>
            <w:pPr/>
            <w:r>
              <w:t xml:space="preserve">1 (TC-22: QML below 85%; ML and DL pass)</w:t>
            </w:r>
          </w:p>
        </w:tc>
      </w:tr>
      <w:tr>
        <w:tc>
          <w:tcPr>
            <w:tcW w:w="3904" w:type="dxa"/>
          </w:tcPr>
          <w:p>
            <w:pPr/>
            <w:r>
              <w:t xml:space="preserve">Not run</w:t>
            </w:r>
          </w:p>
        </w:tc>
        <w:tc>
          <w:tcPr>
            <w:tcW w:w="5455" w:type="dxa"/>
          </w:tcPr>
          <w:p>
            <w:pPr/>
            <w:r>
              <w:t xml:space="preserve">7 (TC-08, TC-13, TC-14, TC-18, TC-20, TC-23, TC-25)</w:t>
            </w:r>
          </w:p>
        </w:tc>
      </w:tr>
      <w:tr>
        <w:tc>
          <w:tcPr>
            <w:tcW w:w="3904" w:type="dxa"/>
          </w:tcPr>
          <w:p>
            <w:pPr/>
            <w:r>
              <w:t xml:space="preserve">Success rate of executed cases</w:t>
            </w:r>
          </w:p>
        </w:tc>
        <w:tc>
          <w:tcPr>
            <w:tcW w:w="5455" w:type="dxa"/>
          </w:tcPr>
          <w:p>
            <w:pPr/>
            <w:r>
              <w:t xml:space="preserve">94% (17 of 18)</w:t>
            </w:r>
          </w:p>
        </w:tc>
      </w:tr>
      <w:tr>
        <w:tc>
          <w:tcPr>
            <w:tcW w:w="3904" w:type="dxa"/>
          </w:tcPr>
          <w:p>
            <w:pPr/>
            <w:r>
              <w:t xml:space="preserve">Automated checks</w:t>
            </w:r>
          </w:p>
        </w:tc>
        <w:tc>
          <w:tcPr>
            <w:tcW w:w="5455" w:type="dxa"/>
          </w:tcPr>
          <w:p>
            <w:pPr/>
            <w:r>
              <w:t xml:space="preserve">28 pytest checks, all passing; coverage 73% of gateway, services and shared code</w:t>
            </w:r>
          </w:p>
        </w:tc>
      </w:tr>
    </w:tbl>
    <w:p>
      <w:pPr/>
      <w:r>
        <w:t xml:space="preserve">Several "Pass" results are API-level only (TC-01, TC-07, TC-09, TC-12); their on-screen parts are listed in Section 12.</w:t>
      </w:r>
    </w:p>
    <w:p>
      <w:pPr>
        <w:pStyle w:val="Heading2"/>
      </w:pPr>
      <w:r>
        <w:t xml:space="preserve">20 Conclusion</w:t>
      </w:r>
    </w:p>
    <w:p>
      <w:pPr/>
      <w:r>
        <w:t xml:space="preserve">The automated checks show that login, lockout, validation, risk categories, history isolation, role-based access, password hashing, audit logging, rate limiting, session expiry and model-integrity protection work as specified. The ML and DL models meet the 85% accuracy and recall targets (NFR-06) on the held-out set; the QML model does not (78.8% and 83.3%) and is therefore not served.</w:t>
      </w:r>
    </w:p>
    <w:p>
      <w:pPr/>
      <w:r>
        <w:t xml:space="preserve">The release criteria in Section 9 are </w:t>
      </w:r>
      <w:r>
        <w:rPr>
          <w:b/>
          <w:bCs/>
        </w:rPr>
        <w:t xml:space="preserve">not yet fully met</w:t>
      </w:r>
      <w:r>
        <w:t xml:space="preserve">: NFR-06 is not met for QML, NFR-01 and NFR-03 have not been measured, and 7 of 25 cases are unexecuted. The recommended release is therefore ML and DL only, with QML documented as a known limitation, after the manual UI, load, TLS, browser and usability cases are executed. The label is a proxy for ischemia, so no claim of clinical validity is made.</w:t>
      </w:r>
    </w:p>
    <w:p>
      <w:pPr>
        <w:pStyle w:val="Heading2"/>
      </w:pPr>
      <w:r>
        <w:t xml:space="preserve">21 Approvals</w:t>
      </w:r>
    </w:p>
    <w:tbl>
      <w:tblPr>
        <w:tblStyle w:val="TableGrid"/>
        <w:tblW w:w="0" w:type="auto"/>
        <w:tblLayout w:type="fixed"/>
        <w:tblLook w:val="04A0" w:firstRow="1" w:lastRow="0" w:firstColumn="0" w:lastColumn="0" w:noHBand="0" w:noVBand="1"/>
      </w:tblPr>
      <w:tblGrid>
        <w:gridCol w:w="1335"/>
        <w:gridCol w:w="4865"/>
        <w:gridCol w:w="3158"/>
      </w:tblGrid>
      <w:tr>
        <w:trPr>
          <w:tblHeader/>
        </w:trPr>
        <w:tc>
          <w:tcPr>
            <w:tcW w:w="1335" w:type="dxa"/>
            <w:shd w:val="clear" w:color="auto" w:fill="F2F2F2"/>
          </w:tcPr>
          <w:p>
            <w:pPr/>
            <w:r>
              <w:t xml:space="preserve">Name</w:t>
            </w:r>
          </w:p>
        </w:tc>
        <w:tc>
          <w:tcPr>
            <w:tcW w:w="4865" w:type="dxa"/>
            <w:shd w:val="clear" w:color="auto" w:fill="F2F2F2"/>
          </w:tcPr>
          <w:p>
            <w:pPr/>
            <w:r>
              <w:t xml:space="preserve">Role</w:t>
            </w:r>
          </w:p>
        </w:tc>
        <w:tc>
          <w:tcPr>
            <w:tcW w:w="3158" w:type="dxa"/>
            <w:shd w:val="clear" w:color="auto" w:fill="F2F2F2"/>
          </w:tcPr>
          <w:p>
            <w:pPr/>
            <w:r>
              <w:t xml:space="preserve">Signature / Date</w:t>
            </w:r>
          </w:p>
        </w:tc>
      </w:tr>
      <w:tr>
        <w:tc>
          <w:tcPr>
            <w:tcW w:w="1335" w:type="dxa"/>
          </w:tcPr>
          <w:p>
            <w:pPr/>
          </w:p>
        </w:tc>
        <w:tc>
          <w:tcPr>
            <w:tcW w:w="4865" w:type="dxa"/>
          </w:tcPr>
          <w:p>
            <w:pPr/>
            <w:r>
              <w:t xml:space="preserve">Developer</w:t>
            </w:r>
          </w:p>
        </w:tc>
        <w:tc>
          <w:tcPr>
            <w:tcW w:w="3158" w:type="dxa"/>
          </w:tcPr>
          <w:p>
            <w:pPr/>
          </w:p>
        </w:tc>
      </w:tr>
      <w:tr>
        <w:tc>
          <w:tcPr>
            <w:tcW w:w="1335" w:type="dxa"/>
          </w:tcPr>
          <w:p>
            <w:pPr/>
          </w:p>
        </w:tc>
        <w:tc>
          <w:tcPr>
            <w:tcW w:w="4865" w:type="dxa"/>
          </w:tcPr>
          <w:p>
            <w:pPr/>
            <w:r>
              <w:t xml:space="preserve">Tester</w:t>
            </w:r>
          </w:p>
        </w:tc>
        <w:tc>
          <w:tcPr>
            <w:tcW w:w="3158" w:type="dxa"/>
          </w:tcPr>
          <w:p>
            <w:pPr/>
          </w:p>
        </w:tc>
      </w:tr>
      <w:tr>
        <w:tc>
          <w:tcPr>
            <w:tcW w:w="1335" w:type="dxa"/>
          </w:tcPr>
          <w:p>
            <w:pPr/>
          </w:p>
        </w:tc>
        <w:tc>
          <w:tcPr>
            <w:tcW w:w="4865" w:type="dxa"/>
          </w:tcPr>
          <w:p>
            <w:pPr/>
            <w:r>
              <w:t xml:space="preserve">Project Guide / Supervisor</w:t>
            </w:r>
          </w:p>
        </w:tc>
        <w:tc>
          <w:tcPr>
            <w:tcW w:w="3158"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IEEE 829 Test Plan Ischemia Predictor</dc:title>
  <dc:description>Claude Docs node/394cb0b5-584c@7 docx-w8</dc:description>
  <cp:revision>7</cp:revision>
</cp:coreProperties>
</file>