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563A8"/>
          <w:sz w:val="40"/>
          <w:szCs w:val="40"/>
        </w:rPr>
        <w:t xml:space="preserve">Prédiction et cartographie des risques d'inondation au Sénégal</w:t>
      </w:r>
    </w:p>
    <w:p>
      <w:pPr>
        <w:spacing w:after="280"/>
      </w:pPr>
      <w:r>
        <w:rPr>
          <w:i/>
          <w:iCs/>
          <w:color w:val="666666"/>
          <w:sz w:val="20"/>
          <w:szCs w:val="20"/>
        </w:rPr>
        <w:t xml:space="preserve">20 septembre 2026 · Bineta Camara</w:t>
      </w:r>
    </w:p>
    <w:p>
      <w:pPr>
        <w:spacing w:after="160"/>
      </w:pPr>
      <w:r>
        <w:rPr>
          <w:b w:val="false"/>
          <w:bCs w:val="false"/>
          <w:i w:val="false"/>
          <w:iCs w:val="false"/>
        </w:rPr>
        <w:t xml:space="preserve">Ce rapport présente un modèle de machine learning prédisant la probabilité qu'une zone du Sénégal soit inondée pendant l'hivernage, à partir de 425 zones (38 localités) et dix hivernages d'observations (2015-2024), puis une cartographie des risques sous un scénario de pluie extrême, destinée à orienter les décisions de l'ONAS, de la Protection civile, des collectivités territoriales et de la DPGI.</w:t>
      </w:r>
    </w:p>
    <w:p>
      <w:pPr>
        <w:pStyle w:val="Heading1"/>
        <w:spacing w:after="200" w:before="360"/>
      </w:pPr>
      <w:r>
        <w:rPr>
          <w:b/>
          <w:bCs/>
          <w:color w:val="2563A8"/>
          <w:sz w:val="30"/>
          <w:szCs w:val="30"/>
        </w:rPr>
        <w:t xml:space="preserve">1. Contexte et enjeu</w:t>
      </w:r>
    </w:p>
    <w:p>
      <w:pPr>
        <w:spacing w:after="160"/>
      </w:pPr>
      <w:r>
        <w:t xml:space="preserve">Chaque hivernage, les inondations touchent durement la banlieue de Dakar (Pikine, Guédiawaye, Keur Massar, Yeumbeul), mais aussi Touba, Kaolack, Saint-Louis ou Ziguinchor. L'urbanisation des zones basses et des Niayes, la remontée de la nappe phréatique, l'insuffisance des réseaux d'assainissement et les pluies extrêmes en sont les principales causes.</w:t>
      </w:r>
    </w:p>
    <w:p>
      <w:pPr>
        <w:spacing w:after="160"/>
      </w:pPr>
      <w:r>
        <w:t xml:space="preserve">Anticiper les zones à risque permet à l'ONAS, à la Protection civile, aux collectivités territoriales et à la DPGI de cibler les pompages, les ouvrages de drainage et les alertes aux populations avant que la saison des pluies ne cause des dégâts.</w:t>
      </w:r>
    </w:p>
    <w:p>
      <w:pPr>
        <w:spacing w:after="160"/>
      </w:pPr>
      <w:r>
        <w:rPr>
          <w:b/>
          <w:bCs/>
          <w:i w:val="false"/>
          <w:iCs w:val="false"/>
        </w:rPr>
        <w:t xml:space="preserve">Objectif</w:t>
      </w:r>
      <w:r>
        <w:rPr>
          <w:b w:val="false"/>
          <w:bCs w:val="false"/>
          <w:i w:val="false"/>
          <w:iCs w:val="false"/>
        </w:rPr>
        <w:t xml:space="preserve"> : prédire la probabilité qu'une zone soit inondée au cours d'un hivernage à partir de ses caractéristiques physiques, urbaines et pluviométriques, puis produire une carte des niveaux de risque (faible, modéré, élevé, très élevé) à l'échelle nationale et pour la banlieue dakaroise.</w:t>
      </w:r>
    </w:p>
    <w:p>
      <w:pPr>
        <w:spacing w:after="160"/>
      </w:pPr>
      <w:r>
        <w:rPr>
          <w:b/>
          <w:bCs/>
          <w:i w:val="false"/>
          <w:iCs w:val="false"/>
        </w:rPr>
        <w:t xml:space="preserve">Données</w:t>
      </w:r>
      <w:r>
        <w:rPr>
          <w:b w:val="false"/>
          <w:bCs w:val="false"/>
          <w:i w:val="false"/>
          <w:iCs w:val="false"/>
        </w:rPr>
        <w:t xml:space="preserve"> : deux fichiers joints par </w:t>
      </w:r>
      <w:r>
        <w:rPr>
          <w:rFonts w:ascii="Consolas" w:cs="Consolas" w:eastAsia="Consolas" w:hAnsi="Consolas"/>
          <w:b w:val="false"/>
          <w:bCs w:val="false"/>
          <w:i w:val="false"/>
          <w:iCs w:val="false"/>
          <w:color w:val="AA3377"/>
        </w:rPr>
        <w:t xml:space="preserve">zone_id</w:t>
      </w:r>
      <w:r>
        <w:rPr>
          <w:b w:val="false"/>
          <w:bCs w:val="false"/>
          <w:i w:val="false"/>
          <w:iCs w:val="false"/>
        </w:rPr>
        <w:t xml:space="preserve"> — 425 zones géolocalisées dans 38 localités (caractéristiques fixes : altitude, pente, sol, occupation du sol, imperméabilisation, densité, assainissement, nappe, historique 2005-2014) et les observations des hivernages 2015-2024 (pluviométrie et variable cible </w:t>
      </w:r>
      <w:r>
        <w:rPr>
          <w:rFonts w:ascii="Consolas" w:cs="Consolas" w:eastAsia="Consolas" w:hAnsi="Consolas"/>
          <w:b w:val="false"/>
          <w:bCs w:val="false"/>
          <w:i w:val="false"/>
          <w:iCs w:val="false"/>
          <w:color w:val="AA3377"/>
        </w:rPr>
        <w:t xml:space="preserve">inondation</w:t>
      </w:r>
      <w:r>
        <w:rPr>
          <w:b w:val="false"/>
          <w:bCs w:val="false"/>
          <w:i w:val="false"/>
          <w:iCs w:val="false"/>
        </w:rPr>
        <w:t xml:space="preserve">). Données 100 % synthétiques, à visée pédagogique.</w:t>
      </w:r>
    </w:p>
    <w:p>
      <w:pPr>
        <w:pStyle w:val="Heading1"/>
        <w:spacing w:after="200" w:before="360"/>
      </w:pPr>
      <w:r>
        <w:rPr>
          <w:b/>
          <w:bCs/>
          <w:color w:val="2563A8"/>
          <w:sz w:val="30"/>
          <w:szCs w:val="30"/>
        </w:rPr>
        <w:t xml:space="preserve">2. Cadrage et méthodologie</w:t>
      </w:r>
    </w:p>
    <w:p>
      <w:pPr>
        <w:spacing w:after="160"/>
      </w:pPr>
      <w:r>
        <w:rPr>
          <w:b/>
          <w:bCs/>
          <w:i w:val="false"/>
          <w:iCs w:val="false"/>
        </w:rPr>
        <w:t xml:space="preserve">Type de problème</w:t>
      </w:r>
      <w:r>
        <w:rPr>
          <w:b w:val="false"/>
          <w:bCs w:val="false"/>
          <w:i w:val="false"/>
          <w:iCs w:val="false"/>
        </w:rPr>
        <w:t xml:space="preserve"> : classification binaire supervisée (</w:t>
      </w:r>
      <w:r>
        <w:rPr>
          <w:rFonts w:ascii="Consolas" w:cs="Consolas" w:eastAsia="Consolas" w:hAnsi="Consolas"/>
          <w:b w:val="false"/>
          <w:bCs w:val="false"/>
          <w:i w:val="false"/>
          <w:iCs w:val="false"/>
          <w:color w:val="AA3377"/>
        </w:rPr>
        <w:t xml:space="preserve">inondation</w:t>
      </w:r>
      <w:r>
        <w:rPr>
          <w:b w:val="false"/>
          <w:bCs w:val="false"/>
          <w:i w:val="false"/>
          <w:iCs w:val="false"/>
        </w:rPr>
        <w:t xml:space="preserve"> ∈ {0,1}), complétée par une analyse spatiale.</w:t>
      </w:r>
    </w:p>
    <w:p>
      <w:pPr>
        <w:spacing w:after="160"/>
      </w:pPr>
      <w:r>
        <w:rPr>
          <w:b/>
          <w:bCs/>
          <w:i w:val="false"/>
          <w:iCs w:val="false"/>
        </w:rPr>
        <w:t xml:space="preserve">Coût des erreurs</w:t>
      </w:r>
      <w:r>
        <w:rPr>
          <w:b w:val="false"/>
          <w:bCs w:val="false"/>
          <w:i w:val="false"/>
          <w:iCs w:val="false"/>
        </w:rPr>
        <w:t xml:space="preserve"> : un </w:t>
      </w:r>
      <w:r>
        <w:rPr>
          <w:b/>
          <w:bCs/>
          <w:i w:val="false"/>
          <w:iCs w:val="false"/>
        </w:rPr>
        <w:t xml:space="preserve">faux négatif</w:t>
      </w:r>
      <w:r>
        <w:rPr>
          <w:b w:val="false"/>
          <w:bCs w:val="false"/>
          <w:i w:val="false"/>
          <w:iCs w:val="false"/>
        </w:rPr>
        <w:t xml:space="preserve"> (manquer une zone qui sera inondée) est nettement plus grave qu'une </w:t>
      </w:r>
      <w:r>
        <w:rPr>
          <w:b/>
          <w:bCs/>
          <w:i w:val="false"/>
          <w:iCs w:val="false"/>
        </w:rPr>
        <w:t xml:space="preserve">fausse alerte</w:t>
      </w:r>
      <w:r>
        <w:rPr>
          <w:b w:val="false"/>
          <w:bCs w:val="false"/>
          <w:i w:val="false"/>
          <w:iCs w:val="false"/>
        </w:rPr>
        <w:t xml:space="preserve"> — il prive les autorités d'une anticipation possible. Le </w:t>
      </w:r>
      <w:r>
        <w:rPr>
          <w:b/>
          <w:bCs/>
          <w:i w:val="false"/>
          <w:iCs w:val="false"/>
        </w:rPr>
        <w:t xml:space="preserve">rappel (recall)</w:t>
      </w:r>
      <w:r>
        <w:rPr>
          <w:b w:val="false"/>
          <w:bCs w:val="false"/>
          <w:i w:val="false"/>
          <w:iCs w:val="false"/>
        </w:rPr>
        <w:t xml:space="preserve"> de la classe « inondation » est donc la métrique prioritaire, avec un objectif d'au moins 80 %.</w:t>
      </w:r>
    </w:p>
    <w:p>
      <w:pPr>
        <w:spacing w:after="160"/>
      </w:pPr>
      <w:r>
        <w:rPr>
          <w:b/>
          <w:bCs/>
          <w:i w:val="false"/>
          <w:iCs w:val="false"/>
        </w:rPr>
        <w:t xml:space="preserve">Jointure</w:t>
      </w:r>
      <w:r>
        <w:rPr>
          <w:b w:val="false"/>
          <w:bCs w:val="false"/>
          <w:i w:val="false"/>
          <w:iCs w:val="false"/>
        </w:rPr>
        <w:t xml:space="preserve"> : les 4 275 observations (2015-2024) sont fusionnées aux 425 zones via </w:t>
      </w:r>
      <w:r>
        <w:rPr>
          <w:rFonts w:ascii="Consolas" w:cs="Consolas" w:eastAsia="Consolas" w:hAnsi="Consolas"/>
          <w:b w:val="false"/>
          <w:bCs w:val="false"/>
          <w:i w:val="false"/>
          <w:iCs w:val="false"/>
          <w:color w:val="AA3377"/>
        </w:rPr>
        <w:t xml:space="preserve">zone_id</w:t>
      </w:r>
      <w:r>
        <w:rPr>
          <w:b w:val="false"/>
          <w:bCs w:val="false"/>
          <w:i w:val="false"/>
          <w:iCs w:val="false"/>
        </w:rPr>
        <w:t xml:space="preserve"> (clé intègre à 100 %, aucune zone orpheline).</w:t>
      </w:r>
    </w:p>
    <w:p>
      <w:pPr>
        <w:spacing w:after="160"/>
      </w:pPr>
      <w:r>
        <w:rPr>
          <w:b/>
          <w:bCs/>
          <w:i w:val="false"/>
          <w:iCs w:val="false"/>
        </w:rPr>
        <w:t xml:space="preserve">Ingénierie des variables</w:t>
      </w:r>
      <w:r>
        <w:rPr>
          <w:b w:val="false"/>
          <w:bCs w:val="false"/>
          <w:i w:val="false"/>
          <w:iCs w:val="false"/>
        </w:rPr>
        <w:t xml:space="preserve"> : log(distance au plan d'eau), indicateur « zone basse » (altitude relative à la médiane de la localité), indice pluie × imperméabilisation, score d'assainissement ordinal, fréquence historique normalisée (2005-2014), encodage one-hot du sol et de l'occupation du sol. La variable </w:t>
      </w:r>
      <w:r>
        <w:rPr>
          <w:rFonts w:ascii="Consolas" w:cs="Consolas" w:eastAsia="Consolas" w:hAnsi="Consolas"/>
          <w:b w:val="false"/>
          <w:bCs w:val="false"/>
          <w:i w:val="false"/>
          <w:iCs w:val="false"/>
          <w:color w:val="AA3377"/>
        </w:rPr>
        <w:t xml:space="preserve">duree_submersion_jours</w:t>
      </w:r>
      <w:r>
        <w:rPr>
          <w:b w:val="false"/>
          <w:bCs w:val="false"/>
          <w:i w:val="false"/>
          <w:iCs w:val="false"/>
        </w:rPr>
        <w:t xml:space="preserve"> est </w:t>
      </w:r>
      <w:r>
        <w:rPr>
          <w:b/>
          <w:bCs/>
          <w:i w:val="false"/>
          <w:iCs w:val="false"/>
        </w:rPr>
        <w:t xml:space="preserve">exclue</w:t>
      </w:r>
      <w:r>
        <w:rPr>
          <w:b w:val="false"/>
          <w:bCs w:val="false"/>
          <w:i w:val="false"/>
          <w:iCs w:val="false"/>
        </w:rPr>
        <w:t xml:space="preserve"> des variables explicatives : elle encode directement le résultat de l'inondation (fuite de données signalée dans le dictionnaire de données).</w:t>
      </w:r>
    </w:p>
    <w:p>
      <w:pPr>
        <w:spacing w:after="160"/>
      </w:pPr>
      <w:r>
        <w:rPr>
          <w:b/>
          <w:bCs/>
          <w:i w:val="false"/>
          <w:iCs w:val="false"/>
        </w:rPr>
        <w:t xml:space="preserve">Validation</w:t>
      </w:r>
      <w:r>
        <w:rPr>
          <w:b w:val="false"/>
          <w:bCs w:val="false"/>
          <w:i w:val="false"/>
          <w:iCs w:val="false"/>
        </w:rPr>
        <w:t xml:space="preserve"> : deux garde-fous contre la surestimation de la performance</w:t>
      </w:r>
    </w:p>
    <w:p>
      <w:pPr>
        <w:pStyle w:val="ListParagraph"/>
        <w:numPr>
          <w:ilvl w:val="0"/>
          <w:numId w:val="2"/>
        </w:numPr>
        <w:spacing w:after="140"/>
      </w:pPr>
      <w:r>
        <w:rPr>
          <w:i/>
          <w:iCs/>
        </w:rPr>
        <w:t xml:space="preserve">Validation temporelle</w:t>
      </w:r>
      <w:r>
        <w:t xml:space="preserve"> : l'hivernage </w:t>
      </w:r>
      <w:r>
        <w:rPr>
          <w:b/>
          <w:bCs/>
        </w:rPr>
        <w:t xml:space="preserve">2024 est réservé comme test</w:t>
      </w:r>
      <w:r>
        <w:t xml:space="preserve">, les années 2015-2023 servent à l'entraînement — le scénario le plus réaliste (prédire une année future).</w:t>
      </w:r>
    </w:p>
    <w:p>
      <w:pPr>
        <w:pStyle w:val="ListParagraph"/>
        <w:numPr>
          <w:ilvl w:val="0"/>
          <w:numId w:val="2"/>
        </w:numPr>
        <w:spacing w:after="140"/>
      </w:pPr>
      <w:r>
        <w:rPr>
          <w:i/>
          <w:iCs/>
        </w:rPr>
        <w:t xml:space="preserve">Validation spatiale</w:t>
      </w:r>
      <w:r>
        <w:t xml:space="preserve"> : sur le train, un </w:t>
      </w:r>
      <w:r>
        <w:rPr>
          <w:b/>
          <w:bCs/>
        </w:rPr>
        <w:t xml:space="preserve">GroupKFold à 5 blocs groupé par région</w:t>
      </w:r>
      <w:r>
        <w:t xml:space="preserve"> évite que des zones voisines (même région) se retrouvent à la fois en apprentissage et en validation, ce qui gonflerait artificiellement la performance (autocorrélation spatiale).</w:t>
      </w:r>
    </w:p>
    <w:p>
      <w:pPr>
        <w:spacing w:after="160"/>
      </w:pPr>
      <w:r>
        <w:rPr>
          <w:b/>
          <w:bCs/>
          <w:i w:val="false"/>
          <w:iCs w:val="false"/>
        </w:rPr>
        <w:t xml:space="preserve">Algorithmes</w:t>
      </w:r>
      <w:r>
        <w:rPr>
          <w:b w:val="false"/>
          <w:bCs w:val="false"/>
          <w:i w:val="false"/>
          <w:iCs w:val="false"/>
        </w:rPr>
        <w:t xml:space="preserve"> : Régression logistique (référence interprétable), Random Forest et Gradient Boosting, tous avec pondération des classes (</w:t>
      </w:r>
      <w:r>
        <w:rPr>
          <w:rFonts w:ascii="Consolas" w:cs="Consolas" w:eastAsia="Consolas" w:hAnsi="Consolas"/>
          <w:b w:val="false"/>
          <w:bCs w:val="false"/>
          <w:i w:val="false"/>
          <w:iCs w:val="false"/>
          <w:color w:val="AA3377"/>
        </w:rPr>
        <w:t xml:space="preserve">class_weight="balanced"</w:t>
      </w:r>
      <w:r>
        <w:rPr>
          <w:b w:val="false"/>
          <w:bCs w:val="false"/>
          <w:i w:val="false"/>
          <w:iCs w:val="false"/>
        </w:rPr>
        <w:t xml:space="preserve">, ou pondération équivalente des échantillons pour le Gradient Boosting) pour compenser le déséquilibre (~22 % d'inondations).</w:t>
      </w:r>
    </w:p>
    <w:p>
      <w:pPr>
        <w:pStyle w:val="Heading1"/>
        <w:spacing w:after="200" w:before="360"/>
      </w:pPr>
      <w:r>
        <w:rPr>
          <w:b/>
          <w:bCs/>
          <w:color w:val="2563A8"/>
          <w:sz w:val="30"/>
          <w:szCs w:val="30"/>
        </w:rPr>
        <w:t xml:space="preserve">3. Nettoyage des données</w:t>
      </w:r>
    </w:p>
    <w:p>
      <w:pPr>
        <w:spacing w:after="160"/>
      </w:pPr>
      <w:r>
        <w:t xml:space="preserve">L'exploration initiale a permis de détecter puis corriger six familles de défauts avant modélisation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9"/>
        <w:gridCol w:w="1783"/>
        <w:gridCol w:w="3789"/>
      </w:tblGrid>
      <w:tr>
        <w:trPr>
          <w:tblHeader/>
        </w:trPr>
        <w:tc>
          <w:tcPr>
            <w:tcW w:type="dxa" w:w="3789"/>
            <w:shd w:fill="2563A8" w:color="auto" w:val="clear"/>
            <w:tcMar>
              <w:top w:type="dxa" w:w="80"/>
              <w:left w:type="dxa" w:w="100"/>
              <w:bottom w:type="dxa" w:w="80"/>
              <w:right w:type="dxa" w:w="100"/>
            </w:tcMar>
          </w:tcPr>
          <w:p>
            <w:r>
              <w:rPr>
                <w:b/>
                <w:bCs/>
                <w:color w:val="FFFFFF"/>
                <w:sz w:val="19"/>
                <w:szCs w:val="19"/>
              </w:rPr>
              <w:t xml:space="preserve">Défaut détecté</w:t>
            </w:r>
          </w:p>
        </w:tc>
        <w:tc>
          <w:tcPr>
            <w:tcW w:type="dxa" w:w="1783"/>
            <w:shd w:fill="2563A8" w:color="auto" w:val="clear"/>
            <w:tcMar>
              <w:top w:type="dxa" w:w="80"/>
              <w:left w:type="dxa" w:w="100"/>
              <w:bottom w:type="dxa" w:w="80"/>
              <w:right w:type="dxa" w:w="100"/>
            </w:tcMar>
          </w:tcPr>
          <w:p>
            <w:r>
              <w:rPr>
                <w:b/>
                <w:bCs/>
                <w:color w:val="FFFFFF"/>
                <w:sz w:val="19"/>
                <w:szCs w:val="19"/>
              </w:rPr>
              <w:t xml:space="preserve">Ampleur</w:t>
            </w:r>
          </w:p>
        </w:tc>
        <w:tc>
          <w:tcPr>
            <w:tcW w:type="dxa" w:w="3789"/>
            <w:shd w:fill="2563A8" w:color="auto" w:val="clear"/>
            <w:tcMar>
              <w:top w:type="dxa" w:w="80"/>
              <w:left w:type="dxa" w:w="100"/>
              <w:bottom w:type="dxa" w:w="80"/>
              <w:right w:type="dxa" w:w="100"/>
            </w:tcMar>
          </w:tcPr>
          <w:p>
            <w:r>
              <w:rPr>
                <w:b/>
                <w:bCs/>
                <w:color w:val="FFFFFF"/>
                <w:sz w:val="19"/>
                <w:szCs w:val="19"/>
              </w:rPr>
              <w:t xml:space="preserve">Correction appliquée</w:t>
            </w:r>
          </w:p>
        </w:tc>
      </w:tr>
      <w:tr>
        <w:tc>
          <w:tcPr>
            <w:tcW w:type="dxa" w:w="3789"/>
            <w:tcMar>
              <w:top w:type="dxa" w:w="60"/>
              <w:left w:type="dxa" w:w="100"/>
              <w:bottom w:type="dxa" w:w="60"/>
              <w:right w:type="dxa" w:w="100"/>
            </w:tcMar>
          </w:tcPr>
          <w:p>
            <w:r>
              <w:rPr>
                <w:b/>
                <w:bCs/>
                <w:sz w:val="19"/>
                <w:szCs w:val="19"/>
              </w:rPr>
              <w:t xml:space="preserve">Altitudes à -9999 (absence de donnée satellite)</w:t>
            </w:r>
          </w:p>
        </w:tc>
        <w:tc>
          <w:tcPr>
            <w:tcW w:type="dxa" w:w="1783"/>
            <w:tcMar>
              <w:top w:type="dxa" w:w="60"/>
              <w:left w:type="dxa" w:w="100"/>
              <w:bottom w:type="dxa" w:w="60"/>
              <w:right w:type="dxa" w:w="100"/>
            </w:tcMar>
          </w:tcPr>
          <w:p>
            <w:r>
              <w:rPr>
                <w:b w:val="false"/>
                <w:bCs w:val="false"/>
                <w:sz w:val="19"/>
                <w:szCs w:val="19"/>
              </w:rPr>
              <w:t xml:space="preserve">7 zones</w:t>
            </w:r>
          </w:p>
        </w:tc>
        <w:tc>
          <w:tcPr>
            <w:tcW w:type="dxa" w:w="3789"/>
            <w:tcMar>
              <w:top w:type="dxa" w:w="60"/>
              <w:left w:type="dxa" w:w="100"/>
              <w:bottom w:type="dxa" w:w="60"/>
              <w:right w:type="dxa" w:w="100"/>
            </w:tcMar>
          </w:tcPr>
          <w:p>
            <w:r>
              <w:rPr>
                <w:b w:val="false"/>
                <w:bCs w:val="false"/>
                <w:sz w:val="19"/>
                <w:szCs w:val="19"/>
              </w:rPr>
              <w:t xml:space="preserve">Impute par la médiane de la localité (repli région)</w:t>
            </w:r>
          </w:p>
        </w:tc>
      </w:tr>
      <w:tr>
        <w:tc>
          <w:tcPr>
            <w:tcW w:type="dxa" w:w="3789"/>
            <w:shd w:fill="F2F6FA" w:color="auto" w:val="clear"/>
            <w:tcMar>
              <w:top w:type="dxa" w:w="60"/>
              <w:left w:type="dxa" w:w="100"/>
              <w:bottom w:type="dxa" w:w="60"/>
              <w:right w:type="dxa" w:w="100"/>
            </w:tcMar>
          </w:tcPr>
          <w:p>
            <w:r>
              <w:rPr>
                <w:b/>
                <w:bCs/>
                <w:sz w:val="19"/>
                <w:szCs w:val="19"/>
              </w:rPr>
              <w:t xml:space="preserve">Coordonnées inversées (points hors Sénégal)</w:t>
            </w:r>
          </w:p>
        </w:tc>
        <w:tc>
          <w:tcPr>
            <w:tcW w:type="dxa" w:w="1783"/>
            <w:shd w:fill="F2F6FA" w:color="auto" w:val="clear"/>
            <w:tcMar>
              <w:top w:type="dxa" w:w="60"/>
              <w:left w:type="dxa" w:w="100"/>
              <w:bottom w:type="dxa" w:w="60"/>
              <w:right w:type="dxa" w:w="100"/>
            </w:tcMar>
          </w:tcPr>
          <w:p>
            <w:r>
              <w:rPr>
                <w:b w:val="false"/>
                <w:bCs w:val="false"/>
                <w:sz w:val="19"/>
                <w:szCs w:val="19"/>
              </w:rPr>
              <w:t xml:space="preserve">4 zones</w:t>
            </w:r>
          </w:p>
        </w:tc>
        <w:tc>
          <w:tcPr>
            <w:tcW w:type="dxa" w:w="3789"/>
            <w:shd w:fill="F2F6FA" w:color="auto" w:val="clear"/>
            <w:tcMar>
              <w:top w:type="dxa" w:w="60"/>
              <w:left w:type="dxa" w:w="100"/>
              <w:bottom w:type="dxa" w:w="60"/>
              <w:right w:type="dxa" w:w="100"/>
            </w:tcMar>
          </w:tcPr>
          <w:p>
            <w:r>
              <w:rPr>
                <w:b w:val="false"/>
                <w:bCs w:val="false"/>
                <w:sz w:val="19"/>
                <w:szCs w:val="19"/>
              </w:rPr>
              <w:t xml:space="preserve">Détection par plage lat/lon plausible, permutation lat↔lon</w:t>
            </w:r>
          </w:p>
        </w:tc>
      </w:tr>
      <w:tr>
        <w:tc>
          <w:tcPr>
            <w:tcW w:type="dxa" w:w="3789"/>
            <w:tcMar>
              <w:top w:type="dxa" w:w="60"/>
              <w:left w:type="dxa" w:w="100"/>
              <w:bottom w:type="dxa" w:w="60"/>
              <w:right w:type="dxa" w:w="100"/>
            </w:tcMar>
          </w:tcPr>
          <w:p>
            <w:r>
              <w:rPr>
                <w:b/>
                <w:bCs/>
                <w:sz w:val="19"/>
                <w:szCs w:val="19"/>
              </w:rPr>
              <w:t xml:space="preserve">Localités non harmonisées (« Guediawaye », « Keur-Massar »)</w:t>
            </w:r>
          </w:p>
        </w:tc>
        <w:tc>
          <w:tcPr>
            <w:tcW w:type="dxa" w:w="1783"/>
            <w:tcMar>
              <w:top w:type="dxa" w:w="60"/>
              <w:left w:type="dxa" w:w="100"/>
              <w:bottom w:type="dxa" w:w="60"/>
              <w:right w:type="dxa" w:w="100"/>
            </w:tcMar>
          </w:tcPr>
          <w:p>
            <w:r>
              <w:rPr>
                <w:b w:val="false"/>
                <w:bCs w:val="false"/>
                <w:sz w:val="19"/>
                <w:szCs w:val="19"/>
              </w:rPr>
              <w:t xml:space="preserve">2 variantes</w:t>
            </w:r>
          </w:p>
        </w:tc>
        <w:tc>
          <w:tcPr>
            <w:tcW w:type="dxa" w:w="3789"/>
            <w:tcMar>
              <w:top w:type="dxa" w:w="60"/>
              <w:left w:type="dxa" w:w="100"/>
              <w:bottom w:type="dxa" w:w="60"/>
              <w:right w:type="dxa" w:w="100"/>
            </w:tcMar>
          </w:tcPr>
          <w:p>
            <w:r>
              <w:rPr>
                <w:b w:val="false"/>
                <w:bCs w:val="false"/>
                <w:sz w:val="19"/>
                <w:szCs w:val="19"/>
              </w:rPr>
              <w:t xml:space="preserve">Fusion vers le nom officiel (Guédiawaye, Keur Massar)</w:t>
            </w:r>
          </w:p>
        </w:tc>
      </w:tr>
      <w:tr>
        <w:tc>
          <w:tcPr>
            <w:tcW w:type="dxa" w:w="3789"/>
            <w:shd w:fill="F2F6FA" w:color="auto" w:val="clear"/>
            <w:tcMar>
              <w:top w:type="dxa" w:w="60"/>
              <w:left w:type="dxa" w:w="100"/>
              <w:bottom w:type="dxa" w:w="60"/>
              <w:right w:type="dxa" w:w="100"/>
            </w:tcMar>
          </w:tcPr>
          <w:p>
            <w:r>
              <w:rPr>
                <w:b/>
                <w:bCs/>
                <w:sz w:val="19"/>
                <w:szCs w:val="19"/>
              </w:rPr>
              <w:t xml:space="preserve">Valeurs manquantes (nappe, assainissement, pluie 24h, cumul)</w:t>
            </w:r>
          </w:p>
        </w:tc>
        <w:tc>
          <w:tcPr>
            <w:tcW w:type="dxa" w:w="1783"/>
            <w:shd w:fill="F2F6FA" w:color="auto" w:val="clear"/>
            <w:tcMar>
              <w:top w:type="dxa" w:w="60"/>
              <w:left w:type="dxa" w:w="100"/>
              <w:bottom w:type="dxa" w:w="60"/>
              <w:right w:type="dxa" w:w="100"/>
            </w:tcMar>
          </w:tcPr>
          <w:p>
            <w:r>
              <w:rPr>
                <w:b w:val="false"/>
                <w:bCs w:val="false"/>
                <w:sz w:val="19"/>
                <w:szCs w:val="19"/>
              </w:rPr>
              <w:t xml:space="preserve">3-16 % selon variable</w:t>
            </w:r>
          </w:p>
        </w:tc>
        <w:tc>
          <w:tcPr>
            <w:tcW w:type="dxa" w:w="3789"/>
            <w:shd w:fill="F2F6FA" w:color="auto" w:val="clear"/>
            <w:tcMar>
              <w:top w:type="dxa" w:w="60"/>
              <w:left w:type="dxa" w:w="100"/>
              <w:bottom w:type="dxa" w:w="60"/>
              <w:right w:type="dxa" w:w="100"/>
            </w:tcMar>
          </w:tcPr>
          <w:p>
            <w:r>
              <w:rPr>
                <w:b w:val="false"/>
                <w:bCs w:val="false"/>
                <w:sz w:val="19"/>
                <w:szCs w:val="19"/>
              </w:rPr>
              <w:t xml:space="preserve">Imputation par médiane/mode de la zone puis de l'année ou région</w:t>
            </w:r>
          </w:p>
        </w:tc>
      </w:tr>
      <w:tr>
        <w:tc>
          <w:tcPr>
            <w:tcW w:type="dxa" w:w="3789"/>
            <w:tcMar>
              <w:top w:type="dxa" w:w="60"/>
              <w:left w:type="dxa" w:w="100"/>
              <w:bottom w:type="dxa" w:w="60"/>
              <w:right w:type="dxa" w:w="100"/>
            </w:tcMar>
          </w:tcPr>
          <w:p>
            <w:r>
              <w:rPr>
                <w:b/>
                <w:bCs/>
                <w:sz w:val="19"/>
                <w:szCs w:val="19"/>
              </w:rPr>
              <w:t xml:space="preserve">Observations dupliquées (même zone, même année)</w:t>
            </w:r>
          </w:p>
        </w:tc>
        <w:tc>
          <w:tcPr>
            <w:tcW w:type="dxa" w:w="1783"/>
            <w:tcMar>
              <w:top w:type="dxa" w:w="60"/>
              <w:left w:type="dxa" w:w="100"/>
              <w:bottom w:type="dxa" w:w="60"/>
              <w:right w:type="dxa" w:w="100"/>
            </w:tcMar>
          </w:tcPr>
          <w:p>
            <w:r>
              <w:rPr>
                <w:b w:val="false"/>
                <w:bCs w:val="false"/>
                <w:sz w:val="19"/>
                <w:szCs w:val="19"/>
              </w:rPr>
              <w:t xml:space="preserve">25 lignes</w:t>
            </w:r>
          </w:p>
        </w:tc>
        <w:tc>
          <w:tcPr>
            <w:tcW w:type="dxa" w:w="3789"/>
            <w:tcMar>
              <w:top w:type="dxa" w:w="60"/>
              <w:left w:type="dxa" w:w="100"/>
              <w:bottom w:type="dxa" w:w="60"/>
              <w:right w:type="dxa" w:w="100"/>
            </w:tcMar>
          </w:tcPr>
          <w:p>
            <w:r>
              <w:rPr>
                <w:b w:val="false"/>
                <w:bCs w:val="false"/>
                <w:sz w:val="19"/>
                <w:szCs w:val="19"/>
              </w:rPr>
              <w:t xml:space="preserve">Suppression (conservation de la première occurrence)</w:t>
            </w:r>
          </w:p>
        </w:tc>
      </w:tr>
      <w:tr>
        <w:tc>
          <w:tcPr>
            <w:tcW w:type="dxa" w:w="3789"/>
            <w:shd w:fill="F2F6FA" w:color="auto" w:val="clear"/>
            <w:tcMar>
              <w:top w:type="dxa" w:w="60"/>
              <w:left w:type="dxa" w:w="100"/>
              <w:bottom w:type="dxa" w:w="60"/>
              <w:right w:type="dxa" w:w="100"/>
            </w:tcMar>
          </w:tcPr>
          <w:p>
            <w:r>
              <w:rPr>
                <w:b/>
                <w:bCs/>
                <w:sz w:val="19"/>
                <w:szCs w:val="19"/>
              </w:rPr>
              <w:t xml:space="preserve">Cohérence inondation / durée de submersion</w:t>
            </w:r>
          </w:p>
        </w:tc>
        <w:tc>
          <w:tcPr>
            <w:tcW w:type="dxa" w:w="1783"/>
            <w:shd w:fill="F2F6FA" w:color="auto" w:val="clear"/>
            <w:tcMar>
              <w:top w:type="dxa" w:w="60"/>
              <w:left w:type="dxa" w:w="100"/>
              <w:bottom w:type="dxa" w:w="60"/>
              <w:right w:type="dxa" w:w="100"/>
            </w:tcMar>
          </w:tcPr>
          <w:p>
            <w:r>
              <w:rPr>
                <w:b w:val="false"/>
                <w:bCs w:val="false"/>
                <w:sz w:val="19"/>
                <w:szCs w:val="19"/>
              </w:rPr>
              <w:t xml:space="preserve">0 incohérence trouvée</w:t>
            </w:r>
          </w:p>
        </w:tc>
        <w:tc>
          <w:tcPr>
            <w:tcW w:type="dxa" w:w="3789"/>
            <w:shd w:fill="F2F6FA" w:color="auto" w:val="clear"/>
            <w:tcMar>
              <w:top w:type="dxa" w:w="60"/>
              <w:left w:type="dxa" w:w="100"/>
              <w:bottom w:type="dxa" w:w="60"/>
              <w:right w:type="dxa" w:w="100"/>
            </w:tcMar>
          </w:tcPr>
          <w:p>
            <w:r>
              <w:rPr>
                <w:b w:val="false"/>
                <w:bCs w:val="false"/>
                <w:sz w:val="19"/>
                <w:szCs w:val="19"/>
              </w:rPr>
              <w:t xml:space="preserve">Vérifiée puis variable exclue (fuite de données)</w:t>
            </w:r>
          </w:p>
        </w:tc>
      </w:tr>
    </w:tbl>
    <w:p>
      <w:pPr>
        <w:spacing w:after="40"/>
      </w:pPr>
      <w:r>
        <w:rPr>
          <w:b w:val="false"/>
          <w:bCs w:val="false"/>
          <w:i w:val="false"/>
          <w:iCs w:val="false"/>
        </w:rPr>
        <w:t xml:space="preserve">Après nettoyage : </w:t>
      </w:r>
      <w:r>
        <w:rPr>
          <w:b/>
          <w:bCs/>
          <w:i w:val="false"/>
          <w:iCs w:val="false"/>
        </w:rPr>
        <w:t xml:space="preserve">425 zones</w:t>
      </w:r>
      <w:r>
        <w:rPr>
          <w:b w:val="false"/>
          <w:bCs w:val="false"/>
          <w:i w:val="false"/>
          <w:iCs w:val="false"/>
        </w:rPr>
        <w:t xml:space="preserve"> et </w:t>
      </w:r>
      <w:r>
        <w:rPr>
          <w:b/>
          <w:bCs/>
          <w:i w:val="false"/>
          <w:iCs w:val="false"/>
        </w:rPr>
        <w:t xml:space="preserve">4 250 observations</w:t>
      </w:r>
      <w:r>
        <w:rPr>
          <w:b w:val="false"/>
          <w:bCs w:val="false"/>
          <w:i w:val="false"/>
          <w:iCs w:val="false"/>
        </w:rPr>
        <w:t xml:space="preserve"> valides (2015-2024), taux d'inondation global de </w:t>
      </w:r>
      <w:r>
        <w:rPr>
          <w:b/>
          <w:bCs/>
          <w:i w:val="false"/>
          <w:iCs w:val="false"/>
        </w:rPr>
        <w:t xml:space="preserve">21,6 %</w:t>
      </w:r>
      <w:r>
        <w:rPr>
          <w:b w:val="false"/>
          <w:bCs w:val="false"/>
          <w:i w:val="false"/>
          <w:iCs w:val="false"/>
        </w:rPr>
        <w:t xml:space="preserve">, confirmant le déséquilibre de classes signalé. L'année </w:t>
      </w:r>
      <w:r>
        <w:rPr>
          <w:b/>
          <w:bCs/>
          <w:i w:val="false"/>
          <w:iCs w:val="false"/>
        </w:rPr>
        <w:t xml:space="preserve">2020 se distingue nettement</w:t>
      </w:r>
      <w:r>
        <w:rPr>
          <w:b w:val="false"/>
          <w:bCs w:val="false"/>
          <w:i w:val="false"/>
          <w:iCs w:val="false"/>
        </w:rPr>
        <w:t xml:space="preserve"> (28,9 % de zones inondées contre 19-25 % les autres années), cohérent avec l'anomalie documentée.</w:t>
      </w:r>
    </w:p>
    <w:p>
      <w:pPr>
        <w:spacing w:after="40" w:before="120"/>
        <w:jc w:val="center"/>
      </w:pPr>
      <w:r>
        <w:drawing>
          <wp:inline distT="0" distB="0" distL="0" distR="0">
            <wp:extent cx="51244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3171825"/>
                    </a:xfrm>
                    <a:prstGeom prst="rect">
                      <a:avLst/>
                    </a:prstGeom>
                  </pic:spPr>
                </pic:pic>
              </a:graphicData>
            </a:graphic>
          </wp:inline>
        </w:drawing>
      </w:r>
    </w:p>
    <w:p>
      <w:pPr>
        <w:spacing w:after="240" w:before="80"/>
        <w:jc w:val="center"/>
      </w:pPr>
      <w:r>
        <w:rPr>
          <w:i/>
          <w:iCs/>
          <w:color w:val="666666"/>
          <w:sz w:val="18"/>
          <w:szCs w:val="18"/>
        </w:rPr>
        <w:t xml:space="preserve">Taux d'inondation par hivernage — observations nettoyées 2015-2024 · 4 250 lignes</w:t>
      </w:r>
    </w:p>
    <w:p>
      <w:pPr>
        <w:pStyle w:val="Heading1"/>
        <w:spacing w:after="200" w:before="360"/>
      </w:pPr>
      <w:r>
        <w:rPr>
          <w:b/>
          <w:bCs/>
          <w:color w:val="2563A8"/>
          <w:sz w:val="30"/>
          <w:szCs w:val="30"/>
        </w:rPr>
        <w:t xml:space="preserve">4. Résultats de la modélisation</w:t>
      </w:r>
    </w:p>
    <w:p>
      <w:pPr>
        <w:spacing w:after="160"/>
      </w:pPr>
      <w:r>
        <w:rPr>
          <w:b w:val="false"/>
          <w:bCs w:val="false"/>
          <w:i w:val="false"/>
          <w:iCs w:val="false"/>
        </w:rPr>
        <w:t xml:space="preserve">En validation croisée </w:t>
      </w:r>
      <w:r>
        <w:rPr>
          <w:rFonts w:ascii="Consolas" w:cs="Consolas" w:eastAsia="Consolas" w:hAnsi="Consolas"/>
          <w:b w:val="false"/>
          <w:bCs w:val="false"/>
          <w:i w:val="false"/>
          <w:iCs w:val="false"/>
          <w:color w:val="AA3377"/>
        </w:rPr>
        <w:t xml:space="preserve">GroupKFold</w:t>
      </w:r>
      <w:r>
        <w:rPr>
          <w:b w:val="false"/>
          <w:bCs w:val="false"/>
          <w:i w:val="false"/>
          <w:iCs w:val="false"/>
        </w:rPr>
        <w:t xml:space="preserve"> par région (train 2015-2023), les trois modèles atteignent une AUC comparable (0,82-0,83), avec un écart-type notable selon la région exclue — signe attendu d'hétérogénéité géographique. Sur le </w:t>
      </w:r>
      <w:r>
        <w:rPr>
          <w:b/>
          <w:bCs/>
          <w:i w:val="false"/>
          <w:iCs w:val="false"/>
        </w:rPr>
        <w:t xml:space="preserve">test temporel 2024</w:t>
      </w:r>
      <w:r>
        <w:rPr>
          <w:b w:val="false"/>
          <w:bCs w:val="false"/>
          <w:i w:val="false"/>
          <w:iCs w:val="false"/>
        </w:rPr>
        <w:t xml:space="preserve"> (année non vue à l'entraînement), après ajustement du seuil de décision pour atteindre un rappel ≥ 80 % (seuil calculé par validation croisée, hors échantillon, pour éviter le surapprentissage)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404"/>
        <w:gridCol w:w="1123"/>
        <w:gridCol w:w="1217"/>
        <w:gridCol w:w="1310"/>
        <w:gridCol w:w="1030"/>
        <w:gridCol w:w="1217"/>
      </w:tblGrid>
      <w:tr>
        <w:trPr>
          <w:tblHeader/>
        </w:trPr>
        <w:tc>
          <w:tcPr>
            <w:tcW w:type="dxa" w:w="2059"/>
            <w:shd w:fill="2563A8" w:color="auto" w:val="clear"/>
            <w:tcMar>
              <w:top w:type="dxa" w:w="80"/>
              <w:left w:type="dxa" w:w="100"/>
              <w:bottom w:type="dxa" w:w="80"/>
              <w:right w:type="dxa" w:w="100"/>
            </w:tcMar>
          </w:tcPr>
          <w:p>
            <w:r>
              <w:rPr>
                <w:b/>
                <w:bCs/>
                <w:color w:val="FFFFFF"/>
                <w:sz w:val="19"/>
                <w:szCs w:val="19"/>
              </w:rPr>
              <w:t xml:space="preserve">Modèle</w:t>
            </w:r>
          </w:p>
        </w:tc>
        <w:tc>
          <w:tcPr>
            <w:tcW w:type="dxa" w:w="1404"/>
            <w:shd w:fill="2563A8" w:color="auto" w:val="clear"/>
            <w:tcMar>
              <w:top w:type="dxa" w:w="80"/>
              <w:left w:type="dxa" w:w="100"/>
              <w:bottom w:type="dxa" w:w="80"/>
              <w:right w:type="dxa" w:w="100"/>
            </w:tcMar>
          </w:tcPr>
          <w:p>
            <w:r>
              <w:rPr>
                <w:b/>
                <w:bCs/>
                <w:color w:val="FFFFFF"/>
                <w:sz w:val="19"/>
                <w:szCs w:val="19"/>
              </w:rPr>
              <w:t xml:space="preserve">Rappel (seuil 0,5)</w:t>
            </w:r>
          </w:p>
        </w:tc>
        <w:tc>
          <w:tcPr>
            <w:tcW w:type="dxa" w:w="1123"/>
            <w:shd w:fill="2563A8" w:color="auto" w:val="clear"/>
            <w:tcMar>
              <w:top w:type="dxa" w:w="80"/>
              <w:left w:type="dxa" w:w="100"/>
              <w:bottom w:type="dxa" w:w="80"/>
              <w:right w:type="dxa" w:w="100"/>
            </w:tcMar>
          </w:tcPr>
          <w:p>
            <w:r>
              <w:rPr>
                <w:b/>
                <w:bCs/>
                <w:color w:val="FFFFFF"/>
                <w:sz w:val="19"/>
                <w:szCs w:val="19"/>
              </w:rPr>
              <w:t xml:space="preserve">Seuil ajusté</w:t>
            </w:r>
          </w:p>
        </w:tc>
        <w:tc>
          <w:tcPr>
            <w:tcW w:type="dxa" w:w="1217"/>
            <w:shd w:fill="2563A8" w:color="auto" w:val="clear"/>
            <w:tcMar>
              <w:top w:type="dxa" w:w="80"/>
              <w:left w:type="dxa" w:w="100"/>
              <w:bottom w:type="dxa" w:w="80"/>
              <w:right w:type="dxa" w:w="100"/>
            </w:tcMar>
          </w:tcPr>
          <w:p>
            <w:r>
              <w:rPr>
                <w:b/>
                <w:bCs/>
                <w:color w:val="FFFFFF"/>
                <w:sz w:val="19"/>
                <w:szCs w:val="19"/>
              </w:rPr>
              <w:t xml:space="preserve">Rappel ajusté</w:t>
            </w:r>
          </w:p>
        </w:tc>
        <w:tc>
          <w:tcPr>
            <w:tcW w:type="dxa" w:w="1310"/>
            <w:shd w:fill="2563A8" w:color="auto" w:val="clear"/>
            <w:tcMar>
              <w:top w:type="dxa" w:w="80"/>
              <w:left w:type="dxa" w:w="100"/>
              <w:bottom w:type="dxa" w:w="80"/>
              <w:right w:type="dxa" w:w="100"/>
            </w:tcMar>
          </w:tcPr>
          <w:p>
            <w:r>
              <w:rPr>
                <w:b/>
                <w:bCs/>
                <w:color w:val="FFFFFF"/>
                <w:sz w:val="19"/>
                <w:szCs w:val="19"/>
              </w:rPr>
              <w:t xml:space="preserve">Précision ajustée</w:t>
            </w:r>
          </w:p>
        </w:tc>
        <w:tc>
          <w:tcPr>
            <w:tcW w:type="dxa" w:w="1030"/>
            <w:shd w:fill="2563A8" w:color="auto" w:val="clear"/>
            <w:tcMar>
              <w:top w:type="dxa" w:w="80"/>
              <w:left w:type="dxa" w:w="100"/>
              <w:bottom w:type="dxa" w:w="80"/>
              <w:right w:type="dxa" w:w="100"/>
            </w:tcMar>
          </w:tcPr>
          <w:p>
            <w:r>
              <w:rPr>
                <w:b/>
                <w:bCs/>
                <w:color w:val="FFFFFF"/>
                <w:sz w:val="19"/>
                <w:szCs w:val="19"/>
              </w:rPr>
              <w:t xml:space="preserve">F1 ajusté</w:t>
            </w:r>
          </w:p>
        </w:tc>
        <w:tc>
          <w:tcPr>
            <w:tcW w:type="dxa" w:w="1217"/>
            <w:shd w:fill="2563A8" w:color="auto" w:val="clear"/>
            <w:tcMar>
              <w:top w:type="dxa" w:w="80"/>
              <w:left w:type="dxa" w:w="100"/>
              <w:bottom w:type="dxa" w:w="80"/>
              <w:right w:type="dxa" w:w="100"/>
            </w:tcMar>
          </w:tcPr>
          <w:p>
            <w:r>
              <w:rPr>
                <w:b/>
                <w:bCs/>
                <w:color w:val="FFFFFF"/>
                <w:sz w:val="19"/>
                <w:szCs w:val="19"/>
              </w:rPr>
              <w:t xml:space="preserve">AUC-ROC</w:t>
            </w:r>
          </w:p>
        </w:tc>
      </w:tr>
      <w:tr>
        <w:tc>
          <w:tcPr>
            <w:tcW w:type="dxa" w:w="2059"/>
            <w:tcMar>
              <w:top w:type="dxa" w:w="60"/>
              <w:left w:type="dxa" w:w="100"/>
              <w:bottom w:type="dxa" w:w="60"/>
              <w:right w:type="dxa" w:w="100"/>
            </w:tcMar>
          </w:tcPr>
          <w:p>
            <w:r>
              <w:rPr>
                <w:b/>
                <w:bCs/>
                <w:sz w:val="19"/>
                <w:szCs w:val="19"/>
              </w:rPr>
              <w:t xml:space="preserve">Régression logistique</w:t>
            </w:r>
          </w:p>
        </w:tc>
        <w:tc>
          <w:tcPr>
            <w:tcW w:type="dxa" w:w="1404"/>
            <w:tcMar>
              <w:top w:type="dxa" w:w="60"/>
              <w:left w:type="dxa" w:w="100"/>
              <w:bottom w:type="dxa" w:w="60"/>
              <w:right w:type="dxa" w:w="100"/>
            </w:tcMar>
          </w:tcPr>
          <w:p>
            <w:r>
              <w:rPr>
                <w:b w:val="false"/>
                <w:bCs w:val="false"/>
                <w:sz w:val="19"/>
                <w:szCs w:val="19"/>
              </w:rPr>
              <w:t xml:space="preserve">85,1 %</w:t>
            </w:r>
          </w:p>
        </w:tc>
        <w:tc>
          <w:tcPr>
            <w:tcW w:type="dxa" w:w="1123"/>
            <w:tcMar>
              <w:top w:type="dxa" w:w="60"/>
              <w:left w:type="dxa" w:w="100"/>
              <w:bottom w:type="dxa" w:w="60"/>
              <w:right w:type="dxa" w:w="100"/>
            </w:tcMar>
          </w:tcPr>
          <w:p>
            <w:r>
              <w:rPr>
                <w:b w:val="false"/>
                <w:bCs w:val="false"/>
                <w:sz w:val="19"/>
                <w:szCs w:val="19"/>
              </w:rPr>
              <w:t xml:space="preserve">0,40</w:t>
            </w:r>
          </w:p>
        </w:tc>
        <w:tc>
          <w:tcPr>
            <w:tcW w:type="dxa" w:w="1217"/>
            <w:tcMar>
              <w:top w:type="dxa" w:w="60"/>
              <w:left w:type="dxa" w:w="100"/>
              <w:bottom w:type="dxa" w:w="60"/>
              <w:right w:type="dxa" w:w="100"/>
            </w:tcMar>
          </w:tcPr>
          <w:p>
            <w:r>
              <w:rPr>
                <w:b w:val="false"/>
                <w:bCs w:val="false"/>
                <w:sz w:val="19"/>
                <w:szCs w:val="19"/>
              </w:rPr>
              <w:t xml:space="preserve">90,4 %</w:t>
            </w:r>
          </w:p>
        </w:tc>
        <w:tc>
          <w:tcPr>
            <w:tcW w:type="dxa" w:w="1310"/>
            <w:tcMar>
              <w:top w:type="dxa" w:w="60"/>
              <w:left w:type="dxa" w:w="100"/>
              <w:bottom w:type="dxa" w:w="60"/>
              <w:right w:type="dxa" w:w="100"/>
            </w:tcMar>
          </w:tcPr>
          <w:p>
            <w:r>
              <w:rPr>
                <w:b w:val="false"/>
                <w:bCs w:val="false"/>
                <w:sz w:val="19"/>
                <w:szCs w:val="19"/>
              </w:rPr>
              <w:t xml:space="preserve">40,5 %</w:t>
            </w:r>
          </w:p>
        </w:tc>
        <w:tc>
          <w:tcPr>
            <w:tcW w:type="dxa" w:w="1030"/>
            <w:tcMar>
              <w:top w:type="dxa" w:w="60"/>
              <w:left w:type="dxa" w:w="100"/>
              <w:bottom w:type="dxa" w:w="60"/>
              <w:right w:type="dxa" w:w="100"/>
            </w:tcMar>
          </w:tcPr>
          <w:p>
            <w:r>
              <w:rPr>
                <w:b w:val="false"/>
                <w:bCs w:val="false"/>
                <w:sz w:val="19"/>
                <w:szCs w:val="19"/>
              </w:rPr>
              <w:t xml:space="preserve">0,56</w:t>
            </w:r>
          </w:p>
        </w:tc>
        <w:tc>
          <w:tcPr>
            <w:tcW w:type="dxa" w:w="1217"/>
            <w:tcMar>
              <w:top w:type="dxa" w:w="60"/>
              <w:left w:type="dxa" w:w="100"/>
              <w:bottom w:type="dxa" w:w="60"/>
              <w:right w:type="dxa" w:w="100"/>
            </w:tcMar>
          </w:tcPr>
          <w:p>
            <w:r>
              <w:rPr>
                <w:b w:val="false"/>
                <w:bCs w:val="false"/>
                <w:sz w:val="19"/>
                <w:szCs w:val="19"/>
              </w:rPr>
              <w:t xml:space="preserve">0,858</w:t>
            </w:r>
          </w:p>
        </w:tc>
      </w:tr>
      <w:tr>
        <w:tc>
          <w:tcPr>
            <w:tcW w:type="dxa" w:w="2059"/>
            <w:shd w:fill="F2F6FA" w:color="auto" w:val="clear"/>
            <w:tcMar>
              <w:top w:type="dxa" w:w="60"/>
              <w:left w:type="dxa" w:w="100"/>
              <w:bottom w:type="dxa" w:w="60"/>
              <w:right w:type="dxa" w:w="100"/>
            </w:tcMar>
          </w:tcPr>
          <w:p>
            <w:r>
              <w:rPr>
                <w:b/>
                <w:bCs/>
                <w:sz w:val="19"/>
                <w:szCs w:val="19"/>
              </w:rPr>
              <w:t xml:space="preserve">Random Forest</w:t>
            </w:r>
          </w:p>
        </w:tc>
        <w:tc>
          <w:tcPr>
            <w:tcW w:type="dxa" w:w="1404"/>
            <w:shd w:fill="F2F6FA" w:color="auto" w:val="clear"/>
            <w:tcMar>
              <w:top w:type="dxa" w:w="60"/>
              <w:left w:type="dxa" w:w="100"/>
              <w:bottom w:type="dxa" w:w="60"/>
              <w:right w:type="dxa" w:w="100"/>
            </w:tcMar>
          </w:tcPr>
          <w:p>
            <w:r>
              <w:rPr>
                <w:b w:val="false"/>
                <w:bCs w:val="false"/>
                <w:sz w:val="19"/>
                <w:szCs w:val="19"/>
              </w:rPr>
              <w:t xml:space="preserve">77,7 %</w:t>
            </w:r>
          </w:p>
        </w:tc>
        <w:tc>
          <w:tcPr>
            <w:tcW w:type="dxa" w:w="1123"/>
            <w:shd w:fill="F2F6FA" w:color="auto" w:val="clear"/>
            <w:tcMar>
              <w:top w:type="dxa" w:w="60"/>
              <w:left w:type="dxa" w:w="100"/>
              <w:bottom w:type="dxa" w:w="60"/>
              <w:right w:type="dxa" w:w="100"/>
            </w:tcMar>
          </w:tcPr>
          <w:p>
            <w:r>
              <w:rPr>
                <w:b w:val="false"/>
                <w:bCs w:val="false"/>
                <w:sz w:val="19"/>
                <w:szCs w:val="19"/>
              </w:rPr>
              <w:t xml:space="preserve">0,40</w:t>
            </w:r>
          </w:p>
        </w:tc>
        <w:tc>
          <w:tcPr>
            <w:tcW w:type="dxa" w:w="1217"/>
            <w:shd w:fill="F2F6FA" w:color="auto" w:val="clear"/>
            <w:tcMar>
              <w:top w:type="dxa" w:w="60"/>
              <w:left w:type="dxa" w:w="100"/>
              <w:bottom w:type="dxa" w:w="60"/>
              <w:right w:type="dxa" w:w="100"/>
            </w:tcMar>
          </w:tcPr>
          <w:p>
            <w:r>
              <w:rPr>
                <w:b w:val="false"/>
                <w:bCs w:val="false"/>
                <w:sz w:val="19"/>
                <w:szCs w:val="19"/>
              </w:rPr>
              <w:t xml:space="preserve">84,0 %</w:t>
            </w:r>
          </w:p>
        </w:tc>
        <w:tc>
          <w:tcPr>
            <w:tcW w:type="dxa" w:w="1310"/>
            <w:shd w:fill="F2F6FA" w:color="auto" w:val="clear"/>
            <w:tcMar>
              <w:top w:type="dxa" w:w="60"/>
              <w:left w:type="dxa" w:w="100"/>
              <w:bottom w:type="dxa" w:w="60"/>
              <w:right w:type="dxa" w:w="100"/>
            </w:tcMar>
          </w:tcPr>
          <w:p>
            <w:r>
              <w:rPr>
                <w:b w:val="false"/>
                <w:bCs w:val="false"/>
                <w:sz w:val="19"/>
                <w:szCs w:val="19"/>
              </w:rPr>
              <w:t xml:space="preserve">44,4 %</w:t>
            </w:r>
          </w:p>
        </w:tc>
        <w:tc>
          <w:tcPr>
            <w:tcW w:type="dxa" w:w="1030"/>
            <w:shd w:fill="F2F6FA" w:color="auto" w:val="clear"/>
            <w:tcMar>
              <w:top w:type="dxa" w:w="60"/>
              <w:left w:type="dxa" w:w="100"/>
              <w:bottom w:type="dxa" w:w="60"/>
              <w:right w:type="dxa" w:w="100"/>
            </w:tcMar>
          </w:tcPr>
          <w:p>
            <w:r>
              <w:rPr>
                <w:b w:val="false"/>
                <w:bCs w:val="false"/>
                <w:sz w:val="19"/>
                <w:szCs w:val="19"/>
              </w:rPr>
              <w:t xml:space="preserve">0,58</w:t>
            </w:r>
          </w:p>
        </w:tc>
        <w:tc>
          <w:tcPr>
            <w:tcW w:type="dxa" w:w="1217"/>
            <w:shd w:fill="F2F6FA" w:color="auto" w:val="clear"/>
            <w:tcMar>
              <w:top w:type="dxa" w:w="60"/>
              <w:left w:type="dxa" w:w="100"/>
              <w:bottom w:type="dxa" w:w="60"/>
              <w:right w:type="dxa" w:w="100"/>
            </w:tcMar>
          </w:tcPr>
          <w:p>
            <w:r>
              <w:rPr>
                <w:b w:val="false"/>
                <w:bCs w:val="false"/>
                <w:sz w:val="19"/>
                <w:szCs w:val="19"/>
              </w:rPr>
              <w:t xml:space="preserve">0,856</w:t>
            </w:r>
          </w:p>
        </w:tc>
      </w:tr>
      <w:tr>
        <w:tc>
          <w:tcPr>
            <w:tcW w:type="dxa" w:w="2059"/>
            <w:tcMar>
              <w:top w:type="dxa" w:w="60"/>
              <w:left w:type="dxa" w:w="100"/>
              <w:bottom w:type="dxa" w:w="60"/>
              <w:right w:type="dxa" w:w="100"/>
            </w:tcMar>
          </w:tcPr>
          <w:p>
            <w:r>
              <w:rPr>
                <w:b/>
                <w:bCs/>
                <w:sz w:val="19"/>
                <w:szCs w:val="19"/>
              </w:rPr>
              <w:t xml:space="preserve">Gradient Boosting</w:t>
            </w:r>
          </w:p>
        </w:tc>
        <w:tc>
          <w:tcPr>
            <w:tcW w:type="dxa" w:w="1404"/>
            <w:tcMar>
              <w:top w:type="dxa" w:w="60"/>
              <w:left w:type="dxa" w:w="100"/>
              <w:bottom w:type="dxa" w:w="60"/>
              <w:right w:type="dxa" w:w="100"/>
            </w:tcMar>
          </w:tcPr>
          <w:p>
            <w:r>
              <w:rPr>
                <w:b w:val="false"/>
                <w:bCs w:val="false"/>
                <w:sz w:val="19"/>
                <w:szCs w:val="19"/>
              </w:rPr>
              <w:t xml:space="preserve">83,0 %</w:t>
            </w:r>
          </w:p>
        </w:tc>
        <w:tc>
          <w:tcPr>
            <w:tcW w:type="dxa" w:w="1123"/>
            <w:tcMar>
              <w:top w:type="dxa" w:w="60"/>
              <w:left w:type="dxa" w:w="100"/>
              <w:bottom w:type="dxa" w:w="60"/>
              <w:right w:type="dxa" w:w="100"/>
            </w:tcMar>
          </w:tcPr>
          <w:p>
            <w:r>
              <w:rPr>
                <w:b w:val="false"/>
                <w:bCs w:val="false"/>
                <w:sz w:val="19"/>
                <w:szCs w:val="19"/>
              </w:rPr>
              <w:t xml:space="preserve">0,30</w:t>
            </w:r>
          </w:p>
        </w:tc>
        <w:tc>
          <w:tcPr>
            <w:tcW w:type="dxa" w:w="1217"/>
            <w:tcMar>
              <w:top w:type="dxa" w:w="60"/>
              <w:left w:type="dxa" w:w="100"/>
              <w:bottom w:type="dxa" w:w="60"/>
              <w:right w:type="dxa" w:w="100"/>
            </w:tcMar>
          </w:tcPr>
          <w:p>
            <w:r>
              <w:rPr>
                <w:b w:val="false"/>
                <w:bCs w:val="false"/>
                <w:sz w:val="19"/>
                <w:szCs w:val="19"/>
              </w:rPr>
              <w:t xml:space="preserve">89,4 %</w:t>
            </w:r>
          </w:p>
        </w:tc>
        <w:tc>
          <w:tcPr>
            <w:tcW w:type="dxa" w:w="1310"/>
            <w:tcMar>
              <w:top w:type="dxa" w:w="60"/>
              <w:left w:type="dxa" w:w="100"/>
              <w:bottom w:type="dxa" w:w="60"/>
              <w:right w:type="dxa" w:w="100"/>
            </w:tcMar>
          </w:tcPr>
          <w:p>
            <w:r>
              <w:rPr>
                <w:b w:val="false"/>
                <w:bCs w:val="false"/>
                <w:sz w:val="19"/>
                <w:szCs w:val="19"/>
              </w:rPr>
              <w:t xml:space="preserve">37,2 %</w:t>
            </w:r>
          </w:p>
        </w:tc>
        <w:tc>
          <w:tcPr>
            <w:tcW w:type="dxa" w:w="1030"/>
            <w:tcMar>
              <w:top w:type="dxa" w:w="60"/>
              <w:left w:type="dxa" w:w="100"/>
              <w:bottom w:type="dxa" w:w="60"/>
              <w:right w:type="dxa" w:w="100"/>
            </w:tcMar>
          </w:tcPr>
          <w:p>
            <w:r>
              <w:rPr>
                <w:b w:val="false"/>
                <w:bCs w:val="false"/>
                <w:sz w:val="19"/>
                <w:szCs w:val="19"/>
              </w:rPr>
              <w:t xml:space="preserve">0,53</w:t>
            </w:r>
          </w:p>
        </w:tc>
        <w:tc>
          <w:tcPr>
            <w:tcW w:type="dxa" w:w="1217"/>
            <w:tcMar>
              <w:top w:type="dxa" w:w="60"/>
              <w:left w:type="dxa" w:w="100"/>
              <w:bottom w:type="dxa" w:w="60"/>
              <w:right w:type="dxa" w:w="100"/>
            </w:tcMar>
          </w:tcPr>
          <w:p>
            <w:r>
              <w:rPr>
                <w:b w:val="false"/>
                <w:bCs w:val="false"/>
                <w:sz w:val="19"/>
                <w:szCs w:val="19"/>
              </w:rPr>
              <w:t xml:space="preserve">0,845</w:t>
            </w:r>
          </w:p>
        </w:tc>
      </w:tr>
    </w:tbl>
    <w:p>
      <w:pPr>
        <w:spacing w:after="160"/>
      </w:pPr>
      <w:r>
        <w:rPr>
          <w:b/>
          <w:bCs/>
          <w:i w:val="false"/>
          <w:iCs w:val="false"/>
        </w:rPr>
        <w:t xml:space="preserve">Modèle retenu : Régression logistique</w:t>
      </w:r>
      <w:r>
        <w:rPr>
          <w:b w:val="false"/>
          <w:bCs w:val="false"/>
          <w:i w:val="false"/>
          <w:iCs w:val="false"/>
        </w:rPr>
        <w:t xml:space="preserve"> (seuil = 0,40). Elle égale les modèles plus complexes en AUC sur ce jeu de données, tout en restant </w:t>
      </w:r>
      <w:r>
        <w:rPr>
          <w:b/>
          <w:bCs/>
          <w:i w:val="false"/>
          <w:iCs w:val="false"/>
        </w:rPr>
        <w:t xml:space="preserve">directement interprétable</w:t>
      </w:r>
      <w:r>
        <w:rPr>
          <w:b w:val="false"/>
          <w:bCs w:val="false"/>
          <w:i w:val="false"/>
          <w:iCs w:val="false"/>
        </w:rPr>
        <w:t xml:space="preserve"> (coefficients), un atout pour justifier des décisions opérationnelles auprès d'acteurs non-spécialistes. Au seuil ajusté, elle détecte </w:t>
      </w:r>
      <w:r>
        <w:rPr>
          <w:b/>
          <w:bCs/>
          <w:i w:val="false"/>
          <w:iCs w:val="false"/>
        </w:rPr>
        <w:t xml:space="preserve">90 % des zones réellement inondées en 2024</w:t>
      </w:r>
      <w:r>
        <w:rPr>
          <w:b w:val="false"/>
          <w:bCs w:val="false"/>
          <w:i w:val="false"/>
          <w:iCs w:val="false"/>
        </w:rPr>
        <w:t xml:space="preserve">, au prix d'un nombre plus élevé de fausses alertes — un compromis assumé compte tenu du coût asymétrique des erreurs défini en cadrage.</w:t>
      </w:r>
    </w:p>
    <w:p>
      <w:pPr>
        <w:pStyle w:val="Heading1"/>
        <w:spacing w:after="200" w:before="360"/>
      </w:pPr>
      <w:r>
        <w:rPr>
          <w:b/>
          <w:bCs/>
          <w:color w:val="2563A8"/>
          <w:sz w:val="30"/>
          <w:szCs w:val="30"/>
        </w:rPr>
        <w:t xml:space="preserve">5. Facteurs déterminants du risque</w:t>
      </w:r>
    </w:p>
    <w:p>
      <w:pPr>
        <w:spacing w:after="160"/>
      </w:pPr>
      <w:r>
        <w:t xml:space="preserve">L'importance des variables du Random Forest (mesure non-linéaire, robuste à la colinéarité) confirme la cohérence physique du modèle :</w:t>
      </w:r>
    </w:p>
    <w:p>
      <w:pPr>
        <w:spacing w:after="40" w:before="120"/>
        <w:jc w:val="center"/>
      </w:pPr>
      <w:r>
        <w:drawing>
          <wp:inline distT="0" distB="0" distL="0" distR="0">
            <wp:extent cx="51244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3171825"/>
                    </a:xfrm>
                    <a:prstGeom prst="rect">
                      <a:avLst/>
                    </a:prstGeom>
                  </pic:spPr>
                </pic:pic>
              </a:graphicData>
            </a:graphic>
          </wp:inline>
        </w:drawing>
      </w:r>
    </w:p>
    <w:p>
      <w:pPr>
        <w:spacing w:after="240" w:before="80"/>
        <w:jc w:val="center"/>
      </w:pPr>
      <w:r>
        <w:rPr>
          <w:i/>
          <w:iCs/>
          <w:color w:val="666666"/>
          <w:sz w:val="18"/>
          <w:szCs w:val="18"/>
        </w:rPr>
        <w:t xml:space="preserve">Importance des variables — Random Forest, validation croisée par région, train 2015-2023</w:t>
      </w:r>
    </w:p>
    <w:p>
      <w:pPr>
        <w:spacing w:after="160"/>
      </w:pPr>
      <w:r>
        <w:rPr>
          <w:b/>
          <w:bCs/>
          <w:i w:val="false"/>
          <w:iCs w:val="false"/>
        </w:rPr>
        <w:t xml:space="preserve">Lecture</w:t>
      </w:r>
      <w:r>
        <w:rPr>
          <w:b w:val="false"/>
          <w:bCs w:val="false"/>
          <w:i w:val="false"/>
          <w:iCs w:val="false"/>
        </w:rPr>
        <w:t xml:space="preserve"> : l'</w:t>
      </w:r>
      <w:r>
        <w:rPr>
          <w:b/>
          <w:bCs/>
          <w:i w:val="false"/>
          <w:iCs w:val="false"/>
        </w:rPr>
        <w:t xml:space="preserve">historique d'inondations 2005-2014</w:t>
      </w:r>
      <w:r>
        <w:rPr>
          <w:b w:val="false"/>
          <w:bCs w:val="false"/>
          <w:i w:val="false"/>
          <w:iCs w:val="false"/>
        </w:rPr>
        <w:t xml:space="preserve"> est le facteur le plus stable — les zones structurellement vulnérables (relief, sol, drainage) le restent dans la durée. La </w:t>
      </w:r>
      <w:r>
        <w:rPr>
          <w:b/>
          <w:bCs/>
          <w:i w:val="false"/>
          <w:iCs w:val="false"/>
        </w:rPr>
        <w:t xml:space="preserve">pluie extrême (24h/72h)</w:t>
      </w:r>
      <w:r>
        <w:rPr>
          <w:b w:val="false"/>
          <w:bCs w:val="false"/>
          <w:i w:val="false"/>
          <w:iCs w:val="false"/>
        </w:rPr>
        <w:t xml:space="preserve"> et l'</w:t>
      </w:r>
      <w:r>
        <w:rPr>
          <w:b/>
          <w:bCs/>
          <w:i w:val="false"/>
          <w:iCs w:val="false"/>
        </w:rPr>
        <w:t xml:space="preserve">indice pluie × imperméabilisation</w:t>
      </w:r>
      <w:r>
        <w:rPr>
          <w:b w:val="false"/>
          <w:bCs w:val="false"/>
          <w:i w:val="false"/>
          <w:iCs w:val="false"/>
        </w:rPr>
        <w:t xml:space="preserve"> pilotent le risque conjoncturel. La </w:t>
      </w:r>
      <w:r>
        <w:rPr>
          <w:b/>
          <w:bCs/>
          <w:i w:val="false"/>
          <w:iCs w:val="false"/>
        </w:rPr>
        <w:t xml:space="preserve">faible altitude</w:t>
      </w:r>
      <w:r>
        <w:rPr>
          <w:b w:val="false"/>
          <w:bCs w:val="false"/>
          <w:i w:val="false"/>
          <w:iCs w:val="false"/>
        </w:rPr>
        <w:t xml:space="preserve"> et une </w:t>
      </w:r>
      <w:r>
        <w:rPr>
          <w:b/>
          <w:bCs/>
          <w:i w:val="false"/>
          <w:iCs w:val="false"/>
        </w:rPr>
        <w:t xml:space="preserve">nappe phréatique proche de la surface</w:t>
      </w:r>
      <w:r>
        <w:rPr>
          <w:b w:val="false"/>
          <w:bCs w:val="false"/>
          <w:i w:val="false"/>
          <w:iCs w:val="false"/>
        </w:rPr>
        <w:t xml:space="preserve"> aggravent le risque ; un </w:t>
      </w:r>
      <w:r>
        <w:rPr>
          <w:b/>
          <w:bCs/>
          <w:i w:val="false"/>
          <w:iCs w:val="false"/>
        </w:rPr>
        <w:t xml:space="preserve">assainissement complet</w:t>
      </w:r>
      <w:r>
        <w:rPr>
          <w:b w:val="false"/>
          <w:bCs w:val="false"/>
          <w:i w:val="false"/>
          <w:iCs w:val="false"/>
        </w:rPr>
        <w:t xml:space="preserve"> et une </w:t>
      </w:r>
      <w:r>
        <w:rPr>
          <w:b/>
          <w:bCs/>
          <w:i w:val="false"/>
          <w:iCs w:val="false"/>
        </w:rPr>
        <w:t xml:space="preserve">pente plus marquée</w:t>
      </w:r>
      <w:r>
        <w:rPr>
          <w:b w:val="false"/>
          <w:bCs w:val="false"/>
          <w:i w:val="false"/>
          <w:iCs w:val="false"/>
        </w:rPr>
        <w:t xml:space="preserve"> sont protecteurs. La </w:t>
      </w:r>
      <w:r>
        <w:rPr>
          <w:b/>
          <w:bCs/>
          <w:i w:val="false"/>
          <w:iCs w:val="false"/>
        </w:rPr>
        <w:t xml:space="preserve">proximité d'un cours d'eau</w:t>
      </w:r>
      <w:r>
        <w:rPr>
          <w:b w:val="false"/>
          <w:bCs w:val="false"/>
          <w:i w:val="false"/>
          <w:iCs w:val="false"/>
        </w:rPr>
        <w:t xml:space="preserve"> compte surtout via la </w:t>
      </w:r>
      <w:r>
        <w:rPr>
          <w:b/>
          <w:bCs/>
          <w:i w:val="false"/>
          <w:iCs w:val="false"/>
        </w:rPr>
        <w:t xml:space="preserve">hauteur de crue</w:t>
      </w:r>
      <w:r>
        <w:rPr>
          <w:b w:val="false"/>
          <w:bCs w:val="false"/>
          <w:i w:val="false"/>
          <w:iCs w:val="false"/>
        </w:rPr>
        <w:t xml:space="preserve"> pour les localités riveraines (vallée du fleuve Sénégal) — la régression logistique sépare cet effet en deux coefficients corrélés (statut riverain et hauteur de crue) qu'il faut lire ensemble plutôt qu'isolément.</w:t>
      </w:r>
    </w:p>
    <w:p>
      <w:pPr>
        <w:pStyle w:val="Heading1"/>
        <w:spacing w:after="200" w:before="360"/>
      </w:pPr>
      <w:r>
        <w:rPr>
          <w:b/>
          <w:bCs/>
          <w:color w:val="2563A8"/>
          <w:sz w:val="30"/>
          <w:szCs w:val="30"/>
        </w:rPr>
        <w:t xml:space="preserve">6. Cartographie du risque — scénario de pluie extrême</w:t>
      </w:r>
    </w:p>
    <w:p>
      <w:pPr>
        <w:spacing w:after="160"/>
      </w:pPr>
      <w:r>
        <w:rPr>
          <w:b w:val="false"/>
          <w:bCs w:val="false"/>
          <w:i w:val="false"/>
          <w:iCs w:val="false"/>
        </w:rPr>
        <w:t xml:space="preserve">Le modèle retenu est appliqué à un </w:t>
      </w:r>
      <w:r>
        <w:rPr>
          <w:b/>
          <w:bCs/>
          <w:i w:val="false"/>
          <w:iCs w:val="false"/>
        </w:rPr>
        <w:t xml:space="preserve">scénario contrefactuel de pluie extrême</w:t>
      </w:r>
      <w:r>
        <w:rPr>
          <w:b w:val="false"/>
          <w:bCs w:val="false"/>
          <w:i w:val="false"/>
          <w:iCs w:val="false"/>
        </w:rPr>
        <w:t xml:space="preserve"> : 120 mm en 24h (≈ 99ᵉ centile des valeurs historiques observées, un événement réellement exceptionnel), avec une pluie sur 72h et une hauteur de crue majorées en conséquence pour les localités riveraines. Les probabilités prédites sont classées en </w:t>
      </w:r>
      <w:r>
        <w:rPr>
          <w:b/>
          <w:bCs/>
          <w:i w:val="false"/>
          <w:iCs w:val="false"/>
        </w:rPr>
        <w:t xml:space="preserve">quatre niveaux de risque</w:t>
      </w:r>
      <w:r>
        <w:rPr>
          <w:b w:val="false"/>
          <w:bCs w:val="false"/>
          <w:i w:val="false"/>
          <w:iCs w:val="false"/>
        </w:rPr>
        <w:t xml:space="preserve"> : Faible (&lt; 25 %), Modéré (25-49 %), Élevé (50-74 %), Très élevé (≥ 75 %).</w:t>
      </w:r>
    </w:p>
    <w:p>
      <w:pPr>
        <w:spacing w:after="160"/>
      </w:pPr>
      <w:r>
        <w:rPr>
          <w:b w:val="false"/>
          <w:bCs w:val="false"/>
          <w:i w:val="false"/>
          <w:iCs w:val="false"/>
        </w:rPr>
        <w:t xml:space="preserve">Deux cartes interactives Folium (fond OpenStreetMap, info-bulles avec localité, probabilité et facteur dominant) accompagnent ce rapport en fichiers </w:t>
      </w:r>
      <w:r>
        <w:rPr>
          <w:rFonts w:ascii="Consolas" w:cs="Consolas" w:eastAsia="Consolas" w:hAnsi="Consolas"/>
          <w:b w:val="false"/>
          <w:bCs w:val="false"/>
          <w:i w:val="false"/>
          <w:iCs w:val="false"/>
          <w:color w:val="AA3377"/>
        </w:rPr>
        <w:t xml:space="preserve">.html</w:t>
      </w:r>
      <w:r>
        <w:rPr>
          <w:b w:val="false"/>
          <w:bCs w:val="false"/>
          <w:i w:val="false"/>
          <w:iCs w:val="false"/>
        </w:rPr>
        <w:t xml:space="preserve"> séparés : une </w:t>
      </w:r>
      <w:r>
        <w:rPr>
          <w:b/>
          <w:bCs/>
          <w:i w:val="false"/>
          <w:iCs w:val="false"/>
        </w:rPr>
        <w:t xml:space="preserve">carte nationale</w:t>
      </w:r>
      <w:r>
        <w:rPr>
          <w:b w:val="false"/>
          <w:bCs w:val="false"/>
          <w:i w:val="false"/>
          <w:iCs w:val="false"/>
        </w:rPr>
        <w:t xml:space="preserve"> et un </w:t>
      </w:r>
      <w:r>
        <w:rPr>
          <w:b/>
          <w:bCs/>
          <w:i w:val="false"/>
          <w:iCs w:val="false"/>
        </w:rPr>
        <w:t xml:space="preserve">zoom sur la banlieue de Dakar</w:t>
      </w:r>
      <w:r>
        <w:rPr>
          <w:b w:val="false"/>
          <w:bCs w:val="false"/>
          <w:i w:val="false"/>
          <w:iCs w:val="false"/>
        </w:rPr>
        <w:t xml:space="preserve"> (Pikine, Guédiawaye, Keur Massar, Yeumbeul, Thiaroye, Malika, Jaxaay, Diamaguène, Mbao).</w:t>
      </w:r>
    </w:p>
    <w:p>
      <w:pPr>
        <w:spacing w:after="160"/>
      </w:pPr>
      <w:r>
        <w:rPr>
          <w:b/>
          <w:bCs/>
          <w:i w:val="false"/>
          <w:iCs w:val="false"/>
        </w:rPr>
        <w:t xml:space="preserve">Lecture du résultat</w:t>
      </w:r>
      <w:r>
        <w:rPr>
          <w:b w:val="false"/>
          <w:bCs w:val="false"/>
          <w:i w:val="false"/>
          <w:iCs w:val="false"/>
        </w:rPr>
        <w:t xml:space="preserve"> : la probabilité moyenne d'inondation bascule de </w:t>
      </w:r>
      <w:r>
        <w:rPr>
          <w:b/>
          <w:bCs/>
          <w:i w:val="false"/>
          <w:iCs w:val="false"/>
        </w:rPr>
        <w:t xml:space="preserve">21,6 %</w:t>
      </w:r>
      <w:r>
        <w:rPr>
          <w:b w:val="false"/>
          <w:bCs w:val="false"/>
          <w:i w:val="false"/>
          <w:iCs w:val="false"/>
        </w:rPr>
        <w:t xml:space="preserve"> (climat normal, base historique) à </w:t>
      </w:r>
      <w:r>
        <w:rPr>
          <w:b/>
          <w:bCs/>
          <w:i w:val="false"/>
          <w:iCs w:val="false"/>
        </w:rPr>
        <w:t xml:space="preserve">84,0 %</w:t>
      </w:r>
      <w:r>
        <w:rPr>
          <w:b w:val="false"/>
          <w:bCs w:val="false"/>
          <w:i w:val="false"/>
          <w:iCs w:val="false"/>
        </w:rPr>
        <w:t xml:space="preserve"> sous ce scénario extrême ; 330 des 425 zones (78 %) basculent en « Très élevé ». Ce n'est pas une anomalie du modèle mais </w:t>
      </w:r>
      <w:r>
        <w:rPr>
          <w:b/>
          <w:bCs/>
          <w:i w:val="false"/>
          <w:iCs w:val="false"/>
        </w:rPr>
        <w:t xml:space="preserve">le message attendu d'un stress-test</w:t>
      </w:r>
      <w:r>
        <w:rPr>
          <w:b w:val="false"/>
          <w:bCs w:val="false"/>
          <w:i w:val="false"/>
          <w:iCs w:val="false"/>
        </w:rPr>
        <w:t xml:space="preserve"> : la vulnérabilité structurelle du territoire (bas-fonds, nappe haute, imperméabilisation, assainissement insuffisant) devient critique dès qu'un épisode pluvieux dépasse largement les normales. Pour hiérarchiser l'action malgré ce plafonnement des catégories, les localités sont aussi classées </w:t>
      </w:r>
      <w:r>
        <w:rPr>
          <w:b/>
          <w:bCs/>
          <w:i w:val="false"/>
          <w:iCs w:val="false"/>
        </w:rPr>
        <w:t xml:space="preserve">en continu</w:t>
      </w:r>
      <w:r>
        <w:rPr>
          <w:b w:val="false"/>
          <w:bCs w:val="false"/>
          <w:i w:val="false"/>
          <w:iCs w:val="false"/>
        </w:rPr>
        <w:t xml:space="preserve"> par probabilité moyenne (section suivante).</w:t>
      </w:r>
    </w:p>
    <w:p>
      <w:pPr>
        <w:pStyle w:val="Heading1"/>
        <w:spacing w:after="200" w:before="360"/>
      </w:pPr>
      <w:r>
        <w:rPr>
          <w:b/>
          <w:bCs/>
          <w:color w:val="2563A8"/>
          <w:sz w:val="30"/>
          <w:szCs w:val="30"/>
        </w:rPr>
        <w:t xml:space="preserve">7. Localités prioritaires et recommandations</w:t>
      </w:r>
    </w:p>
    <w:p>
      <w:pPr>
        <w:pStyle w:val="Heading2"/>
        <w:spacing w:after="160" w:before="260"/>
      </w:pPr>
      <w:r>
        <w:rPr>
          <w:b/>
          <w:bCs/>
          <w:color w:val="333333"/>
          <w:sz w:val="24"/>
          <w:szCs w:val="24"/>
        </w:rPr>
        <w:t xml:space="preserve">Top 12 localités prioritaires (scénario extrême)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936"/>
        <w:gridCol w:w="2246"/>
        <w:gridCol w:w="2246"/>
      </w:tblGrid>
      <w:tr>
        <w:trPr>
          <w:tblHeader/>
        </w:trPr>
        <w:tc>
          <w:tcPr>
            <w:tcW w:type="dxa" w:w="2059"/>
            <w:shd w:fill="2563A8" w:color="auto" w:val="clear"/>
            <w:tcMar>
              <w:top w:type="dxa" w:w="80"/>
              <w:left w:type="dxa" w:w="100"/>
              <w:bottom w:type="dxa" w:w="80"/>
              <w:right w:type="dxa" w:w="100"/>
            </w:tcMar>
          </w:tcPr>
          <w:p>
            <w:r>
              <w:rPr>
                <w:b/>
                <w:bCs/>
                <w:color w:val="FFFFFF"/>
                <w:sz w:val="19"/>
                <w:szCs w:val="19"/>
              </w:rPr>
              <w:t xml:space="preserve">Localité</w:t>
            </w:r>
          </w:p>
        </w:tc>
        <w:tc>
          <w:tcPr>
            <w:tcW w:type="dxa" w:w="1872"/>
            <w:shd w:fill="2563A8" w:color="auto" w:val="clear"/>
            <w:tcMar>
              <w:top w:type="dxa" w:w="80"/>
              <w:left w:type="dxa" w:w="100"/>
              <w:bottom w:type="dxa" w:w="80"/>
              <w:right w:type="dxa" w:w="100"/>
            </w:tcMar>
          </w:tcPr>
          <w:p>
            <w:r>
              <w:rPr>
                <w:b/>
                <w:bCs/>
                <w:color w:val="FFFFFF"/>
                <w:sz w:val="19"/>
                <w:szCs w:val="19"/>
              </w:rPr>
              <w:t xml:space="preserve">Région</w:t>
            </w:r>
          </w:p>
        </w:tc>
        <w:tc>
          <w:tcPr>
            <w:tcW w:type="dxa" w:w="936"/>
            <w:shd w:fill="2563A8" w:color="auto" w:val="clear"/>
            <w:tcMar>
              <w:top w:type="dxa" w:w="80"/>
              <w:left w:type="dxa" w:w="100"/>
              <w:bottom w:type="dxa" w:w="80"/>
              <w:right w:type="dxa" w:w="100"/>
            </w:tcMar>
          </w:tcPr>
          <w:p>
            <w:r>
              <w:rPr>
                <w:b/>
                <w:bCs/>
                <w:color w:val="FFFFFF"/>
                <w:sz w:val="19"/>
                <w:szCs w:val="19"/>
              </w:rPr>
              <w:t xml:space="preserve">Zones</w:t>
            </w:r>
          </w:p>
        </w:tc>
        <w:tc>
          <w:tcPr>
            <w:tcW w:type="dxa" w:w="2246"/>
            <w:shd w:fill="2563A8" w:color="auto" w:val="clear"/>
            <w:tcMar>
              <w:top w:type="dxa" w:w="80"/>
              <w:left w:type="dxa" w:w="100"/>
              <w:bottom w:type="dxa" w:w="80"/>
              <w:right w:type="dxa" w:w="100"/>
            </w:tcMar>
          </w:tcPr>
          <w:p>
            <w:r>
              <w:rPr>
                <w:b/>
                <w:bCs/>
                <w:color w:val="FFFFFF"/>
                <w:sz w:val="19"/>
                <w:szCs w:val="19"/>
              </w:rPr>
              <w:t xml:space="preserve">Probabilité moyenne</w:t>
            </w:r>
          </w:p>
        </w:tc>
        <w:tc>
          <w:tcPr>
            <w:tcW w:type="dxa" w:w="2246"/>
            <w:shd w:fill="2563A8" w:color="auto" w:val="clear"/>
            <w:tcMar>
              <w:top w:type="dxa" w:w="80"/>
              <w:left w:type="dxa" w:w="100"/>
              <w:bottom w:type="dxa" w:w="80"/>
              <w:right w:type="dxa" w:w="100"/>
            </w:tcMar>
          </w:tcPr>
          <w:p>
            <w:r>
              <w:rPr>
                <w:b/>
                <w:bCs/>
                <w:color w:val="FFFFFF"/>
                <w:sz w:val="19"/>
                <w:szCs w:val="19"/>
              </w:rPr>
              <w:t xml:space="preserve">% « Très élevé »</w:t>
            </w:r>
          </w:p>
        </w:tc>
      </w:tr>
      <w:tr>
        <w:tc>
          <w:tcPr>
            <w:tcW w:type="dxa" w:w="2059"/>
            <w:tcMar>
              <w:top w:type="dxa" w:w="60"/>
              <w:left w:type="dxa" w:w="100"/>
              <w:bottom w:type="dxa" w:w="60"/>
              <w:right w:type="dxa" w:w="100"/>
            </w:tcMar>
          </w:tcPr>
          <w:p>
            <w:r>
              <w:rPr>
                <w:b/>
                <w:bCs/>
                <w:sz w:val="19"/>
                <w:szCs w:val="19"/>
              </w:rPr>
              <w:t xml:space="preserve">Saint-Louis</w:t>
            </w:r>
          </w:p>
        </w:tc>
        <w:tc>
          <w:tcPr>
            <w:tcW w:type="dxa" w:w="1872"/>
            <w:tcMar>
              <w:top w:type="dxa" w:w="60"/>
              <w:left w:type="dxa" w:w="100"/>
              <w:bottom w:type="dxa" w:w="60"/>
              <w:right w:type="dxa" w:w="100"/>
            </w:tcMar>
          </w:tcPr>
          <w:p>
            <w:r>
              <w:rPr>
                <w:b w:val="false"/>
                <w:bCs w:val="false"/>
                <w:sz w:val="19"/>
                <w:szCs w:val="19"/>
              </w:rPr>
              <w:t xml:space="preserve">Saint-Louis</w:t>
            </w:r>
          </w:p>
        </w:tc>
        <w:tc>
          <w:tcPr>
            <w:tcW w:type="dxa" w:w="936"/>
            <w:tcMar>
              <w:top w:type="dxa" w:w="60"/>
              <w:left w:type="dxa" w:w="100"/>
              <w:bottom w:type="dxa" w:w="60"/>
              <w:right w:type="dxa" w:w="100"/>
            </w:tcMar>
          </w:tcPr>
          <w:p>
            <w:r>
              <w:rPr>
                <w:b w:val="false"/>
                <w:bCs w:val="false"/>
                <w:sz w:val="19"/>
                <w:szCs w:val="19"/>
              </w:rPr>
              <w:t xml:space="preserve">12</w:t>
            </w:r>
          </w:p>
        </w:tc>
        <w:tc>
          <w:tcPr>
            <w:tcW w:type="dxa" w:w="2246"/>
            <w:tcMar>
              <w:top w:type="dxa" w:w="60"/>
              <w:left w:type="dxa" w:w="100"/>
              <w:bottom w:type="dxa" w:w="60"/>
              <w:right w:type="dxa" w:w="100"/>
            </w:tcMar>
          </w:tcPr>
          <w:p>
            <w:r>
              <w:rPr>
                <w:b w:val="false"/>
                <w:bCs w:val="false"/>
                <w:sz w:val="19"/>
                <w:szCs w:val="19"/>
              </w:rPr>
              <w:t xml:space="preserve">98,8 %</w:t>
            </w:r>
          </w:p>
        </w:tc>
        <w:tc>
          <w:tcPr>
            <w:tcW w:type="dxa" w:w="2246"/>
            <w:tcMar>
              <w:top w:type="dxa" w:w="60"/>
              <w:left w:type="dxa" w:w="100"/>
              <w:bottom w:type="dxa" w:w="60"/>
              <w:right w:type="dxa" w:w="100"/>
            </w:tcMar>
          </w:tcPr>
          <w:p>
            <w:r>
              <w:rPr>
                <w:b w:val="false"/>
                <w:bCs w:val="false"/>
                <w:sz w:val="19"/>
                <w:szCs w:val="19"/>
              </w:rPr>
              <w:t xml:space="preserve">100 %</w:t>
            </w:r>
          </w:p>
        </w:tc>
      </w:tr>
      <w:tr>
        <w:tc>
          <w:tcPr>
            <w:tcW w:type="dxa" w:w="2059"/>
            <w:shd w:fill="F2F6FA" w:color="auto" w:val="clear"/>
            <w:tcMar>
              <w:top w:type="dxa" w:w="60"/>
              <w:left w:type="dxa" w:w="100"/>
              <w:bottom w:type="dxa" w:w="60"/>
              <w:right w:type="dxa" w:w="100"/>
            </w:tcMar>
          </w:tcPr>
          <w:p>
            <w:r>
              <w:rPr>
                <w:b/>
                <w:bCs/>
                <w:sz w:val="19"/>
                <w:szCs w:val="19"/>
              </w:rPr>
              <w:t xml:space="preserve">Malika</w:t>
            </w:r>
          </w:p>
        </w:tc>
        <w:tc>
          <w:tcPr>
            <w:tcW w:type="dxa" w:w="1872"/>
            <w:shd w:fill="F2F6FA" w:color="auto" w:val="clear"/>
            <w:tcMar>
              <w:top w:type="dxa" w:w="60"/>
              <w:left w:type="dxa" w:w="100"/>
              <w:bottom w:type="dxa" w:w="60"/>
              <w:right w:type="dxa" w:w="100"/>
            </w:tcMar>
          </w:tcPr>
          <w:p>
            <w:r>
              <w:rPr>
                <w:b w:val="false"/>
                <w:bCs w:val="false"/>
                <w:sz w:val="19"/>
                <w:szCs w:val="19"/>
              </w:rPr>
              <w:t xml:space="preserve">Dakar</w:t>
            </w:r>
          </w:p>
        </w:tc>
        <w:tc>
          <w:tcPr>
            <w:tcW w:type="dxa" w:w="936"/>
            <w:shd w:fill="F2F6FA" w:color="auto" w:val="clear"/>
            <w:tcMar>
              <w:top w:type="dxa" w:w="60"/>
              <w:left w:type="dxa" w:w="100"/>
              <w:bottom w:type="dxa" w:w="60"/>
              <w:right w:type="dxa" w:w="100"/>
            </w:tcMar>
          </w:tcPr>
          <w:p>
            <w:r>
              <w:rPr>
                <w:b w:val="false"/>
                <w:bCs w:val="false"/>
                <w:sz w:val="19"/>
                <w:szCs w:val="19"/>
              </w:rPr>
              <w:t xml:space="preserve">10</w:t>
            </w:r>
          </w:p>
        </w:tc>
        <w:tc>
          <w:tcPr>
            <w:tcW w:type="dxa" w:w="2246"/>
            <w:shd w:fill="F2F6FA" w:color="auto" w:val="clear"/>
            <w:tcMar>
              <w:top w:type="dxa" w:w="60"/>
              <w:left w:type="dxa" w:w="100"/>
              <w:bottom w:type="dxa" w:w="60"/>
              <w:right w:type="dxa" w:w="100"/>
            </w:tcMar>
          </w:tcPr>
          <w:p>
            <w:r>
              <w:rPr>
                <w:b w:val="false"/>
                <w:bCs w:val="false"/>
                <w:sz w:val="19"/>
                <w:szCs w:val="19"/>
              </w:rPr>
              <w:t xml:space="preserve">98,0 %</w:t>
            </w:r>
          </w:p>
        </w:tc>
        <w:tc>
          <w:tcPr>
            <w:tcW w:type="dxa" w:w="2246"/>
            <w:shd w:fill="F2F6FA" w:color="auto" w:val="clear"/>
            <w:tcMar>
              <w:top w:type="dxa" w:w="60"/>
              <w:left w:type="dxa" w:w="100"/>
              <w:bottom w:type="dxa" w:w="60"/>
              <w:right w:type="dxa" w:w="100"/>
            </w:tcMar>
          </w:tcPr>
          <w:p>
            <w:r>
              <w:rPr>
                <w:b w:val="false"/>
                <w:bCs w:val="false"/>
                <w:sz w:val="19"/>
                <w:szCs w:val="19"/>
              </w:rPr>
              <w:t xml:space="preserve">100 %</w:t>
            </w:r>
          </w:p>
        </w:tc>
      </w:tr>
      <w:tr>
        <w:tc>
          <w:tcPr>
            <w:tcW w:type="dxa" w:w="2059"/>
            <w:tcMar>
              <w:top w:type="dxa" w:w="60"/>
              <w:left w:type="dxa" w:w="100"/>
              <w:bottom w:type="dxa" w:w="60"/>
              <w:right w:type="dxa" w:w="100"/>
            </w:tcMar>
          </w:tcPr>
          <w:p>
            <w:r>
              <w:rPr>
                <w:b/>
                <w:bCs/>
                <w:sz w:val="19"/>
                <w:szCs w:val="19"/>
              </w:rPr>
              <w:t xml:space="preserve">Matam</w:t>
            </w:r>
          </w:p>
        </w:tc>
        <w:tc>
          <w:tcPr>
            <w:tcW w:type="dxa" w:w="1872"/>
            <w:tcMar>
              <w:top w:type="dxa" w:w="60"/>
              <w:left w:type="dxa" w:w="100"/>
              <w:bottom w:type="dxa" w:w="60"/>
              <w:right w:type="dxa" w:w="100"/>
            </w:tcMar>
          </w:tcPr>
          <w:p>
            <w:r>
              <w:rPr>
                <w:b w:val="false"/>
                <w:bCs w:val="false"/>
                <w:sz w:val="19"/>
                <w:szCs w:val="19"/>
              </w:rPr>
              <w:t xml:space="preserve">Matam</w:t>
            </w:r>
          </w:p>
        </w:tc>
        <w:tc>
          <w:tcPr>
            <w:tcW w:type="dxa" w:w="936"/>
            <w:tcMar>
              <w:top w:type="dxa" w:w="60"/>
              <w:left w:type="dxa" w:w="100"/>
              <w:bottom w:type="dxa" w:w="60"/>
              <w:right w:type="dxa" w:w="100"/>
            </w:tcMar>
          </w:tcPr>
          <w:p>
            <w:r>
              <w:rPr>
                <w:b w:val="false"/>
                <w:bCs w:val="false"/>
                <w:sz w:val="19"/>
                <w:szCs w:val="19"/>
              </w:rPr>
              <w:t xml:space="preserve">11</w:t>
            </w:r>
          </w:p>
        </w:tc>
        <w:tc>
          <w:tcPr>
            <w:tcW w:type="dxa" w:w="2246"/>
            <w:tcMar>
              <w:top w:type="dxa" w:w="60"/>
              <w:left w:type="dxa" w:w="100"/>
              <w:bottom w:type="dxa" w:w="60"/>
              <w:right w:type="dxa" w:w="100"/>
            </w:tcMar>
          </w:tcPr>
          <w:p>
            <w:r>
              <w:rPr>
                <w:b w:val="false"/>
                <w:bCs w:val="false"/>
                <w:sz w:val="19"/>
                <w:szCs w:val="19"/>
              </w:rPr>
              <w:t xml:space="preserve">96,8 %</w:t>
            </w:r>
          </w:p>
        </w:tc>
        <w:tc>
          <w:tcPr>
            <w:tcW w:type="dxa" w:w="2246"/>
            <w:tcMar>
              <w:top w:type="dxa" w:w="60"/>
              <w:left w:type="dxa" w:w="100"/>
              <w:bottom w:type="dxa" w:w="60"/>
              <w:right w:type="dxa" w:w="100"/>
            </w:tcMar>
          </w:tcPr>
          <w:p>
            <w:r>
              <w:rPr>
                <w:b w:val="false"/>
                <w:bCs w:val="false"/>
                <w:sz w:val="19"/>
                <w:szCs w:val="19"/>
              </w:rPr>
              <w:t xml:space="preserve">100 %</w:t>
            </w:r>
          </w:p>
        </w:tc>
      </w:tr>
      <w:tr>
        <w:tc>
          <w:tcPr>
            <w:tcW w:type="dxa" w:w="2059"/>
            <w:shd w:fill="F2F6FA" w:color="auto" w:val="clear"/>
            <w:tcMar>
              <w:top w:type="dxa" w:w="60"/>
              <w:left w:type="dxa" w:w="100"/>
              <w:bottom w:type="dxa" w:w="60"/>
              <w:right w:type="dxa" w:w="100"/>
            </w:tcMar>
          </w:tcPr>
          <w:p>
            <w:r>
              <w:rPr>
                <w:b/>
                <w:bCs/>
                <w:sz w:val="19"/>
                <w:szCs w:val="19"/>
              </w:rPr>
              <w:t xml:space="preserve">Podor</w:t>
            </w:r>
          </w:p>
        </w:tc>
        <w:tc>
          <w:tcPr>
            <w:tcW w:type="dxa" w:w="1872"/>
            <w:shd w:fill="F2F6FA" w:color="auto" w:val="clear"/>
            <w:tcMar>
              <w:top w:type="dxa" w:w="60"/>
              <w:left w:type="dxa" w:w="100"/>
              <w:bottom w:type="dxa" w:w="60"/>
              <w:right w:type="dxa" w:w="100"/>
            </w:tcMar>
          </w:tcPr>
          <w:p>
            <w:r>
              <w:rPr>
                <w:b w:val="false"/>
                <w:bCs w:val="false"/>
                <w:sz w:val="19"/>
                <w:szCs w:val="19"/>
              </w:rPr>
              <w:t xml:space="preserve">Saint-Louis</w:t>
            </w:r>
          </w:p>
        </w:tc>
        <w:tc>
          <w:tcPr>
            <w:tcW w:type="dxa" w:w="936"/>
            <w:shd w:fill="F2F6FA" w:color="auto" w:val="clear"/>
            <w:tcMar>
              <w:top w:type="dxa" w:w="60"/>
              <w:left w:type="dxa" w:w="100"/>
              <w:bottom w:type="dxa" w:w="60"/>
              <w:right w:type="dxa" w:w="100"/>
            </w:tcMar>
          </w:tcPr>
          <w:p>
            <w:r>
              <w:rPr>
                <w:b w:val="false"/>
                <w:bCs w:val="false"/>
                <w:sz w:val="19"/>
                <w:szCs w:val="19"/>
              </w:rPr>
              <w:t xml:space="preserve">9</w:t>
            </w:r>
          </w:p>
        </w:tc>
        <w:tc>
          <w:tcPr>
            <w:tcW w:type="dxa" w:w="2246"/>
            <w:shd w:fill="F2F6FA" w:color="auto" w:val="clear"/>
            <w:tcMar>
              <w:top w:type="dxa" w:w="60"/>
              <w:left w:type="dxa" w:w="100"/>
              <w:bottom w:type="dxa" w:w="60"/>
              <w:right w:type="dxa" w:w="100"/>
            </w:tcMar>
          </w:tcPr>
          <w:p>
            <w:r>
              <w:rPr>
                <w:b w:val="false"/>
                <w:bCs w:val="false"/>
                <w:sz w:val="19"/>
                <w:szCs w:val="19"/>
              </w:rPr>
              <w:t xml:space="preserve">96,6 %</w:t>
            </w:r>
          </w:p>
        </w:tc>
        <w:tc>
          <w:tcPr>
            <w:tcW w:type="dxa" w:w="2246"/>
            <w:shd w:fill="F2F6FA" w:color="auto" w:val="clear"/>
            <w:tcMar>
              <w:top w:type="dxa" w:w="60"/>
              <w:left w:type="dxa" w:w="100"/>
              <w:bottom w:type="dxa" w:w="60"/>
              <w:right w:type="dxa" w:w="100"/>
            </w:tcMar>
          </w:tcPr>
          <w:p>
            <w:r>
              <w:rPr>
                <w:b w:val="false"/>
                <w:bCs w:val="false"/>
                <w:sz w:val="19"/>
                <w:szCs w:val="19"/>
              </w:rPr>
              <w:t xml:space="preserve">100 %</w:t>
            </w:r>
          </w:p>
        </w:tc>
      </w:tr>
      <w:tr>
        <w:tc>
          <w:tcPr>
            <w:tcW w:type="dxa" w:w="2059"/>
            <w:tcMar>
              <w:top w:type="dxa" w:w="60"/>
              <w:left w:type="dxa" w:w="100"/>
              <w:bottom w:type="dxa" w:w="60"/>
              <w:right w:type="dxa" w:w="100"/>
            </w:tcMar>
          </w:tcPr>
          <w:p>
            <w:r>
              <w:rPr>
                <w:b/>
                <w:bCs/>
                <w:sz w:val="19"/>
                <w:szCs w:val="19"/>
              </w:rPr>
              <w:t xml:space="preserve">Keur Massar</w:t>
            </w:r>
          </w:p>
        </w:tc>
        <w:tc>
          <w:tcPr>
            <w:tcW w:type="dxa" w:w="1872"/>
            <w:tcMar>
              <w:top w:type="dxa" w:w="60"/>
              <w:left w:type="dxa" w:w="100"/>
              <w:bottom w:type="dxa" w:w="60"/>
              <w:right w:type="dxa" w:w="100"/>
            </w:tcMar>
          </w:tcPr>
          <w:p>
            <w:r>
              <w:rPr>
                <w:b w:val="false"/>
                <w:bCs w:val="false"/>
                <w:sz w:val="19"/>
                <w:szCs w:val="19"/>
              </w:rPr>
              <w:t xml:space="preserve">Dakar</w:t>
            </w:r>
          </w:p>
        </w:tc>
        <w:tc>
          <w:tcPr>
            <w:tcW w:type="dxa" w:w="936"/>
            <w:tcMar>
              <w:top w:type="dxa" w:w="60"/>
              <w:left w:type="dxa" w:w="100"/>
              <w:bottom w:type="dxa" w:w="60"/>
              <w:right w:type="dxa" w:w="100"/>
            </w:tcMar>
          </w:tcPr>
          <w:p>
            <w:r>
              <w:rPr>
                <w:b w:val="false"/>
                <w:bCs w:val="false"/>
                <w:sz w:val="19"/>
                <w:szCs w:val="19"/>
              </w:rPr>
              <w:t xml:space="preserve">12</w:t>
            </w:r>
          </w:p>
        </w:tc>
        <w:tc>
          <w:tcPr>
            <w:tcW w:type="dxa" w:w="2246"/>
            <w:tcMar>
              <w:top w:type="dxa" w:w="60"/>
              <w:left w:type="dxa" w:w="100"/>
              <w:bottom w:type="dxa" w:w="60"/>
              <w:right w:type="dxa" w:w="100"/>
            </w:tcMar>
          </w:tcPr>
          <w:p>
            <w:r>
              <w:rPr>
                <w:b w:val="false"/>
                <w:bCs w:val="false"/>
                <w:sz w:val="19"/>
                <w:szCs w:val="19"/>
              </w:rPr>
              <w:t xml:space="preserve">96,0 %</w:t>
            </w:r>
          </w:p>
        </w:tc>
        <w:tc>
          <w:tcPr>
            <w:tcW w:type="dxa" w:w="2246"/>
            <w:tcMar>
              <w:top w:type="dxa" w:w="60"/>
              <w:left w:type="dxa" w:w="100"/>
              <w:bottom w:type="dxa" w:w="60"/>
              <w:right w:type="dxa" w:w="100"/>
            </w:tcMar>
          </w:tcPr>
          <w:p>
            <w:r>
              <w:rPr>
                <w:b w:val="false"/>
                <w:bCs w:val="false"/>
                <w:sz w:val="19"/>
                <w:szCs w:val="19"/>
              </w:rPr>
              <w:t xml:space="preserve">100 %</w:t>
            </w:r>
          </w:p>
        </w:tc>
      </w:tr>
      <w:tr>
        <w:tc>
          <w:tcPr>
            <w:tcW w:type="dxa" w:w="2059"/>
            <w:shd w:fill="F2F6FA" w:color="auto" w:val="clear"/>
            <w:tcMar>
              <w:top w:type="dxa" w:w="60"/>
              <w:left w:type="dxa" w:w="100"/>
              <w:bottom w:type="dxa" w:w="60"/>
              <w:right w:type="dxa" w:w="100"/>
            </w:tcMar>
          </w:tcPr>
          <w:p>
            <w:r>
              <w:rPr>
                <w:b/>
                <w:bCs/>
                <w:sz w:val="19"/>
                <w:szCs w:val="19"/>
              </w:rPr>
              <w:t xml:space="preserve">Yeumbeul</w:t>
            </w:r>
          </w:p>
        </w:tc>
        <w:tc>
          <w:tcPr>
            <w:tcW w:type="dxa" w:w="1872"/>
            <w:shd w:fill="F2F6FA" w:color="auto" w:val="clear"/>
            <w:tcMar>
              <w:top w:type="dxa" w:w="60"/>
              <w:left w:type="dxa" w:w="100"/>
              <w:bottom w:type="dxa" w:w="60"/>
              <w:right w:type="dxa" w:w="100"/>
            </w:tcMar>
          </w:tcPr>
          <w:p>
            <w:r>
              <w:rPr>
                <w:b w:val="false"/>
                <w:bCs w:val="false"/>
                <w:sz w:val="19"/>
                <w:szCs w:val="19"/>
              </w:rPr>
              <w:t xml:space="preserve">Dakar</w:t>
            </w:r>
          </w:p>
        </w:tc>
        <w:tc>
          <w:tcPr>
            <w:tcW w:type="dxa" w:w="936"/>
            <w:shd w:fill="F2F6FA" w:color="auto" w:val="clear"/>
            <w:tcMar>
              <w:top w:type="dxa" w:w="60"/>
              <w:left w:type="dxa" w:w="100"/>
              <w:bottom w:type="dxa" w:w="60"/>
              <w:right w:type="dxa" w:w="100"/>
            </w:tcMar>
          </w:tcPr>
          <w:p>
            <w:r>
              <w:rPr>
                <w:b w:val="false"/>
                <w:bCs w:val="false"/>
                <w:sz w:val="19"/>
                <w:szCs w:val="19"/>
              </w:rPr>
              <w:t xml:space="preserve">8</w:t>
            </w:r>
          </w:p>
        </w:tc>
        <w:tc>
          <w:tcPr>
            <w:tcW w:type="dxa" w:w="2246"/>
            <w:shd w:fill="F2F6FA" w:color="auto" w:val="clear"/>
            <w:tcMar>
              <w:top w:type="dxa" w:w="60"/>
              <w:left w:type="dxa" w:w="100"/>
              <w:bottom w:type="dxa" w:w="60"/>
              <w:right w:type="dxa" w:w="100"/>
            </w:tcMar>
          </w:tcPr>
          <w:p>
            <w:r>
              <w:rPr>
                <w:b w:val="false"/>
                <w:bCs w:val="false"/>
                <w:sz w:val="19"/>
                <w:szCs w:val="19"/>
              </w:rPr>
              <w:t xml:space="preserve">95,4 %</w:t>
            </w:r>
          </w:p>
        </w:tc>
        <w:tc>
          <w:tcPr>
            <w:tcW w:type="dxa" w:w="2246"/>
            <w:shd w:fill="F2F6FA" w:color="auto" w:val="clear"/>
            <w:tcMar>
              <w:top w:type="dxa" w:w="60"/>
              <w:left w:type="dxa" w:w="100"/>
              <w:bottom w:type="dxa" w:w="60"/>
              <w:right w:type="dxa" w:w="100"/>
            </w:tcMar>
          </w:tcPr>
          <w:p>
            <w:r>
              <w:rPr>
                <w:b w:val="false"/>
                <w:bCs w:val="false"/>
                <w:sz w:val="19"/>
                <w:szCs w:val="19"/>
              </w:rPr>
              <w:t xml:space="preserve">100 %</w:t>
            </w:r>
          </w:p>
        </w:tc>
      </w:tr>
      <w:tr>
        <w:tc>
          <w:tcPr>
            <w:tcW w:type="dxa" w:w="2059"/>
            <w:tcMar>
              <w:top w:type="dxa" w:w="60"/>
              <w:left w:type="dxa" w:w="100"/>
              <w:bottom w:type="dxa" w:w="60"/>
              <w:right w:type="dxa" w:w="100"/>
            </w:tcMar>
          </w:tcPr>
          <w:p>
            <w:r>
              <w:rPr>
                <w:b/>
                <w:bCs/>
                <w:sz w:val="19"/>
                <w:szCs w:val="19"/>
              </w:rPr>
              <w:t xml:space="preserve">Kaolack</w:t>
            </w:r>
          </w:p>
        </w:tc>
        <w:tc>
          <w:tcPr>
            <w:tcW w:type="dxa" w:w="1872"/>
            <w:tcMar>
              <w:top w:type="dxa" w:w="60"/>
              <w:left w:type="dxa" w:w="100"/>
              <w:bottom w:type="dxa" w:w="60"/>
              <w:right w:type="dxa" w:w="100"/>
            </w:tcMar>
          </w:tcPr>
          <w:p>
            <w:r>
              <w:rPr>
                <w:b w:val="false"/>
                <w:bCs w:val="false"/>
                <w:sz w:val="19"/>
                <w:szCs w:val="19"/>
              </w:rPr>
              <w:t xml:space="preserve">Kaolack</w:t>
            </w:r>
          </w:p>
        </w:tc>
        <w:tc>
          <w:tcPr>
            <w:tcW w:type="dxa" w:w="936"/>
            <w:tcMar>
              <w:top w:type="dxa" w:w="60"/>
              <w:left w:type="dxa" w:w="100"/>
              <w:bottom w:type="dxa" w:w="60"/>
              <w:right w:type="dxa" w:w="100"/>
            </w:tcMar>
          </w:tcPr>
          <w:p>
            <w:r>
              <w:rPr>
                <w:b w:val="false"/>
                <w:bCs w:val="false"/>
                <w:sz w:val="19"/>
                <w:szCs w:val="19"/>
              </w:rPr>
              <w:t xml:space="preserve">13</w:t>
            </w:r>
          </w:p>
        </w:tc>
        <w:tc>
          <w:tcPr>
            <w:tcW w:type="dxa" w:w="2246"/>
            <w:tcMar>
              <w:top w:type="dxa" w:w="60"/>
              <w:left w:type="dxa" w:w="100"/>
              <w:bottom w:type="dxa" w:w="60"/>
              <w:right w:type="dxa" w:w="100"/>
            </w:tcMar>
          </w:tcPr>
          <w:p>
            <w:r>
              <w:rPr>
                <w:b w:val="false"/>
                <w:bCs w:val="false"/>
                <w:sz w:val="19"/>
                <w:szCs w:val="19"/>
              </w:rPr>
              <w:t xml:space="preserve">94,6 %</w:t>
            </w:r>
          </w:p>
        </w:tc>
        <w:tc>
          <w:tcPr>
            <w:tcW w:type="dxa" w:w="2246"/>
            <w:tcMar>
              <w:top w:type="dxa" w:w="60"/>
              <w:left w:type="dxa" w:w="100"/>
              <w:bottom w:type="dxa" w:w="60"/>
              <w:right w:type="dxa" w:w="100"/>
            </w:tcMar>
          </w:tcPr>
          <w:p>
            <w:r>
              <w:rPr>
                <w:b w:val="false"/>
                <w:bCs w:val="false"/>
                <w:sz w:val="19"/>
                <w:szCs w:val="19"/>
              </w:rPr>
              <w:t xml:space="preserve">100 %</w:t>
            </w:r>
          </w:p>
        </w:tc>
      </w:tr>
      <w:tr>
        <w:tc>
          <w:tcPr>
            <w:tcW w:type="dxa" w:w="2059"/>
            <w:shd w:fill="F2F6FA" w:color="auto" w:val="clear"/>
            <w:tcMar>
              <w:top w:type="dxa" w:w="60"/>
              <w:left w:type="dxa" w:w="100"/>
              <w:bottom w:type="dxa" w:w="60"/>
              <w:right w:type="dxa" w:w="100"/>
            </w:tcMar>
          </w:tcPr>
          <w:p>
            <w:r>
              <w:rPr>
                <w:b/>
                <w:bCs/>
                <w:sz w:val="19"/>
                <w:szCs w:val="19"/>
              </w:rPr>
              <w:t xml:space="preserve">Bakel</w:t>
            </w:r>
          </w:p>
        </w:tc>
        <w:tc>
          <w:tcPr>
            <w:tcW w:type="dxa" w:w="1872"/>
            <w:shd w:fill="F2F6FA" w:color="auto" w:val="clear"/>
            <w:tcMar>
              <w:top w:type="dxa" w:w="60"/>
              <w:left w:type="dxa" w:w="100"/>
              <w:bottom w:type="dxa" w:w="60"/>
              <w:right w:type="dxa" w:w="100"/>
            </w:tcMar>
          </w:tcPr>
          <w:p>
            <w:r>
              <w:rPr>
                <w:b w:val="false"/>
                <w:bCs w:val="false"/>
                <w:sz w:val="19"/>
                <w:szCs w:val="19"/>
              </w:rPr>
              <w:t xml:space="preserve">Tambacounda</w:t>
            </w:r>
          </w:p>
        </w:tc>
        <w:tc>
          <w:tcPr>
            <w:tcW w:type="dxa" w:w="936"/>
            <w:shd w:fill="F2F6FA" w:color="auto" w:val="clear"/>
            <w:tcMar>
              <w:top w:type="dxa" w:w="60"/>
              <w:left w:type="dxa" w:w="100"/>
              <w:bottom w:type="dxa" w:w="60"/>
              <w:right w:type="dxa" w:w="100"/>
            </w:tcMar>
          </w:tcPr>
          <w:p>
            <w:r>
              <w:rPr>
                <w:b w:val="false"/>
                <w:bCs w:val="false"/>
                <w:sz w:val="19"/>
                <w:szCs w:val="19"/>
              </w:rPr>
              <w:t xml:space="preserve">8</w:t>
            </w:r>
          </w:p>
        </w:tc>
        <w:tc>
          <w:tcPr>
            <w:tcW w:type="dxa" w:w="2246"/>
            <w:shd w:fill="F2F6FA" w:color="auto" w:val="clear"/>
            <w:tcMar>
              <w:top w:type="dxa" w:w="60"/>
              <w:left w:type="dxa" w:w="100"/>
              <w:bottom w:type="dxa" w:w="60"/>
              <w:right w:type="dxa" w:w="100"/>
            </w:tcMar>
          </w:tcPr>
          <w:p>
            <w:r>
              <w:rPr>
                <w:b w:val="false"/>
                <w:bCs w:val="false"/>
                <w:sz w:val="19"/>
                <w:szCs w:val="19"/>
              </w:rPr>
              <w:t xml:space="preserve">93,8 %</w:t>
            </w:r>
          </w:p>
        </w:tc>
        <w:tc>
          <w:tcPr>
            <w:tcW w:type="dxa" w:w="2246"/>
            <w:shd w:fill="F2F6FA" w:color="auto" w:val="clear"/>
            <w:tcMar>
              <w:top w:type="dxa" w:w="60"/>
              <w:left w:type="dxa" w:w="100"/>
              <w:bottom w:type="dxa" w:w="60"/>
              <w:right w:type="dxa" w:w="100"/>
            </w:tcMar>
          </w:tcPr>
          <w:p>
            <w:r>
              <w:rPr>
                <w:b w:val="false"/>
                <w:bCs w:val="false"/>
                <w:sz w:val="19"/>
                <w:szCs w:val="19"/>
              </w:rPr>
              <w:t xml:space="preserve">100 %</w:t>
            </w:r>
          </w:p>
        </w:tc>
      </w:tr>
      <w:tr>
        <w:tc>
          <w:tcPr>
            <w:tcW w:type="dxa" w:w="2059"/>
            <w:tcMar>
              <w:top w:type="dxa" w:w="60"/>
              <w:left w:type="dxa" w:w="100"/>
              <w:bottom w:type="dxa" w:w="60"/>
              <w:right w:type="dxa" w:w="100"/>
            </w:tcMar>
          </w:tcPr>
          <w:p>
            <w:r>
              <w:rPr>
                <w:b/>
                <w:bCs/>
                <w:sz w:val="19"/>
                <w:szCs w:val="19"/>
              </w:rPr>
              <w:t xml:space="preserve">Guédiawaye</w:t>
            </w:r>
          </w:p>
        </w:tc>
        <w:tc>
          <w:tcPr>
            <w:tcW w:type="dxa" w:w="1872"/>
            <w:tcMar>
              <w:top w:type="dxa" w:w="60"/>
              <w:left w:type="dxa" w:w="100"/>
              <w:bottom w:type="dxa" w:w="60"/>
              <w:right w:type="dxa" w:w="100"/>
            </w:tcMar>
          </w:tcPr>
          <w:p>
            <w:r>
              <w:rPr>
                <w:b w:val="false"/>
                <w:bCs w:val="false"/>
                <w:sz w:val="19"/>
                <w:szCs w:val="19"/>
              </w:rPr>
              <w:t xml:space="preserve">Dakar</w:t>
            </w:r>
          </w:p>
        </w:tc>
        <w:tc>
          <w:tcPr>
            <w:tcW w:type="dxa" w:w="936"/>
            <w:tcMar>
              <w:top w:type="dxa" w:w="60"/>
              <w:left w:type="dxa" w:w="100"/>
              <w:bottom w:type="dxa" w:w="60"/>
              <w:right w:type="dxa" w:w="100"/>
            </w:tcMar>
          </w:tcPr>
          <w:p>
            <w:r>
              <w:rPr>
                <w:b w:val="false"/>
                <w:bCs w:val="false"/>
                <w:sz w:val="19"/>
                <w:szCs w:val="19"/>
              </w:rPr>
              <w:t xml:space="preserve">13</w:t>
            </w:r>
          </w:p>
        </w:tc>
        <w:tc>
          <w:tcPr>
            <w:tcW w:type="dxa" w:w="2246"/>
            <w:tcMar>
              <w:top w:type="dxa" w:w="60"/>
              <w:left w:type="dxa" w:w="100"/>
              <w:bottom w:type="dxa" w:w="60"/>
              <w:right w:type="dxa" w:w="100"/>
            </w:tcMar>
          </w:tcPr>
          <w:p>
            <w:r>
              <w:rPr>
                <w:b w:val="false"/>
                <w:bCs w:val="false"/>
                <w:sz w:val="19"/>
                <w:szCs w:val="19"/>
              </w:rPr>
              <w:t xml:space="preserve">93,8 %</w:t>
            </w:r>
          </w:p>
        </w:tc>
        <w:tc>
          <w:tcPr>
            <w:tcW w:type="dxa" w:w="2246"/>
            <w:tcMar>
              <w:top w:type="dxa" w:w="60"/>
              <w:left w:type="dxa" w:w="100"/>
              <w:bottom w:type="dxa" w:w="60"/>
              <w:right w:type="dxa" w:w="100"/>
            </w:tcMar>
          </w:tcPr>
          <w:p>
            <w:r>
              <w:rPr>
                <w:b w:val="false"/>
                <w:bCs w:val="false"/>
                <w:sz w:val="19"/>
                <w:szCs w:val="19"/>
              </w:rPr>
              <w:t xml:space="preserve">100 %</w:t>
            </w:r>
          </w:p>
        </w:tc>
      </w:tr>
      <w:tr>
        <w:tc>
          <w:tcPr>
            <w:tcW w:type="dxa" w:w="2059"/>
            <w:shd w:fill="F2F6FA" w:color="auto" w:val="clear"/>
            <w:tcMar>
              <w:top w:type="dxa" w:w="60"/>
              <w:left w:type="dxa" w:w="100"/>
              <w:bottom w:type="dxa" w:w="60"/>
              <w:right w:type="dxa" w:w="100"/>
            </w:tcMar>
          </w:tcPr>
          <w:p>
            <w:r>
              <w:rPr>
                <w:b/>
                <w:bCs/>
                <w:sz w:val="19"/>
                <w:szCs w:val="19"/>
              </w:rPr>
              <w:t xml:space="preserve">Richard-Toll</w:t>
            </w:r>
          </w:p>
        </w:tc>
        <w:tc>
          <w:tcPr>
            <w:tcW w:type="dxa" w:w="1872"/>
            <w:shd w:fill="F2F6FA" w:color="auto" w:val="clear"/>
            <w:tcMar>
              <w:top w:type="dxa" w:w="60"/>
              <w:left w:type="dxa" w:w="100"/>
              <w:bottom w:type="dxa" w:w="60"/>
              <w:right w:type="dxa" w:w="100"/>
            </w:tcMar>
          </w:tcPr>
          <w:p>
            <w:r>
              <w:rPr>
                <w:b w:val="false"/>
                <w:bCs w:val="false"/>
                <w:sz w:val="19"/>
                <w:szCs w:val="19"/>
              </w:rPr>
              <w:t xml:space="preserve">Saint-Louis</w:t>
            </w:r>
          </w:p>
        </w:tc>
        <w:tc>
          <w:tcPr>
            <w:tcW w:type="dxa" w:w="936"/>
            <w:shd w:fill="F2F6FA" w:color="auto" w:val="clear"/>
            <w:tcMar>
              <w:top w:type="dxa" w:w="60"/>
              <w:left w:type="dxa" w:w="100"/>
              <w:bottom w:type="dxa" w:w="60"/>
              <w:right w:type="dxa" w:w="100"/>
            </w:tcMar>
          </w:tcPr>
          <w:p>
            <w:r>
              <w:rPr>
                <w:b w:val="false"/>
                <w:bCs w:val="false"/>
                <w:sz w:val="19"/>
                <w:szCs w:val="19"/>
              </w:rPr>
              <w:t xml:space="preserve">11</w:t>
            </w:r>
          </w:p>
        </w:tc>
        <w:tc>
          <w:tcPr>
            <w:tcW w:type="dxa" w:w="2246"/>
            <w:shd w:fill="F2F6FA" w:color="auto" w:val="clear"/>
            <w:tcMar>
              <w:top w:type="dxa" w:w="60"/>
              <w:left w:type="dxa" w:w="100"/>
              <w:bottom w:type="dxa" w:w="60"/>
              <w:right w:type="dxa" w:w="100"/>
            </w:tcMar>
          </w:tcPr>
          <w:p>
            <w:r>
              <w:rPr>
                <w:b w:val="false"/>
                <w:bCs w:val="false"/>
                <w:sz w:val="19"/>
                <w:szCs w:val="19"/>
              </w:rPr>
              <w:t xml:space="preserve">93,8 %</w:t>
            </w:r>
          </w:p>
        </w:tc>
        <w:tc>
          <w:tcPr>
            <w:tcW w:type="dxa" w:w="2246"/>
            <w:shd w:fill="F2F6FA" w:color="auto" w:val="clear"/>
            <w:tcMar>
              <w:top w:type="dxa" w:w="60"/>
              <w:left w:type="dxa" w:w="100"/>
              <w:bottom w:type="dxa" w:w="60"/>
              <w:right w:type="dxa" w:w="100"/>
            </w:tcMar>
          </w:tcPr>
          <w:p>
            <w:r>
              <w:rPr>
                <w:b w:val="false"/>
                <w:bCs w:val="false"/>
                <w:sz w:val="19"/>
                <w:szCs w:val="19"/>
              </w:rPr>
              <w:t xml:space="preserve">100 %</w:t>
            </w:r>
          </w:p>
        </w:tc>
      </w:tr>
      <w:tr>
        <w:tc>
          <w:tcPr>
            <w:tcW w:type="dxa" w:w="2059"/>
            <w:tcMar>
              <w:top w:type="dxa" w:w="60"/>
              <w:left w:type="dxa" w:w="100"/>
              <w:bottom w:type="dxa" w:w="60"/>
              <w:right w:type="dxa" w:w="100"/>
            </w:tcMar>
          </w:tcPr>
          <w:p>
            <w:r>
              <w:rPr>
                <w:b/>
                <w:bCs/>
                <w:sz w:val="19"/>
                <w:szCs w:val="19"/>
              </w:rPr>
              <w:t xml:space="preserve">Diamaguène</w:t>
            </w:r>
          </w:p>
        </w:tc>
        <w:tc>
          <w:tcPr>
            <w:tcW w:type="dxa" w:w="1872"/>
            <w:tcMar>
              <w:top w:type="dxa" w:w="60"/>
              <w:left w:type="dxa" w:w="100"/>
              <w:bottom w:type="dxa" w:w="60"/>
              <w:right w:type="dxa" w:w="100"/>
            </w:tcMar>
          </w:tcPr>
          <w:p>
            <w:r>
              <w:rPr>
                <w:b w:val="false"/>
                <w:bCs w:val="false"/>
                <w:sz w:val="19"/>
                <w:szCs w:val="19"/>
              </w:rPr>
              <w:t xml:space="preserve">Dakar</w:t>
            </w:r>
          </w:p>
        </w:tc>
        <w:tc>
          <w:tcPr>
            <w:tcW w:type="dxa" w:w="936"/>
            <w:tcMar>
              <w:top w:type="dxa" w:w="60"/>
              <w:left w:type="dxa" w:w="100"/>
              <w:bottom w:type="dxa" w:w="60"/>
              <w:right w:type="dxa" w:w="100"/>
            </w:tcMar>
          </w:tcPr>
          <w:p>
            <w:r>
              <w:rPr>
                <w:b w:val="false"/>
                <w:bCs w:val="false"/>
                <w:sz w:val="19"/>
                <w:szCs w:val="19"/>
              </w:rPr>
              <w:t xml:space="preserve">11</w:t>
            </w:r>
          </w:p>
        </w:tc>
        <w:tc>
          <w:tcPr>
            <w:tcW w:type="dxa" w:w="2246"/>
            <w:tcMar>
              <w:top w:type="dxa" w:w="60"/>
              <w:left w:type="dxa" w:w="100"/>
              <w:bottom w:type="dxa" w:w="60"/>
              <w:right w:type="dxa" w:w="100"/>
            </w:tcMar>
          </w:tcPr>
          <w:p>
            <w:r>
              <w:rPr>
                <w:b w:val="false"/>
                <w:bCs w:val="false"/>
                <w:sz w:val="19"/>
                <w:szCs w:val="19"/>
              </w:rPr>
              <w:t xml:space="preserve">93,3 %</w:t>
            </w:r>
          </w:p>
        </w:tc>
        <w:tc>
          <w:tcPr>
            <w:tcW w:type="dxa" w:w="2246"/>
            <w:tcMar>
              <w:top w:type="dxa" w:w="60"/>
              <w:left w:type="dxa" w:w="100"/>
              <w:bottom w:type="dxa" w:w="60"/>
              <w:right w:type="dxa" w:w="100"/>
            </w:tcMar>
          </w:tcPr>
          <w:p>
            <w:r>
              <w:rPr>
                <w:b w:val="false"/>
                <w:bCs w:val="false"/>
                <w:sz w:val="19"/>
                <w:szCs w:val="19"/>
              </w:rPr>
              <w:t xml:space="preserve">90,9 %</w:t>
            </w:r>
          </w:p>
        </w:tc>
      </w:tr>
      <w:tr>
        <w:tc>
          <w:tcPr>
            <w:tcW w:type="dxa" w:w="2059"/>
            <w:shd w:fill="F2F6FA" w:color="auto" w:val="clear"/>
            <w:tcMar>
              <w:top w:type="dxa" w:w="60"/>
              <w:left w:type="dxa" w:w="100"/>
              <w:bottom w:type="dxa" w:w="60"/>
              <w:right w:type="dxa" w:w="100"/>
            </w:tcMar>
          </w:tcPr>
          <w:p>
            <w:r>
              <w:rPr>
                <w:b/>
                <w:bCs/>
                <w:sz w:val="19"/>
                <w:szCs w:val="19"/>
              </w:rPr>
              <w:t xml:space="preserve">Pikine</w:t>
            </w:r>
          </w:p>
        </w:tc>
        <w:tc>
          <w:tcPr>
            <w:tcW w:type="dxa" w:w="1872"/>
            <w:shd w:fill="F2F6FA" w:color="auto" w:val="clear"/>
            <w:tcMar>
              <w:top w:type="dxa" w:w="60"/>
              <w:left w:type="dxa" w:w="100"/>
              <w:bottom w:type="dxa" w:w="60"/>
              <w:right w:type="dxa" w:w="100"/>
            </w:tcMar>
          </w:tcPr>
          <w:p>
            <w:r>
              <w:rPr>
                <w:b w:val="false"/>
                <w:bCs w:val="false"/>
                <w:sz w:val="19"/>
                <w:szCs w:val="19"/>
              </w:rPr>
              <w:t xml:space="preserve">Dakar</w:t>
            </w:r>
          </w:p>
        </w:tc>
        <w:tc>
          <w:tcPr>
            <w:tcW w:type="dxa" w:w="936"/>
            <w:shd w:fill="F2F6FA" w:color="auto" w:val="clear"/>
            <w:tcMar>
              <w:top w:type="dxa" w:w="60"/>
              <w:left w:type="dxa" w:w="100"/>
              <w:bottom w:type="dxa" w:w="60"/>
              <w:right w:type="dxa" w:w="100"/>
            </w:tcMar>
          </w:tcPr>
          <w:p>
            <w:r>
              <w:rPr>
                <w:b w:val="false"/>
                <w:bCs w:val="false"/>
                <w:sz w:val="19"/>
                <w:szCs w:val="19"/>
              </w:rPr>
              <w:t xml:space="preserve">14</w:t>
            </w:r>
          </w:p>
        </w:tc>
        <w:tc>
          <w:tcPr>
            <w:tcW w:type="dxa" w:w="2246"/>
            <w:shd w:fill="F2F6FA" w:color="auto" w:val="clear"/>
            <w:tcMar>
              <w:top w:type="dxa" w:w="60"/>
              <w:left w:type="dxa" w:w="100"/>
              <w:bottom w:type="dxa" w:w="60"/>
              <w:right w:type="dxa" w:w="100"/>
            </w:tcMar>
          </w:tcPr>
          <w:p>
            <w:r>
              <w:rPr>
                <w:b w:val="false"/>
                <w:bCs w:val="false"/>
                <w:sz w:val="19"/>
                <w:szCs w:val="19"/>
              </w:rPr>
              <w:t xml:space="preserve">93,2 %</w:t>
            </w:r>
          </w:p>
        </w:tc>
        <w:tc>
          <w:tcPr>
            <w:tcW w:type="dxa" w:w="2246"/>
            <w:shd w:fill="F2F6FA" w:color="auto" w:val="clear"/>
            <w:tcMar>
              <w:top w:type="dxa" w:w="60"/>
              <w:left w:type="dxa" w:w="100"/>
              <w:bottom w:type="dxa" w:w="60"/>
              <w:right w:type="dxa" w:w="100"/>
            </w:tcMar>
          </w:tcPr>
          <w:p>
            <w:r>
              <w:rPr>
                <w:b w:val="false"/>
                <w:bCs w:val="false"/>
                <w:sz w:val="19"/>
                <w:szCs w:val="19"/>
              </w:rPr>
              <w:t xml:space="preserve">100 %</w:t>
            </w:r>
          </w:p>
        </w:tc>
      </w:tr>
    </w:tbl>
    <w:p>
      <w:pPr>
        <w:spacing w:after="160"/>
      </w:pPr>
      <w:r>
        <w:rPr>
          <w:b w:val="false"/>
          <w:bCs w:val="false"/>
          <w:i w:val="false"/>
          <w:iCs w:val="false"/>
        </w:rPr>
        <w:t xml:space="preserve">Classement complet (38 localités) fourni en annexe du notebook (</w:t>
      </w:r>
      <w:r>
        <w:rPr>
          <w:rFonts w:ascii="Consolas" w:cs="Consolas" w:eastAsia="Consolas" w:hAnsi="Consolas"/>
          <w:b w:val="false"/>
          <w:bCs w:val="false"/>
          <w:i w:val="false"/>
          <w:iCs w:val="false"/>
          <w:color w:val="AA3377"/>
        </w:rPr>
        <w:t xml:space="preserve">outputs/localites_prioritaires.csv</w:t>
      </w:r>
      <w:r>
        <w:rPr>
          <w:b w:val="false"/>
          <w:bCs w:val="false"/>
          <w:i w:val="false"/>
          <w:iCs w:val="false"/>
        </w:rPr>
        <w:t xml:space="preserve">).</w:t>
      </w:r>
    </w:p>
    <w:p>
      <w:pPr>
        <w:pStyle w:val="Heading2"/>
        <w:spacing w:after="160" w:before="260"/>
      </w:pPr>
      <w:r>
        <w:rPr>
          <w:b/>
          <w:bCs/>
          <w:color w:val="333333"/>
          <w:sz w:val="24"/>
          <w:szCs w:val="24"/>
        </w:rPr>
        <w:t xml:space="preserve">Recommandations opérationnelles</w:t>
      </w:r>
    </w:p>
    <w:p>
      <w:pPr>
        <w:pStyle w:val="ListParagraph"/>
        <w:numPr>
          <w:ilvl w:val="0"/>
          <w:numId w:val="3"/>
        </w:numPr>
        <w:spacing w:after="140"/>
      </w:pPr>
      <w:r>
        <w:rPr>
          <w:b/>
          <w:bCs/>
        </w:rPr>
        <w:t xml:space="preserve">Curage préventif des canaux et bassins de rétention</w:t>
      </w:r>
      <w:r>
        <w:t xml:space="preserve"> dans les localités en tête de classement, avant chaque hivernage — priorité aux zones à forte densité de population pour maximiser l'impact humain des investissements.</w:t>
      </w:r>
    </w:p>
    <w:p>
      <w:pPr>
        <w:pStyle w:val="ListParagraph"/>
        <w:numPr>
          <w:ilvl w:val="0"/>
          <w:numId w:val="3"/>
        </w:numPr>
        <w:spacing w:after="140"/>
      </w:pPr>
      <w:r>
        <w:rPr>
          <w:b/>
          <w:bCs/>
        </w:rPr>
        <w:t xml:space="preserve">Pompage renforcé</w:t>
      </w:r>
      <w:r>
        <w:t xml:space="preserve"> dans les zones humides (Niayes/bas-fonds) et les zones basses relatives, là où l'assainissement est absent ou partiel.</w:t>
      </w:r>
    </w:p>
    <w:p>
      <w:pPr>
        <w:pStyle w:val="ListParagraph"/>
        <w:numPr>
          <w:ilvl w:val="0"/>
          <w:numId w:val="3"/>
        </w:numPr>
        <w:spacing w:after="140"/>
      </w:pPr>
      <w:r>
        <w:rPr>
          <w:b/>
          <w:bCs/>
        </w:rPr>
        <w:t xml:space="preserve">Encadrement strict de la construction</w:t>
      </w:r>
      <w:r>
        <w:t xml:space="preserve"> dans les zones basses à nappe peu profonde et à fort historique d'inondation (2005-2014) — les facteurs les plus stables dans le temps, donc les moins réversibles à court terme.</w:t>
      </w:r>
    </w:p>
    <w:p>
      <w:pPr>
        <w:pStyle w:val="ListParagraph"/>
        <w:numPr>
          <w:ilvl w:val="0"/>
          <w:numId w:val="3"/>
        </w:numPr>
        <w:spacing w:after="140"/>
      </w:pPr>
      <w:r>
        <w:rPr>
          <w:b/>
          <w:bCs/>
        </w:rPr>
        <w:t xml:space="preserve">Alerte précoce par SMS</w:t>
      </w:r>
      <w:r>
        <w:t xml:space="preserve"> (ANACIM + opérateurs) dès que les prévisions annoncent une pluie proche du seuil extrême (&gt; 80-100 mm/24h), en priorité pour les localités riveraines du fleuve Sénégal et les zones urbaines denses les plus imperméabilisées.</w:t>
      </w:r>
    </w:p>
    <w:p>
      <w:pPr>
        <w:pStyle w:val="ListParagraph"/>
        <w:numPr>
          <w:ilvl w:val="0"/>
          <w:numId w:val="3"/>
        </w:numPr>
        <w:spacing w:after="140"/>
      </w:pPr>
      <w:r>
        <w:rPr>
          <w:b/>
          <w:bCs/>
        </w:rPr>
        <w:t xml:space="preserve">Extension du réseau d'assainissement</w:t>
      </w:r>
      <w:r>
        <w:t xml:space="preserve"> (Aucun → Partiel → Complet) : le levier d'action publique le plus direct identifié par le modèle comme facteur protecteur.</w:t>
      </w:r>
    </w:p>
    <w:p>
      <w:pPr>
        <w:pStyle w:val="ListParagraph"/>
        <w:numPr>
          <w:ilvl w:val="0"/>
          <w:numId w:val="3"/>
        </w:numPr>
        <w:spacing w:after="140"/>
      </w:pPr>
      <w:r>
        <w:rPr>
          <w:b/>
          <w:bCs/>
        </w:rPr>
        <w:t xml:space="preserve">Mise à jour du modèle avec des données réelles</w:t>
      </w:r>
      <w:r>
        <w:t xml:space="preserve"> (ANACIM, CHIRPS, SRTM, OpenStreetMap, Copernicus EMS) avant tout usage opérationnel.</w:t>
      </w:r>
    </w:p>
    <w:p>
      <w:pPr>
        <w:pStyle w:val="Heading1"/>
        <w:spacing w:after="200" w:before="360"/>
      </w:pPr>
      <w:r>
        <w:rPr>
          <w:b/>
          <w:bCs/>
          <w:color w:val="2563A8"/>
          <w:sz w:val="30"/>
          <w:szCs w:val="30"/>
        </w:rPr>
        <w:t xml:space="preserve">8. Limites et perspectives</w:t>
      </w:r>
    </w:p>
    <w:p>
      <w:pPr>
        <w:pStyle w:val="ListParagraph"/>
        <w:numPr>
          <w:ilvl w:val="0"/>
          <w:numId w:val="2"/>
        </w:numPr>
        <w:spacing w:after="140"/>
      </w:pPr>
      <w:r>
        <w:rPr>
          <w:b/>
          <w:bCs/>
        </w:rPr>
        <w:t xml:space="preserve">Données 100 % synthétiques</w:t>
      </w:r>
      <w:r>
        <w:t xml:space="preserve"> : les relations apprises illustrent une méthodologie reproductible, pas une réalité mesurée sur le terrain. Toute décision opérationnelle doit d'abord revalider le modèle sur des données réelles.</w:t>
      </w:r>
    </w:p>
    <w:p>
      <w:pPr>
        <w:pStyle w:val="ListParagraph"/>
        <w:numPr>
          <w:ilvl w:val="0"/>
          <w:numId w:val="2"/>
        </w:numPr>
        <w:spacing w:after="140"/>
      </w:pPr>
      <w:r>
        <w:rPr>
          <w:b/>
          <w:bCs/>
        </w:rPr>
        <w:t xml:space="preserve">Extrapolation du scénario</w:t>
      </w:r>
      <w:r>
        <w:t xml:space="preserve"> : 120 mm/24h dépasse la plage la plus représentée dans les données d'entraînement ; les probabilités absolues doivent être lues comme un signal d'alerte relatif (classement) plutôt que comme une fréquence exacte.</w:t>
      </w:r>
    </w:p>
    <w:p>
      <w:pPr>
        <w:pStyle w:val="ListParagraph"/>
        <w:numPr>
          <w:ilvl w:val="0"/>
          <w:numId w:val="2"/>
        </w:numPr>
        <w:spacing w:after="140"/>
      </w:pPr>
      <w:r>
        <w:rPr>
          <w:b/>
          <w:bCs/>
        </w:rPr>
        <w:t xml:space="preserve">Proxy de population</w:t>
      </w:r>
      <w:r>
        <w:t xml:space="preserve"> (densité × nombre de zones) : ne remplace pas un recensement réel pour prioriser les moyens humains.</w:t>
      </w:r>
    </w:p>
    <w:p>
      <w:pPr>
        <w:pStyle w:val="ListParagraph"/>
        <w:numPr>
          <w:ilvl w:val="0"/>
          <w:numId w:val="2"/>
        </w:numPr>
        <w:spacing w:after="140"/>
      </w:pPr>
      <w:r>
        <w:rPr>
          <w:b/>
          <w:bCs/>
        </w:rPr>
        <w:t xml:space="preserve">Colinéarité riverain / hauteur de crue</w:t>
      </w:r>
      <w:r>
        <w:t xml:space="preserve"> : à approfondir avec une variable combinée ou une régularisation dédiée si des données réelles confirment la même structure.</w:t>
      </w:r>
    </w:p>
    <w:p>
      <w:pPr>
        <w:spacing w:after="160"/>
      </w:pPr>
      <w:r>
        <w:rPr>
          <w:b/>
          <w:bCs/>
          <w:i w:val="false"/>
          <w:iCs w:val="false"/>
        </w:rPr>
        <w:t xml:space="preserve">Pour aller plus loin</w:t>
      </w:r>
      <w:r>
        <w:rPr>
          <w:b w:val="false"/>
          <w:bCs w:val="false"/>
          <w:i w:val="false"/>
          <w:iCs w:val="false"/>
        </w:rPr>
        <w:t xml:space="preserve"> : remplacer les données synthétiques par des données réelles (CHIRPS, SRTM, OpenStreetMap, Copernicus EMS, ANACIM, DGPRE), détecter les surfaces inondées sur images satellite Sentinel-1, ou construire un tableau de bord d'alerte Streamlit alimenté par les prévisions météo de l'ANACIM.</w:t>
      </w:r>
    </w:p>
    <w:p>
      <w:pPr>
        <w:pBdr>
          <w:bottom w:val="single" w:color="AAAAAA" w:sz="6" w:space="1"/>
        </w:pBdr>
        <w:spacing w:after="200" w:before="200"/>
      </w:pPr>
      <w:r>
        <w:t xml:space="preserve"/>
      </w:r>
    </w:p>
    <w:p>
      <w:pPr>
        <w:spacing w:after="160"/>
      </w:pPr>
      <w:r>
        <w:rPr>
          <w:b/>
          <w:bCs/>
          <w:i w:val="false"/>
          <w:iCs w:val="false"/>
        </w:rPr>
        <w:t xml:space="preserve">Livrables associés</w:t>
      </w:r>
      <w:r>
        <w:rPr>
          <w:b w:val="false"/>
          <w:bCs w:val="false"/>
          <w:i w:val="false"/>
          <w:iCs w:val="false"/>
        </w:rPr>
        <w:t xml:space="preserve"> : notebook Jupyter commenté (</w:t>
      </w:r>
      <w:r>
        <w:rPr>
          <w:rFonts w:ascii="Consolas" w:cs="Consolas" w:eastAsia="Consolas" w:hAnsi="Consolas"/>
          <w:b w:val="false"/>
          <w:bCs w:val="false"/>
          <w:i w:val="false"/>
          <w:iCs w:val="false"/>
          <w:color w:val="AA3377"/>
        </w:rPr>
        <w:t xml:space="preserve">notebook_inondation_senegal.ipynb</w:t>
      </w:r>
      <w:r>
        <w:rPr>
          <w:b w:val="false"/>
          <w:bCs w:val="false"/>
          <w:i w:val="false"/>
          <w:iCs w:val="false"/>
        </w:rPr>
        <w:t xml:space="preserve">), carte interactive nationale (</w:t>
      </w:r>
      <w:r>
        <w:rPr>
          <w:rFonts w:ascii="Consolas" w:cs="Consolas" w:eastAsia="Consolas" w:hAnsi="Consolas"/>
          <w:b w:val="false"/>
          <w:bCs w:val="false"/>
          <w:i w:val="false"/>
          <w:iCs w:val="false"/>
          <w:color w:val="AA3377"/>
        </w:rPr>
        <w:t xml:space="preserve">carte_risque_national_scenario_extreme.html</w:t>
      </w:r>
      <w:r>
        <w:rPr>
          <w:b w:val="false"/>
          <w:bCs w:val="false"/>
          <w:i w:val="false"/>
          <w:iCs w:val="false"/>
        </w:rPr>
        <w:t xml:space="preserve">), carte zoom banlieue Dakar (</w:t>
      </w:r>
      <w:r>
        <w:rPr>
          <w:rFonts w:ascii="Consolas" w:cs="Consolas" w:eastAsia="Consolas" w:hAnsi="Consolas"/>
          <w:b w:val="false"/>
          <w:bCs w:val="false"/>
          <w:i w:val="false"/>
          <w:iCs w:val="false"/>
          <w:color w:val="AA3377"/>
        </w:rPr>
        <w:t xml:space="preserve">carte_risque_banlieue_dakar.html</w:t>
      </w:r>
      <w:r>
        <w:rPr>
          <w:b w:val="false"/>
          <w:bCs w:val="false"/>
          <w:i w:val="false"/>
          <w:iCs w:val="false"/>
        </w:rPr>
        <w:t xml:space="preserve">), carte exploratoire du taux historique (</w:t>
      </w:r>
      <w:r>
        <w:rPr>
          <w:rFonts w:ascii="Consolas" w:cs="Consolas" w:eastAsia="Consolas" w:hAnsi="Consolas"/>
          <w:b w:val="false"/>
          <w:bCs w:val="false"/>
          <w:i w:val="false"/>
          <w:iCs w:val="false"/>
          <w:color w:val="AA3377"/>
        </w:rPr>
        <w:t xml:space="preserve">carte_exploratoire_taux_historique.html</w:t>
      </w:r>
      <w:r>
        <w:rPr>
          <w:b w:val="false"/>
          <w:bCs w:val="false"/>
          <w:i w:val="false"/>
          <w:iCs w:val="false"/>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35ca4be9c09fd8f75932008ac94500d7d62de5.png"/><Relationship Id="rId8" Type="http://schemas.openxmlformats.org/officeDocument/2006/relationships/image" Target="media/11a43af5cf858602eee5c2d50b069cfa2314d56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2026-09-20T23:18:19.356Z</dcterms:created>
  <dcterms:modified xsi:type="dcterms:W3CDTF">2026-09-20T23:18:19.366Z</dcterms:modified>
</cp:coreProperties>
</file>

<file path=docProps/custom.xml><?xml version="1.0" encoding="utf-8"?>
<Properties xmlns="http://schemas.openxmlformats.org/officeDocument/2006/custom-properties" xmlns:vt="http://schemas.openxmlformats.org/officeDocument/2006/docPropsVTypes"/>
</file>