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C06E2D" w14:textId="77777777" w:rsidR="00F717CB" w:rsidRDefault="00F717CB" w:rsidP="00F717CB">
      <w:pPr>
        <w:pStyle w:val="Title"/>
      </w:pPr>
      <w:bookmarkStart w:id="0" w:name="OLE_LINK1"/>
      <w:bookmarkStart w:id="1" w:name="OLE_LINK2"/>
      <w:bookmarkStart w:id="2" w:name="_GoBack"/>
      <w:bookmarkEnd w:id="2"/>
      <w:r>
        <w:t>Carnegie Mellon University</w:t>
      </w:r>
    </w:p>
    <w:p w14:paraId="644F70E3" w14:textId="77777777" w:rsidR="00F717CB" w:rsidRDefault="00F717CB" w:rsidP="00F717CB">
      <w:pPr>
        <w:jc w:val="center"/>
        <w:rPr>
          <w:b/>
          <w:bCs/>
          <w:sz w:val="28"/>
        </w:rPr>
      </w:pPr>
      <w:r>
        <w:rPr>
          <w:b/>
          <w:bCs/>
          <w:sz w:val="28"/>
        </w:rPr>
        <w:t>Department of Civil and Environmental Engineering</w:t>
      </w:r>
    </w:p>
    <w:p w14:paraId="56AAABAD" w14:textId="77777777" w:rsidR="00F717CB" w:rsidRDefault="00F717CB" w:rsidP="00F717CB"/>
    <w:p w14:paraId="6C88E54F" w14:textId="77777777" w:rsidR="00F717CB" w:rsidRDefault="00217793" w:rsidP="00F717CB">
      <w:pPr>
        <w:jc w:val="center"/>
        <w:rPr>
          <w:b/>
          <w:bCs/>
        </w:rPr>
      </w:pPr>
      <w:r>
        <w:rPr>
          <w:b/>
          <w:bCs/>
        </w:rPr>
        <w:t>12-725</w:t>
      </w:r>
      <w:r w:rsidR="00F717CB">
        <w:rPr>
          <w:b/>
          <w:bCs/>
        </w:rPr>
        <w:t xml:space="preserve">:  Fate, </w:t>
      </w:r>
      <w:r w:rsidR="00F717CB" w:rsidRPr="000A22B8">
        <w:rPr>
          <w:b/>
          <w:bCs/>
        </w:rPr>
        <w:t>Transport</w:t>
      </w:r>
      <w:r w:rsidR="00F717CB">
        <w:rPr>
          <w:b/>
          <w:bCs/>
        </w:rPr>
        <w:t>, and Physicochemical</w:t>
      </w:r>
      <w:r w:rsidR="00F717CB" w:rsidRPr="000A22B8">
        <w:rPr>
          <w:b/>
          <w:bCs/>
        </w:rPr>
        <w:t xml:space="preserve"> Processes of Organic Contaminants in Aquatic Systems</w:t>
      </w:r>
      <w:r w:rsidR="00F717CB">
        <w:rPr>
          <w:b/>
          <w:bCs/>
        </w:rPr>
        <w:t xml:space="preserve"> and their Measurement in</w:t>
      </w:r>
      <w:r w:rsidR="00F717CB" w:rsidRPr="00601891">
        <w:rPr>
          <w:b/>
          <w:bCs/>
        </w:rPr>
        <w:t xml:space="preserve"> E</w:t>
      </w:r>
      <w:r w:rsidR="00F717CB">
        <w:rPr>
          <w:b/>
          <w:bCs/>
        </w:rPr>
        <w:t>nvironmental Samples</w:t>
      </w:r>
    </w:p>
    <w:p w14:paraId="5AD20341" w14:textId="77777777" w:rsidR="00F717CB" w:rsidRDefault="00F717CB" w:rsidP="00F717CB">
      <w:pPr>
        <w:jc w:val="center"/>
      </w:pPr>
    </w:p>
    <w:p w14:paraId="45D3C2AF" w14:textId="7281E295" w:rsidR="00F717CB" w:rsidRDefault="00C14271" w:rsidP="00F717CB">
      <w:pPr>
        <w:jc w:val="center"/>
        <w:rPr>
          <w:b/>
          <w:bCs/>
        </w:rPr>
      </w:pPr>
      <w:r>
        <w:rPr>
          <w:b/>
          <w:bCs/>
        </w:rPr>
        <w:t>Problem Set #</w:t>
      </w:r>
      <w:r w:rsidR="00CB5141">
        <w:rPr>
          <w:b/>
          <w:bCs/>
        </w:rPr>
        <w:t>6</w:t>
      </w:r>
      <w:r w:rsidR="001C7D2E">
        <w:rPr>
          <w:b/>
          <w:bCs/>
        </w:rPr>
        <w:t xml:space="preserve"> </w:t>
      </w:r>
      <w:r w:rsidR="00F65090">
        <w:rPr>
          <w:b/>
          <w:bCs/>
        </w:rPr>
        <w:t>Spring 2020</w:t>
      </w:r>
      <w:r w:rsidR="002734CE">
        <w:rPr>
          <w:b/>
          <w:bCs/>
        </w:rPr>
        <w:t>-SOLUTIONS</w:t>
      </w:r>
    </w:p>
    <w:bookmarkEnd w:id="0"/>
    <w:bookmarkEnd w:id="1"/>
    <w:p w14:paraId="67E086E4" w14:textId="77777777" w:rsidR="008C4301" w:rsidRDefault="00D834F0" w:rsidP="00F717CB">
      <w:pPr>
        <w:jc w:val="center"/>
        <w:rPr>
          <w:b/>
          <w:bCs/>
        </w:rPr>
      </w:pPr>
      <w:r>
        <w:rPr>
          <w:b/>
          <w:bCs/>
        </w:rPr>
        <w:t xml:space="preserve">Due </w:t>
      </w:r>
      <w:r w:rsidR="00F65090">
        <w:rPr>
          <w:b/>
          <w:bCs/>
        </w:rPr>
        <w:t>March 5, 2020 by 5pm</w:t>
      </w:r>
    </w:p>
    <w:p w14:paraId="2BA3D86F" w14:textId="77777777" w:rsidR="008C4301" w:rsidRDefault="008C4301" w:rsidP="00D0667D">
      <w:pPr>
        <w:pStyle w:val="BodyTextIndent"/>
        <w:ind w:left="0" w:firstLine="0"/>
      </w:pPr>
    </w:p>
    <w:p w14:paraId="47B2DA9D" w14:textId="77777777" w:rsidR="002734CE" w:rsidRDefault="00F65090" w:rsidP="00D0667D">
      <w:pPr>
        <w:pStyle w:val="BodyTextIndent"/>
        <w:numPr>
          <w:ilvl w:val="0"/>
          <w:numId w:val="14"/>
        </w:numPr>
        <w:ind w:left="0" w:firstLine="0"/>
      </w:pPr>
      <w:r>
        <w:t>Describe the general chemical and structural features of “organic matter” in the environment. What are the primary sources of organic matter in the environment? What are the main differences between soil organic matter (SOM), particulate organic matter (POM), and dissolved organic matter (DOM)?</w:t>
      </w:r>
      <w:r w:rsidR="00875CC2">
        <w:t xml:space="preserve"> What are the primary thermodynamic driving forces for sorption of organic compounds to organic matter from air and water?</w:t>
      </w:r>
    </w:p>
    <w:p w14:paraId="33798D08" w14:textId="77777777" w:rsidR="002734CE" w:rsidRDefault="002734CE" w:rsidP="002734CE">
      <w:pPr>
        <w:pStyle w:val="BodyTextIndent"/>
      </w:pPr>
    </w:p>
    <w:p w14:paraId="59243722" w14:textId="77777777" w:rsidR="002734CE" w:rsidRDefault="002734CE" w:rsidP="002734CE">
      <w:pPr>
        <w:pStyle w:val="BodyTextIndent"/>
        <w:ind w:left="0" w:firstLine="0"/>
      </w:pPr>
      <w:r>
        <w:t>Organic matter is the environment is made up primarily of C, O, H, N, with some P and S. It has all of the typical features of plant and animal organic molecules including aromatics, OH groups, COOH groups, and some phosphate and S groups. Some organic matter is derived from combustion. It is primarily carbon, with limited OH and COOH functionality. Sources of OM are varied, but include decayed plant matter, combustion products, and waste and decay products from animals.</w:t>
      </w:r>
    </w:p>
    <w:p w14:paraId="5D63FB47" w14:textId="77777777" w:rsidR="00DB1CF8" w:rsidRDefault="00DB1CF8" w:rsidP="002734CE">
      <w:pPr>
        <w:pStyle w:val="BodyTextIndent"/>
        <w:ind w:left="0" w:firstLine="0"/>
      </w:pPr>
    </w:p>
    <w:p w14:paraId="5FABAA28" w14:textId="77777777" w:rsidR="00DB1CF8" w:rsidRDefault="002734CE" w:rsidP="002734CE">
      <w:pPr>
        <w:pStyle w:val="BodyTextIndent"/>
        <w:ind w:left="0" w:firstLine="0"/>
      </w:pPr>
      <w:r>
        <w:t xml:space="preserve">SOM, POM, and DOM are different types of organic matter. SOM is typically humic materials from partially decayed plant matter (e.g. leaf litter). It is poorly water soluble and can be relatively large in size. Particulate organic matter is a very similar to </w:t>
      </w:r>
      <w:r w:rsidR="004C4FD6">
        <w:t>SOM, and can be considered a subset of SOM. It may be slightly more oxidized and decomposed than SOM, comprised on humic acids and fulvic acids. Dissolved organic matter is the most soluble and lowest MW fraction of organic matter. It is most oxidized (OH and COOH groups), more fulvic acid like than humic acid like, and passes through a 0.45 micron filter.</w:t>
      </w:r>
    </w:p>
    <w:p w14:paraId="57ABB8CA" w14:textId="77777777" w:rsidR="00DB1CF8" w:rsidRDefault="00DB1CF8" w:rsidP="002734CE">
      <w:pPr>
        <w:pStyle w:val="BodyTextIndent"/>
        <w:ind w:left="0" w:firstLine="0"/>
      </w:pPr>
    </w:p>
    <w:p w14:paraId="71DD0BAD" w14:textId="77777777" w:rsidR="00F65090" w:rsidRDefault="00E23DDF" w:rsidP="002734CE">
      <w:pPr>
        <w:pStyle w:val="BodyTextIndent"/>
        <w:ind w:left="0" w:firstLine="0"/>
      </w:pPr>
      <w:r>
        <w:t>Organic compounds (neutral) adsorb to OM based on their hydrophobic interaction with SOM, POC, or DOM. It allows them to minimize contact with water and increase contact with hydrophobic surfaces.</w:t>
      </w:r>
      <w:r w:rsidR="00F65090">
        <w:br/>
      </w:r>
    </w:p>
    <w:p w14:paraId="4815D413" w14:textId="77777777" w:rsidR="00F65090" w:rsidRDefault="007616D6" w:rsidP="00D0667D">
      <w:pPr>
        <w:pStyle w:val="BodyTextIndent"/>
        <w:numPr>
          <w:ilvl w:val="0"/>
          <w:numId w:val="14"/>
        </w:numPr>
        <w:ind w:left="0" w:firstLine="0"/>
      </w:pPr>
      <w:r>
        <w:t>Q13.2 and Q13.7 in EOC</w:t>
      </w:r>
      <w:r>
        <w:br/>
      </w:r>
      <w:r w:rsidR="0053081D">
        <w:t xml:space="preserve">Q13.2 </w:t>
      </w:r>
      <w:r w:rsidR="00503E2A">
        <w:t>Besides NOM, black carbon can play a significant role in sorption in soils and sediments. It is also possible that wood, plant debris, micro plastics, and other hydrophobic materials may act as sorbent, although the affinity for these surfaces tends to be lower than for NOM.</w:t>
      </w:r>
    </w:p>
    <w:p w14:paraId="0875A9DB" w14:textId="77777777" w:rsidR="00503E2A" w:rsidRDefault="00503E2A" w:rsidP="00CD024F">
      <w:pPr>
        <w:pStyle w:val="BodyTextIndent"/>
        <w:ind w:left="0" w:firstLine="0"/>
      </w:pPr>
      <w:r>
        <w:t>In aquifers (e.g. carbonate rocks or sandstones), the mineral surfaces may also serve as sorbents.  This is of grater impact for organics with functional groups that may be charged or form specific interactions with mineral surfaces.</w:t>
      </w:r>
    </w:p>
    <w:p w14:paraId="2501FEF1" w14:textId="77777777" w:rsidR="00CD024F" w:rsidRDefault="00CD024F" w:rsidP="00CD024F">
      <w:pPr>
        <w:pStyle w:val="BodyTextIndent"/>
        <w:ind w:left="0" w:firstLine="0"/>
      </w:pPr>
      <w:r>
        <w:t>In surface waters, all of these other solids may be important, as well as living plants and organisms.</w:t>
      </w:r>
    </w:p>
    <w:p w14:paraId="589E28DC" w14:textId="77777777" w:rsidR="00785F99" w:rsidRDefault="00785F99" w:rsidP="00CD024F">
      <w:pPr>
        <w:pStyle w:val="BodyTextIndent"/>
        <w:ind w:left="0" w:firstLine="0"/>
      </w:pPr>
      <w:r>
        <w:lastRenderedPageBreak/>
        <w:t>Any surface where “adsorption” occurs (e.g. black carbon, mineral surfaces) can lead to non-linear partitioning.</w:t>
      </w:r>
    </w:p>
    <w:p w14:paraId="46925A6F" w14:textId="77777777" w:rsidR="00503E2A" w:rsidRDefault="00503E2A" w:rsidP="00503E2A">
      <w:pPr>
        <w:pStyle w:val="BodyTextIndent"/>
      </w:pPr>
    </w:p>
    <w:p w14:paraId="77A43E58" w14:textId="77777777" w:rsidR="0053081D" w:rsidRDefault="0053081D" w:rsidP="000E0006">
      <w:pPr>
        <w:pStyle w:val="BodyTextIndent"/>
        <w:ind w:left="0" w:firstLine="0"/>
      </w:pPr>
      <w:r>
        <w:t xml:space="preserve">Q13.7 </w:t>
      </w:r>
      <w:r w:rsidR="002F0589">
        <w:t>Neutral organic adsorb to NOM in a pH-independent manner. The sorption is driven primarily by hydrophobic interactions as described above. Charged species will interact differently with NOM due to electrostatic repulsions and/or specific interactions. These charged species are more pH dependent that neutral species.</w:t>
      </w:r>
    </w:p>
    <w:p w14:paraId="72F8B6FE" w14:textId="77777777" w:rsidR="002F0589" w:rsidRDefault="002F0589" w:rsidP="00503E2A">
      <w:pPr>
        <w:pStyle w:val="BodyTextIndent"/>
      </w:pPr>
    </w:p>
    <w:p w14:paraId="4A912662" w14:textId="77777777" w:rsidR="002F0589" w:rsidRDefault="002F0589" w:rsidP="002F0589">
      <w:pPr>
        <w:pStyle w:val="BodyTextIndent"/>
        <w:ind w:left="0" w:firstLine="0"/>
      </w:pPr>
      <w:r>
        <w:t>An organic acid will adsorb more at lower pH where the compound tends to be protonated and uncharged.</w:t>
      </w:r>
      <w:r w:rsidR="00522C8D">
        <w:t xml:space="preserve"> Similar pH-dependent behaviors can occur for organic bases that can he positively charged at lower pH (protonated amine groups) giving rise to greater adsorption at lower pH compared to higher pH (e.g. see Fig. 13-9).</w:t>
      </w:r>
    </w:p>
    <w:p w14:paraId="3D7A5E09" w14:textId="77777777" w:rsidR="00522C8D" w:rsidRDefault="00522C8D" w:rsidP="002F0589">
      <w:pPr>
        <w:pStyle w:val="BodyTextIndent"/>
        <w:ind w:left="0" w:firstLine="0"/>
      </w:pPr>
    </w:p>
    <w:p w14:paraId="1A765058" w14:textId="3F0FD9F5" w:rsidR="00522C8D" w:rsidRDefault="00203D6A" w:rsidP="00D0667D">
      <w:pPr>
        <w:pStyle w:val="BodyTextIndent"/>
        <w:numPr>
          <w:ilvl w:val="0"/>
          <w:numId w:val="14"/>
        </w:numPr>
        <w:ind w:left="0" w:firstLine="0"/>
      </w:pPr>
      <w:r>
        <w:t xml:space="preserve">P13.2 </w:t>
      </w:r>
      <w:r w:rsidR="00560D1C">
        <w:t xml:space="preserve">and 13.7 </w:t>
      </w:r>
      <w:r>
        <w:t>in EOC</w:t>
      </w:r>
    </w:p>
    <w:p w14:paraId="1E3FCAA7" w14:textId="6B1B8319" w:rsidR="00BE7A68" w:rsidRDefault="00BE7A68" w:rsidP="00522C8D">
      <w:pPr>
        <w:pStyle w:val="BodyTextIndent"/>
      </w:pPr>
      <w:r>
        <w:t>P13.2</w:t>
      </w:r>
    </w:p>
    <w:p w14:paraId="19814A60" w14:textId="3D594576" w:rsidR="00AB7283" w:rsidRDefault="00AB7283" w:rsidP="00522C8D">
      <w:pPr>
        <w:pStyle w:val="BodyTextIndent"/>
        <w:rPr>
          <w:color w:val="FF0000"/>
        </w:rPr>
      </w:pPr>
      <w:r>
        <w:rPr>
          <w:color w:val="FF0000"/>
        </w:rPr>
        <w:t>5 pt for each correct value</w:t>
      </w:r>
    </w:p>
    <w:p w14:paraId="0D7ED16D" w14:textId="045465BC" w:rsidR="00AB7283" w:rsidRDefault="00AB7283" w:rsidP="00522C8D">
      <w:pPr>
        <w:pStyle w:val="BodyTextIndent"/>
        <w:rPr>
          <w:color w:val="FF0000"/>
        </w:rPr>
      </w:pPr>
      <w:r>
        <w:rPr>
          <w:color w:val="FF0000"/>
        </w:rPr>
        <w:t>- 4 pt for right formula</w:t>
      </w:r>
    </w:p>
    <w:p w14:paraId="34CFA18F" w14:textId="7885DA8D" w:rsidR="00AB7283" w:rsidRPr="00AB7283" w:rsidRDefault="00AB7283" w:rsidP="00522C8D">
      <w:pPr>
        <w:pStyle w:val="BodyTextIndent"/>
        <w:rPr>
          <w:color w:val="FF0000"/>
        </w:rPr>
      </w:pPr>
      <w:r>
        <w:rPr>
          <w:color w:val="FF0000"/>
        </w:rPr>
        <w:t>- 1 pt for right answer</w:t>
      </w:r>
    </w:p>
    <w:p w14:paraId="104E316D" w14:textId="77777777" w:rsidR="00BE7A68" w:rsidRPr="00BE7A68" w:rsidRDefault="00BE7A68" w:rsidP="00BE7A68">
      <w:pPr>
        <w:autoSpaceDE w:val="0"/>
        <w:autoSpaceDN w:val="0"/>
        <w:adjustRightInd w:val="0"/>
        <w:rPr>
          <w:sz w:val="22"/>
          <w:szCs w:val="22"/>
        </w:rPr>
      </w:pPr>
      <w:r w:rsidRPr="00BE7A68">
        <w:rPr>
          <w:sz w:val="22"/>
          <w:szCs w:val="22"/>
        </w:rPr>
        <w:t xml:space="preserve">In order to first get a rough estimate of the fraction present in dissolved form in the three systems, take an average </w:t>
      </w:r>
      <w:r w:rsidRPr="00BE7A68">
        <w:rPr>
          <w:i/>
          <w:iCs/>
          <w:sz w:val="22"/>
          <w:szCs w:val="22"/>
        </w:rPr>
        <w:t>K</w:t>
      </w:r>
      <w:r w:rsidRPr="00BE7A68">
        <w:rPr>
          <w:i/>
          <w:iCs/>
          <w:sz w:val="14"/>
          <w:szCs w:val="14"/>
        </w:rPr>
        <w:t>i</w:t>
      </w:r>
      <w:r w:rsidRPr="00BE7A68">
        <w:rPr>
          <w:sz w:val="14"/>
          <w:szCs w:val="14"/>
        </w:rPr>
        <w:t xml:space="preserve">ocw </w:t>
      </w:r>
      <w:r w:rsidRPr="00BE7A68">
        <w:rPr>
          <w:sz w:val="22"/>
          <w:szCs w:val="22"/>
        </w:rPr>
        <w:t>value of about 100 L kgoc</w:t>
      </w:r>
      <w:r w:rsidRPr="00BE7A68">
        <w:rPr>
          <w:sz w:val="14"/>
          <w:szCs w:val="14"/>
          <w:vertAlign w:val="superscript"/>
        </w:rPr>
        <w:t>–1</w:t>
      </w:r>
      <w:r w:rsidRPr="00BE7A68">
        <w:rPr>
          <w:sz w:val="22"/>
          <w:szCs w:val="22"/>
        </w:rPr>
        <w:t xml:space="preserve">. Note that if a more accurate value would be needed you could still look at scenarios using different </w:t>
      </w:r>
      <w:r w:rsidRPr="00BE7A68">
        <w:rPr>
          <w:i/>
          <w:iCs/>
          <w:sz w:val="22"/>
          <w:szCs w:val="22"/>
        </w:rPr>
        <w:t>K</w:t>
      </w:r>
      <w:r w:rsidRPr="00BE7A68">
        <w:rPr>
          <w:i/>
          <w:iCs/>
          <w:sz w:val="14"/>
          <w:szCs w:val="14"/>
        </w:rPr>
        <w:t>i</w:t>
      </w:r>
      <w:r w:rsidRPr="00BE7A68">
        <w:rPr>
          <w:sz w:val="14"/>
          <w:szCs w:val="14"/>
        </w:rPr>
        <w:t xml:space="preserve">ocw </w:t>
      </w:r>
      <w:r w:rsidRPr="00BE7A68">
        <w:rPr>
          <w:sz w:val="22"/>
          <w:szCs w:val="22"/>
        </w:rPr>
        <w:t xml:space="preserve">values. Assuming that </w:t>
      </w:r>
      <w:r w:rsidRPr="00BE7A68">
        <w:rPr>
          <w:i/>
          <w:iCs/>
          <w:sz w:val="22"/>
          <w:szCs w:val="22"/>
        </w:rPr>
        <w:t>K</w:t>
      </w:r>
      <w:r w:rsidRPr="00BE7A68">
        <w:rPr>
          <w:i/>
          <w:iCs/>
          <w:sz w:val="14"/>
          <w:szCs w:val="14"/>
        </w:rPr>
        <w:t>i</w:t>
      </w:r>
      <w:r w:rsidRPr="00BE7A68">
        <w:rPr>
          <w:sz w:val="14"/>
          <w:szCs w:val="14"/>
        </w:rPr>
        <w:t xml:space="preserve">d </w:t>
      </w:r>
      <w:r w:rsidRPr="00BE7A68">
        <w:rPr>
          <w:sz w:val="22"/>
          <w:szCs w:val="22"/>
        </w:rPr>
        <w:t xml:space="preserve">= </w:t>
      </w:r>
      <w:r w:rsidRPr="00BE7A68">
        <w:rPr>
          <w:i/>
          <w:iCs/>
          <w:sz w:val="22"/>
          <w:szCs w:val="22"/>
        </w:rPr>
        <w:t>f</w:t>
      </w:r>
      <w:r w:rsidRPr="00BE7A68">
        <w:rPr>
          <w:sz w:val="14"/>
          <w:szCs w:val="14"/>
        </w:rPr>
        <w:t>oc</w:t>
      </w:r>
      <w:r w:rsidRPr="00BE7A68">
        <w:rPr>
          <w:i/>
          <w:iCs/>
          <w:sz w:val="22"/>
          <w:szCs w:val="22"/>
        </w:rPr>
        <w:t>K</w:t>
      </w:r>
      <w:r w:rsidRPr="00BE7A68">
        <w:rPr>
          <w:i/>
          <w:iCs/>
          <w:sz w:val="14"/>
          <w:szCs w:val="14"/>
        </w:rPr>
        <w:t>i</w:t>
      </w:r>
      <w:r w:rsidRPr="00BE7A68">
        <w:rPr>
          <w:sz w:val="14"/>
          <w:szCs w:val="14"/>
        </w:rPr>
        <w:t xml:space="preserve">ocw </w:t>
      </w:r>
      <w:r w:rsidRPr="00BE7A68">
        <w:rPr>
          <w:sz w:val="22"/>
          <w:szCs w:val="22"/>
        </w:rPr>
        <w:t>, the fraction in dissolved form is given as (Eq. 12.18):</w:t>
      </w:r>
    </w:p>
    <w:p w14:paraId="22CAE463" w14:textId="77777777" w:rsidR="00BE7A68" w:rsidRPr="00BE7A68" w:rsidRDefault="00BE7A68" w:rsidP="00BE7A68">
      <w:pPr>
        <w:autoSpaceDE w:val="0"/>
        <w:autoSpaceDN w:val="0"/>
        <w:adjustRightInd w:val="0"/>
        <w:rPr>
          <w:rFonts w:ascii="Symbol" w:hAnsi="Symbol" w:cs="Symbol"/>
          <w:sz w:val="20"/>
          <w:szCs w:val="20"/>
        </w:rPr>
      </w:pPr>
      <w:r>
        <w:rPr>
          <w:rFonts w:ascii="TimesNewRomanPS-ItalicMT" w:hAnsi="TimesNewRomanPS-ItalicMT" w:cs="TimesNewRomanPS-ItalicMT"/>
          <w:i/>
          <w:iCs/>
          <w:sz w:val="20"/>
          <w:szCs w:val="20"/>
        </w:rPr>
        <w:t>f</w:t>
      </w:r>
      <w:r>
        <w:rPr>
          <w:rFonts w:ascii="TimesNewRomanPS-ItalicMT" w:hAnsi="TimesNewRomanPS-ItalicMT" w:cs="TimesNewRomanPS-ItalicMT"/>
          <w:i/>
          <w:iCs/>
          <w:sz w:val="12"/>
          <w:szCs w:val="12"/>
        </w:rPr>
        <w:t>i</w:t>
      </w:r>
      <w:r>
        <w:rPr>
          <w:rFonts w:ascii="TimesNewRomanPSMT" w:hAnsi="TimesNewRomanPSMT" w:cs="TimesNewRomanPSMT"/>
          <w:sz w:val="12"/>
          <w:szCs w:val="12"/>
        </w:rPr>
        <w:t xml:space="preserve">w </w:t>
      </w:r>
      <w:r>
        <w:rPr>
          <w:rFonts w:ascii="Symbol" w:hAnsi="Symbol" w:cs="Symbol"/>
          <w:sz w:val="20"/>
          <w:szCs w:val="20"/>
        </w:rPr>
        <w:t></w:t>
      </w:r>
      <w:r>
        <w:rPr>
          <w:rFonts w:ascii="TimesNewRomanPSMT" w:hAnsi="TimesNewRomanPSMT" w:cs="TimesNewRomanPSMT"/>
          <w:sz w:val="20"/>
          <w:szCs w:val="20"/>
        </w:rPr>
        <w:t>1</w:t>
      </w:r>
      <w:r>
        <w:rPr>
          <w:rFonts w:ascii="Symbol" w:hAnsi="Symbol" w:cs="Symbol"/>
          <w:sz w:val="20"/>
          <w:szCs w:val="20"/>
        </w:rPr>
        <w:t></w:t>
      </w:r>
      <w:r>
        <w:rPr>
          <w:rFonts w:ascii="Symbol" w:hAnsi="Symbol" w:cs="Symbol"/>
          <w:sz w:val="20"/>
          <w:szCs w:val="20"/>
        </w:rPr>
        <w:t></w:t>
      </w:r>
      <w:r>
        <w:rPr>
          <w:rFonts w:ascii="TimesNewRomanPSMT" w:hAnsi="TimesNewRomanPSMT" w:cs="TimesNewRomanPSMT"/>
          <w:sz w:val="20"/>
          <w:szCs w:val="20"/>
        </w:rPr>
        <w:t>1</w:t>
      </w:r>
      <w:r>
        <w:rPr>
          <w:rFonts w:ascii="Symbol" w:hAnsi="Symbol" w:cs="Symbol"/>
          <w:sz w:val="20"/>
          <w:szCs w:val="20"/>
        </w:rPr>
        <w:t></w:t>
      </w:r>
      <w:r>
        <w:rPr>
          <w:rFonts w:ascii="Symbol" w:hAnsi="Symbol" w:cs="Symbol"/>
          <w:sz w:val="20"/>
          <w:szCs w:val="20"/>
        </w:rPr>
        <w:t></w:t>
      </w:r>
      <w:r>
        <w:rPr>
          <w:rFonts w:ascii="TimesNewRomanPS-ItalicMT" w:hAnsi="TimesNewRomanPS-ItalicMT" w:cs="TimesNewRomanPS-ItalicMT"/>
          <w:i/>
          <w:iCs/>
          <w:sz w:val="20"/>
          <w:szCs w:val="20"/>
        </w:rPr>
        <w:t>r</w:t>
      </w:r>
      <w:r>
        <w:rPr>
          <w:rFonts w:ascii="TimesNewRomanPSMT" w:hAnsi="TimesNewRomanPSMT" w:cs="TimesNewRomanPSMT"/>
          <w:sz w:val="12"/>
          <w:szCs w:val="12"/>
        </w:rPr>
        <w:t>sw</w:t>
      </w:r>
      <w:r>
        <w:rPr>
          <w:rFonts w:ascii="TimesNewRomanPS-ItalicMT" w:hAnsi="TimesNewRomanPS-ItalicMT" w:cs="TimesNewRomanPS-ItalicMT"/>
          <w:i/>
          <w:iCs/>
          <w:sz w:val="20"/>
          <w:szCs w:val="20"/>
        </w:rPr>
        <w:t>K</w:t>
      </w:r>
      <w:r>
        <w:rPr>
          <w:rFonts w:ascii="TimesNewRomanPS-ItalicMT" w:hAnsi="TimesNewRomanPS-ItalicMT" w:cs="TimesNewRomanPS-ItalicMT"/>
          <w:i/>
          <w:iCs/>
          <w:sz w:val="12"/>
          <w:szCs w:val="12"/>
        </w:rPr>
        <w:t>i</w:t>
      </w:r>
      <w:r>
        <w:rPr>
          <w:rFonts w:ascii="TimesNewRomanPSMT" w:hAnsi="TimesNewRomanPSMT" w:cs="TimesNewRomanPSMT"/>
          <w:sz w:val="12"/>
          <w:szCs w:val="12"/>
        </w:rPr>
        <w:t>d</w:t>
      </w:r>
      <w:r w:rsidRPr="00BE7A68">
        <w:rPr>
          <w:rFonts w:ascii="Symbol" w:hAnsi="Symbol" w:cs="TimesNewRomanPSMT"/>
          <w:sz w:val="20"/>
          <w:szCs w:val="12"/>
        </w:rPr>
        <w:t></w:t>
      </w:r>
      <w:r>
        <w:rPr>
          <w:rFonts w:ascii="Symbol" w:hAnsi="Symbol" w:cs="Symbol"/>
          <w:sz w:val="20"/>
          <w:szCs w:val="20"/>
        </w:rPr>
        <w:t></w:t>
      </w:r>
      <w:r>
        <w:rPr>
          <w:rFonts w:ascii="TimesNewRomanPSMT" w:hAnsi="TimesNewRomanPSMT" w:cs="TimesNewRomanPSMT"/>
          <w:sz w:val="20"/>
          <w:szCs w:val="20"/>
        </w:rPr>
        <w:t>1</w:t>
      </w:r>
      <w:r>
        <w:rPr>
          <w:rFonts w:ascii="Symbol" w:hAnsi="Symbol" w:cs="Symbol"/>
          <w:sz w:val="20"/>
          <w:szCs w:val="20"/>
        </w:rPr>
        <w:t></w:t>
      </w:r>
      <w:r>
        <w:rPr>
          <w:rFonts w:ascii="Symbol" w:hAnsi="Symbol" w:cs="Symbol"/>
          <w:sz w:val="20"/>
          <w:szCs w:val="20"/>
        </w:rPr>
        <w:t></w:t>
      </w:r>
      <w:r>
        <w:rPr>
          <w:rFonts w:ascii="TimesNewRomanPSMT" w:hAnsi="TimesNewRomanPSMT" w:cs="TimesNewRomanPSMT"/>
          <w:sz w:val="20"/>
          <w:szCs w:val="20"/>
        </w:rPr>
        <w:t>1</w:t>
      </w:r>
      <w:r>
        <w:rPr>
          <w:rFonts w:ascii="Symbol" w:hAnsi="Symbol" w:cs="Symbol"/>
          <w:sz w:val="20"/>
          <w:szCs w:val="20"/>
        </w:rPr>
        <w:t></w:t>
      </w:r>
      <w:r>
        <w:rPr>
          <w:rFonts w:ascii="Symbol" w:hAnsi="Symbol" w:cs="Symbol"/>
          <w:sz w:val="20"/>
          <w:szCs w:val="20"/>
        </w:rPr>
        <w:t></w:t>
      </w:r>
      <w:r>
        <w:rPr>
          <w:rFonts w:ascii="TimesNewRomanPS-ItalicMT" w:hAnsi="TimesNewRomanPS-ItalicMT" w:cs="TimesNewRomanPS-ItalicMT"/>
          <w:i/>
          <w:iCs/>
          <w:sz w:val="20"/>
          <w:szCs w:val="20"/>
        </w:rPr>
        <w:t>r</w:t>
      </w:r>
      <w:r>
        <w:rPr>
          <w:rFonts w:ascii="TimesNewRomanPSMT" w:hAnsi="TimesNewRomanPSMT" w:cs="TimesNewRomanPSMT"/>
          <w:sz w:val="12"/>
          <w:szCs w:val="12"/>
        </w:rPr>
        <w:t xml:space="preserve">sw </w:t>
      </w:r>
      <w:r>
        <w:rPr>
          <w:rFonts w:ascii="TimesNewRomanPS-ItalicMT" w:hAnsi="TimesNewRomanPS-ItalicMT" w:cs="TimesNewRomanPS-ItalicMT"/>
          <w:i/>
          <w:iCs/>
          <w:sz w:val="20"/>
          <w:szCs w:val="20"/>
        </w:rPr>
        <w:t>f</w:t>
      </w:r>
      <w:r>
        <w:rPr>
          <w:rFonts w:ascii="TimesNewRomanPSMT" w:hAnsi="TimesNewRomanPSMT" w:cs="TimesNewRomanPSMT"/>
          <w:sz w:val="12"/>
          <w:szCs w:val="12"/>
        </w:rPr>
        <w:t>oc</w:t>
      </w:r>
      <w:r>
        <w:rPr>
          <w:rFonts w:ascii="TimesNewRomanPS-ItalicMT" w:hAnsi="TimesNewRomanPS-ItalicMT" w:cs="TimesNewRomanPS-ItalicMT"/>
          <w:i/>
          <w:iCs/>
          <w:sz w:val="20"/>
          <w:szCs w:val="20"/>
        </w:rPr>
        <w:t>K</w:t>
      </w:r>
      <w:r>
        <w:rPr>
          <w:rFonts w:ascii="TimesNewRomanPS-ItalicMT" w:hAnsi="TimesNewRomanPS-ItalicMT" w:cs="TimesNewRomanPS-ItalicMT"/>
          <w:i/>
          <w:iCs/>
          <w:sz w:val="12"/>
          <w:szCs w:val="12"/>
        </w:rPr>
        <w:t>i</w:t>
      </w:r>
      <w:r>
        <w:rPr>
          <w:rFonts w:ascii="TimesNewRomanPSMT" w:hAnsi="TimesNewRomanPSMT" w:cs="TimesNewRomanPSMT"/>
          <w:sz w:val="12"/>
          <w:szCs w:val="12"/>
        </w:rPr>
        <w:t>ocw</w:t>
      </w:r>
      <w:r w:rsidRPr="00BE7A68">
        <w:rPr>
          <w:rFonts w:ascii="Symbol" w:hAnsi="Symbol" w:cs="TimesNewRomanPSMT"/>
          <w:sz w:val="20"/>
          <w:szCs w:val="12"/>
        </w:rPr>
        <w:t></w:t>
      </w:r>
    </w:p>
    <w:p w14:paraId="5CA86FDF" w14:textId="77777777" w:rsidR="00BE7A68" w:rsidRDefault="00BE7A68" w:rsidP="00BE7A68">
      <w:pPr>
        <w:autoSpaceDE w:val="0"/>
        <w:autoSpaceDN w:val="0"/>
        <w:adjustRightInd w:val="0"/>
        <w:rPr>
          <w:rFonts w:ascii="TimesNewRomanPSMT" w:hAnsi="TimesNewRomanPSMT" w:cs="TimesNewRomanPSMT"/>
          <w:sz w:val="22"/>
          <w:szCs w:val="22"/>
        </w:rPr>
      </w:pPr>
    </w:p>
    <w:p w14:paraId="44D8A9E9" w14:textId="77777777" w:rsidR="00BE7A68" w:rsidRPr="00BE7A68" w:rsidRDefault="00BE7A68" w:rsidP="00BE7A68">
      <w:pPr>
        <w:autoSpaceDE w:val="0"/>
        <w:autoSpaceDN w:val="0"/>
        <w:adjustRightInd w:val="0"/>
        <w:rPr>
          <w:sz w:val="22"/>
          <w:szCs w:val="22"/>
        </w:rPr>
      </w:pPr>
      <w:r w:rsidRPr="00BE7A68">
        <w:rPr>
          <w:sz w:val="22"/>
          <w:szCs w:val="22"/>
        </w:rPr>
        <w:t xml:space="preserve">(a)(b) the solid-water ratio, </w:t>
      </w:r>
      <w:r w:rsidRPr="00BE7A68">
        <w:rPr>
          <w:i/>
          <w:iCs/>
          <w:sz w:val="22"/>
          <w:szCs w:val="22"/>
        </w:rPr>
        <w:t>r</w:t>
      </w:r>
      <w:r w:rsidRPr="00BE7A68">
        <w:rPr>
          <w:sz w:val="14"/>
          <w:szCs w:val="14"/>
        </w:rPr>
        <w:t>sw</w:t>
      </w:r>
      <w:r w:rsidRPr="00BE7A68">
        <w:rPr>
          <w:sz w:val="22"/>
          <w:szCs w:val="22"/>
        </w:rPr>
        <w:t>, is about equal to the particle concentration resulting in:</w:t>
      </w:r>
    </w:p>
    <w:p w14:paraId="46FB18B3" w14:textId="77777777" w:rsidR="00BE7A68" w:rsidRPr="00BE7A68" w:rsidRDefault="00BE7A68" w:rsidP="00BE7A68">
      <w:pPr>
        <w:autoSpaceDE w:val="0"/>
        <w:autoSpaceDN w:val="0"/>
        <w:adjustRightInd w:val="0"/>
        <w:rPr>
          <w:sz w:val="22"/>
          <w:szCs w:val="22"/>
        </w:rPr>
      </w:pPr>
      <w:r w:rsidRPr="00BE7A68">
        <w:rPr>
          <w:sz w:val="22"/>
          <w:szCs w:val="22"/>
        </w:rPr>
        <w:t xml:space="preserve">(a) </w:t>
      </w:r>
      <w:r w:rsidRPr="00BE7A68">
        <w:rPr>
          <w:i/>
          <w:iCs/>
          <w:sz w:val="22"/>
          <w:szCs w:val="22"/>
        </w:rPr>
        <w:t>f</w:t>
      </w:r>
      <w:r w:rsidRPr="00BE7A68">
        <w:rPr>
          <w:i/>
          <w:iCs/>
          <w:sz w:val="14"/>
          <w:szCs w:val="14"/>
        </w:rPr>
        <w:t>i</w:t>
      </w:r>
      <w:r w:rsidRPr="00BE7A68">
        <w:rPr>
          <w:sz w:val="14"/>
          <w:szCs w:val="14"/>
        </w:rPr>
        <w:t xml:space="preserve">w </w:t>
      </w:r>
      <w:r w:rsidRPr="00BE7A68">
        <w:rPr>
          <w:sz w:val="22"/>
          <w:szCs w:val="22"/>
        </w:rPr>
        <w:t>= 0.9998</w:t>
      </w:r>
    </w:p>
    <w:p w14:paraId="29EF68B0" w14:textId="77777777" w:rsidR="00BE7A68" w:rsidRPr="00BE7A68" w:rsidRDefault="00BE7A68" w:rsidP="00BE7A68">
      <w:pPr>
        <w:autoSpaceDE w:val="0"/>
        <w:autoSpaceDN w:val="0"/>
        <w:adjustRightInd w:val="0"/>
        <w:rPr>
          <w:sz w:val="22"/>
          <w:szCs w:val="22"/>
        </w:rPr>
      </w:pPr>
      <w:r w:rsidRPr="00BE7A68">
        <w:rPr>
          <w:sz w:val="22"/>
          <w:szCs w:val="22"/>
        </w:rPr>
        <w:t xml:space="preserve">(b) </w:t>
      </w:r>
      <w:r w:rsidRPr="00BE7A68">
        <w:rPr>
          <w:i/>
          <w:iCs/>
          <w:sz w:val="22"/>
          <w:szCs w:val="22"/>
        </w:rPr>
        <w:t>f</w:t>
      </w:r>
      <w:r w:rsidRPr="00BE7A68">
        <w:rPr>
          <w:i/>
          <w:iCs/>
          <w:sz w:val="14"/>
          <w:szCs w:val="14"/>
        </w:rPr>
        <w:t>i</w:t>
      </w:r>
      <w:r w:rsidRPr="00BE7A68">
        <w:rPr>
          <w:sz w:val="14"/>
          <w:szCs w:val="14"/>
        </w:rPr>
        <w:t xml:space="preserve">w </w:t>
      </w:r>
      <w:r w:rsidRPr="00BE7A68">
        <w:rPr>
          <w:sz w:val="22"/>
          <w:szCs w:val="22"/>
        </w:rPr>
        <w:t>= 0.998</w:t>
      </w:r>
    </w:p>
    <w:p w14:paraId="609003B9" w14:textId="77777777" w:rsidR="00BE7A68" w:rsidRPr="00BE7A68" w:rsidRDefault="00BE7A68" w:rsidP="00BE7A68">
      <w:pPr>
        <w:autoSpaceDE w:val="0"/>
        <w:autoSpaceDN w:val="0"/>
        <w:adjustRightInd w:val="0"/>
        <w:rPr>
          <w:sz w:val="22"/>
          <w:szCs w:val="22"/>
        </w:rPr>
      </w:pPr>
    </w:p>
    <w:p w14:paraId="0FEBBD9B" w14:textId="77777777" w:rsidR="00BE7A68" w:rsidRPr="00BE7A68" w:rsidRDefault="00BE7A68" w:rsidP="00BE7A68">
      <w:pPr>
        <w:autoSpaceDE w:val="0"/>
        <w:autoSpaceDN w:val="0"/>
        <w:adjustRightInd w:val="0"/>
        <w:rPr>
          <w:sz w:val="22"/>
          <w:szCs w:val="22"/>
        </w:rPr>
      </w:pPr>
      <w:r w:rsidRPr="00BE7A68">
        <w:rPr>
          <w:sz w:val="22"/>
          <w:szCs w:val="22"/>
        </w:rPr>
        <w:t>(c) In the aquifer where the solid-water ratio is much larger, it is given by (Eq. 12-22):</w:t>
      </w:r>
    </w:p>
    <w:p w14:paraId="61D59E47" w14:textId="77777777" w:rsidR="00BE7A68" w:rsidRDefault="00BE7A68" w:rsidP="00BE7A68">
      <w:pPr>
        <w:autoSpaceDE w:val="0"/>
        <w:autoSpaceDN w:val="0"/>
        <w:adjustRightInd w:val="0"/>
        <w:rPr>
          <w:rFonts w:ascii="Symbol" w:hAnsi="Symbol" w:cs="Symbol"/>
          <w:sz w:val="22"/>
          <w:szCs w:val="22"/>
        </w:rPr>
      </w:pPr>
      <w:r>
        <w:rPr>
          <w:rFonts w:ascii="TimesNewRomanPS-ItalicMT" w:hAnsi="TimesNewRomanPS-ItalicMT" w:cs="TimesNewRomanPS-ItalicMT"/>
          <w:i/>
          <w:iCs/>
          <w:sz w:val="22"/>
          <w:szCs w:val="22"/>
        </w:rPr>
        <w:t>r</w:t>
      </w:r>
      <w:r>
        <w:rPr>
          <w:rFonts w:ascii="TimesNewRomanPSMT" w:hAnsi="TimesNewRomanPSMT" w:cs="TimesNewRomanPSMT"/>
          <w:sz w:val="14"/>
          <w:szCs w:val="14"/>
        </w:rPr>
        <w:t xml:space="preserve">sw </w:t>
      </w:r>
      <w:r>
        <w:rPr>
          <w:rFonts w:ascii="Symbol" w:hAnsi="Symbol" w:cs="Symbol"/>
          <w:sz w:val="22"/>
          <w:szCs w:val="22"/>
        </w:rPr>
        <w:t></w:t>
      </w:r>
      <w:r>
        <w:rPr>
          <w:rFonts w:ascii="Symbol" w:hAnsi="Symbol" w:cs="Symbol"/>
          <w:sz w:val="22"/>
          <w:szCs w:val="22"/>
        </w:rPr>
        <w:t></w:t>
      </w:r>
      <m:oMath>
        <m:sSub>
          <m:sSubPr>
            <m:ctrlPr>
              <w:rPr>
                <w:rFonts w:ascii="Cambria Math" w:hAnsi="Cambria Math" w:cs="Symbol"/>
                <w:i/>
                <w:sz w:val="22"/>
                <w:szCs w:val="22"/>
              </w:rPr>
            </m:ctrlPr>
          </m:sSubPr>
          <m:e>
            <m:r>
              <w:rPr>
                <w:rFonts w:ascii="Cambria Math" w:hAnsi="Cambria Math" w:cs="Symbol"/>
                <w:sz w:val="22"/>
                <w:szCs w:val="22"/>
              </w:rPr>
              <m:t>ρ</m:t>
            </m:r>
          </m:e>
          <m:sub>
            <m:r>
              <w:rPr>
                <w:rFonts w:ascii="Cambria Math" w:hAnsi="Cambria Math" w:cs="Symbol"/>
                <w:sz w:val="22"/>
                <w:szCs w:val="22"/>
              </w:rPr>
              <m:t>s</m:t>
            </m:r>
          </m:sub>
        </m:sSub>
        <m:f>
          <m:fPr>
            <m:ctrlPr>
              <w:rPr>
                <w:rFonts w:ascii="Cambria Math" w:hAnsi="Cambria Math" w:cs="Symbol"/>
                <w:i/>
                <w:sz w:val="22"/>
                <w:szCs w:val="22"/>
              </w:rPr>
            </m:ctrlPr>
          </m:fPr>
          <m:num>
            <m:r>
              <w:rPr>
                <w:rFonts w:ascii="Cambria Math" w:hAnsi="Cambria Math" w:cs="Symbol"/>
                <w:sz w:val="22"/>
                <w:szCs w:val="22"/>
              </w:rPr>
              <m:t>1-φ</m:t>
            </m:r>
          </m:num>
          <m:den>
            <m:r>
              <w:rPr>
                <w:rFonts w:ascii="Cambria Math" w:hAnsi="Cambria Math" w:cs="Symbol"/>
                <w:sz w:val="22"/>
                <w:szCs w:val="22"/>
              </w:rPr>
              <m:t>φ</m:t>
            </m:r>
          </m:den>
        </m:f>
      </m:oMath>
    </w:p>
    <w:p w14:paraId="5B25E1C2" w14:textId="77777777" w:rsidR="00BE7A68" w:rsidRPr="00BE7A68" w:rsidRDefault="00BE7A68" w:rsidP="00BE7A68">
      <w:pPr>
        <w:autoSpaceDE w:val="0"/>
        <w:autoSpaceDN w:val="0"/>
        <w:adjustRightInd w:val="0"/>
        <w:rPr>
          <w:i/>
          <w:iCs/>
          <w:sz w:val="14"/>
          <w:szCs w:val="14"/>
        </w:rPr>
      </w:pPr>
      <w:r w:rsidRPr="00BE7A68">
        <w:rPr>
          <w:sz w:val="22"/>
          <w:szCs w:val="22"/>
        </w:rPr>
        <w:t xml:space="preserve">Hence, </w:t>
      </w:r>
      <w:r w:rsidRPr="00BE7A68">
        <w:rPr>
          <w:i/>
          <w:iCs/>
          <w:sz w:val="22"/>
          <w:szCs w:val="22"/>
        </w:rPr>
        <w:t>r</w:t>
      </w:r>
      <w:r w:rsidRPr="00BE7A68">
        <w:rPr>
          <w:sz w:val="14"/>
          <w:szCs w:val="14"/>
        </w:rPr>
        <w:t xml:space="preserve">sw </w:t>
      </w:r>
      <w:r w:rsidRPr="00BE7A68">
        <w:rPr>
          <w:sz w:val="22"/>
          <w:szCs w:val="22"/>
        </w:rPr>
        <w:t>= 10 kg solid L</w:t>
      </w:r>
      <w:r w:rsidRPr="00BE7A68">
        <w:rPr>
          <w:sz w:val="14"/>
          <w:szCs w:val="14"/>
        </w:rPr>
        <w:t xml:space="preserve">–1 </w:t>
      </w:r>
      <w:r w:rsidRPr="00BE7A68">
        <w:rPr>
          <w:sz w:val="22"/>
          <w:szCs w:val="22"/>
        </w:rPr>
        <w:t xml:space="preserve">water and therefore, </w:t>
      </w:r>
      <w:r w:rsidRPr="00BE7A68">
        <w:rPr>
          <w:i/>
          <w:iCs/>
          <w:sz w:val="22"/>
          <w:szCs w:val="22"/>
        </w:rPr>
        <w:t>f</w:t>
      </w:r>
      <w:r w:rsidRPr="00BE7A68">
        <w:rPr>
          <w:i/>
          <w:iCs/>
          <w:sz w:val="14"/>
          <w:szCs w:val="14"/>
        </w:rPr>
        <w:t>i</w:t>
      </w:r>
      <w:r w:rsidRPr="00BE7A68">
        <w:rPr>
          <w:sz w:val="14"/>
          <w:szCs w:val="14"/>
        </w:rPr>
        <w:t xml:space="preserve">w </w:t>
      </w:r>
      <w:r w:rsidRPr="00BE7A68">
        <w:rPr>
          <w:sz w:val="22"/>
          <w:szCs w:val="22"/>
        </w:rPr>
        <w:t xml:space="preserve">= 0.167, which would mean a retardation factor </w:t>
      </w:r>
      <w:r w:rsidRPr="00BE7A68">
        <w:rPr>
          <w:i/>
          <w:iCs/>
          <w:sz w:val="22"/>
          <w:szCs w:val="22"/>
        </w:rPr>
        <w:t>R</w:t>
      </w:r>
      <w:r w:rsidRPr="00BE7A68">
        <w:rPr>
          <w:sz w:val="14"/>
          <w:szCs w:val="14"/>
        </w:rPr>
        <w:t>f</w:t>
      </w:r>
      <w:r w:rsidRPr="00BE7A68">
        <w:rPr>
          <w:i/>
          <w:iCs/>
          <w:sz w:val="14"/>
          <w:szCs w:val="14"/>
        </w:rPr>
        <w:t>i</w:t>
      </w:r>
    </w:p>
    <w:p w14:paraId="5752B2C1" w14:textId="77777777" w:rsidR="00BE7A68" w:rsidRPr="00BE7A68" w:rsidRDefault="00BE7A68" w:rsidP="00BE7A68">
      <w:pPr>
        <w:autoSpaceDE w:val="0"/>
        <w:autoSpaceDN w:val="0"/>
        <w:adjustRightInd w:val="0"/>
        <w:rPr>
          <w:sz w:val="22"/>
          <w:szCs w:val="22"/>
        </w:rPr>
      </w:pPr>
      <w:r w:rsidRPr="00BE7A68">
        <w:rPr>
          <w:sz w:val="22"/>
          <w:szCs w:val="22"/>
        </w:rPr>
        <w:t>(Eq. 12-25) = (</w:t>
      </w:r>
      <w:r w:rsidRPr="00BE7A68">
        <w:rPr>
          <w:i/>
          <w:iCs/>
          <w:sz w:val="22"/>
          <w:szCs w:val="22"/>
        </w:rPr>
        <w:t>f</w:t>
      </w:r>
      <w:r w:rsidRPr="00BE7A68">
        <w:rPr>
          <w:i/>
          <w:iCs/>
          <w:sz w:val="14"/>
          <w:szCs w:val="14"/>
        </w:rPr>
        <w:t>i</w:t>
      </w:r>
      <w:r w:rsidRPr="00BE7A68">
        <w:rPr>
          <w:sz w:val="14"/>
          <w:szCs w:val="14"/>
        </w:rPr>
        <w:t>w</w:t>
      </w:r>
      <w:r w:rsidRPr="00BE7A68">
        <w:rPr>
          <w:sz w:val="22"/>
          <w:szCs w:val="22"/>
        </w:rPr>
        <w:t>)</w:t>
      </w:r>
      <w:r w:rsidRPr="00BE7A68">
        <w:rPr>
          <w:sz w:val="14"/>
          <w:szCs w:val="14"/>
        </w:rPr>
        <w:t xml:space="preserve">–1 </w:t>
      </w:r>
      <w:r w:rsidRPr="00BE7A68">
        <w:rPr>
          <w:sz w:val="22"/>
          <w:szCs w:val="22"/>
        </w:rPr>
        <w:t>= 6.</w:t>
      </w:r>
    </w:p>
    <w:p w14:paraId="1AA089CE" w14:textId="77777777" w:rsidR="007616D6" w:rsidRDefault="00BE7A68" w:rsidP="00BE7A68">
      <w:pPr>
        <w:autoSpaceDE w:val="0"/>
        <w:autoSpaceDN w:val="0"/>
        <w:adjustRightInd w:val="0"/>
        <w:rPr>
          <w:sz w:val="22"/>
          <w:szCs w:val="22"/>
        </w:rPr>
      </w:pPr>
      <w:r w:rsidRPr="00BE7A68">
        <w:rPr>
          <w:sz w:val="22"/>
          <w:szCs w:val="22"/>
        </w:rPr>
        <w:t xml:space="preserve">Note that in cases (a) and (b) a more accurate knowledge of </w:t>
      </w:r>
      <w:r w:rsidRPr="00BE7A68">
        <w:rPr>
          <w:i/>
          <w:iCs/>
          <w:sz w:val="22"/>
          <w:szCs w:val="22"/>
        </w:rPr>
        <w:t>K</w:t>
      </w:r>
      <w:r w:rsidRPr="00BE7A68">
        <w:rPr>
          <w:i/>
          <w:iCs/>
          <w:sz w:val="14"/>
          <w:szCs w:val="14"/>
        </w:rPr>
        <w:t>i</w:t>
      </w:r>
      <w:r w:rsidRPr="00BE7A68">
        <w:rPr>
          <w:sz w:val="14"/>
          <w:szCs w:val="14"/>
        </w:rPr>
        <w:t xml:space="preserve">ocw </w:t>
      </w:r>
      <w:r w:rsidRPr="00BE7A68">
        <w:rPr>
          <w:sz w:val="22"/>
          <w:szCs w:val="22"/>
        </w:rPr>
        <w:t xml:space="preserve">would not make a big difference for assessing the partitioning behavior of atrazine in the two surface waters. In contrast, in case (c) differences in </w:t>
      </w:r>
      <w:r w:rsidRPr="00BE7A68">
        <w:rPr>
          <w:i/>
          <w:iCs/>
          <w:sz w:val="22"/>
          <w:szCs w:val="22"/>
        </w:rPr>
        <w:t>K</w:t>
      </w:r>
      <w:r w:rsidRPr="00BE7A68">
        <w:rPr>
          <w:i/>
          <w:iCs/>
          <w:sz w:val="14"/>
          <w:szCs w:val="14"/>
        </w:rPr>
        <w:t>i</w:t>
      </w:r>
      <w:r w:rsidRPr="00BE7A68">
        <w:rPr>
          <w:sz w:val="14"/>
          <w:szCs w:val="14"/>
        </w:rPr>
        <w:t xml:space="preserve">ocw </w:t>
      </w:r>
      <w:r w:rsidRPr="00BE7A68">
        <w:rPr>
          <w:sz w:val="22"/>
          <w:szCs w:val="22"/>
        </w:rPr>
        <w:t xml:space="preserve">have a more significant effect. Inspection of Fig. 13.2 shows that most of the reported </w:t>
      </w:r>
      <w:r w:rsidRPr="00BE7A68">
        <w:rPr>
          <w:i/>
          <w:iCs/>
          <w:sz w:val="22"/>
          <w:szCs w:val="22"/>
        </w:rPr>
        <w:t>K</w:t>
      </w:r>
      <w:r w:rsidRPr="00BE7A68">
        <w:rPr>
          <w:i/>
          <w:iCs/>
          <w:sz w:val="14"/>
          <w:szCs w:val="14"/>
        </w:rPr>
        <w:t>i</w:t>
      </w:r>
      <w:r w:rsidRPr="00BE7A68">
        <w:rPr>
          <w:sz w:val="14"/>
          <w:szCs w:val="14"/>
        </w:rPr>
        <w:t xml:space="preserve">ocw </w:t>
      </w:r>
      <w:r w:rsidRPr="00BE7A68">
        <w:rPr>
          <w:sz w:val="22"/>
          <w:szCs w:val="22"/>
        </w:rPr>
        <w:t>values are between 80 and 250 L kg</w:t>
      </w:r>
      <w:r w:rsidRPr="00BE7A68">
        <w:rPr>
          <w:sz w:val="14"/>
          <w:szCs w:val="14"/>
        </w:rPr>
        <w:t xml:space="preserve">–1 </w:t>
      </w:r>
      <w:r w:rsidRPr="00BE7A68">
        <w:rPr>
          <w:sz w:val="22"/>
          <w:szCs w:val="22"/>
        </w:rPr>
        <w:t xml:space="preserve">oc. This means that, in the aquifer considered, the predicted </w:t>
      </w:r>
      <w:r w:rsidRPr="00BE7A68">
        <w:rPr>
          <w:i/>
          <w:iCs/>
          <w:sz w:val="22"/>
          <w:szCs w:val="22"/>
        </w:rPr>
        <w:t>f</w:t>
      </w:r>
      <w:r w:rsidRPr="00BE7A68">
        <w:rPr>
          <w:i/>
          <w:iCs/>
          <w:sz w:val="14"/>
          <w:szCs w:val="14"/>
        </w:rPr>
        <w:t>i</w:t>
      </w:r>
      <w:r w:rsidRPr="00BE7A68">
        <w:rPr>
          <w:sz w:val="14"/>
          <w:szCs w:val="14"/>
        </w:rPr>
        <w:t xml:space="preserve">w </w:t>
      </w:r>
      <w:r w:rsidRPr="00BE7A68">
        <w:rPr>
          <w:sz w:val="22"/>
          <w:szCs w:val="22"/>
        </w:rPr>
        <w:t>values vary between 0.2 and 0.071 and thus the retardation factors between 5 and 14.</w:t>
      </w:r>
      <w:r w:rsidR="00203D6A" w:rsidRPr="00BE7A68">
        <w:br/>
      </w:r>
    </w:p>
    <w:p w14:paraId="1BD368B3" w14:textId="382B7A6E" w:rsidR="00BE7A68" w:rsidRDefault="00BE7A68" w:rsidP="00BE7A68">
      <w:pPr>
        <w:autoSpaceDE w:val="0"/>
        <w:autoSpaceDN w:val="0"/>
        <w:adjustRightInd w:val="0"/>
        <w:rPr>
          <w:sz w:val="22"/>
          <w:szCs w:val="22"/>
        </w:rPr>
      </w:pPr>
      <w:r>
        <w:rPr>
          <w:sz w:val="22"/>
          <w:szCs w:val="22"/>
        </w:rPr>
        <w:t>P13.7</w:t>
      </w:r>
      <w:r w:rsidR="00426EBE">
        <w:rPr>
          <w:sz w:val="22"/>
          <w:szCs w:val="22"/>
        </w:rPr>
        <w:t xml:space="preserve"> </w:t>
      </w:r>
    </w:p>
    <w:p w14:paraId="575BB6B2" w14:textId="4B7DC3FA" w:rsidR="00426EBE" w:rsidRDefault="00426EBE" w:rsidP="00BE7A68">
      <w:pPr>
        <w:autoSpaceDE w:val="0"/>
        <w:autoSpaceDN w:val="0"/>
        <w:adjustRightInd w:val="0"/>
        <w:rPr>
          <w:color w:val="FF0000"/>
          <w:sz w:val="22"/>
          <w:szCs w:val="22"/>
        </w:rPr>
      </w:pPr>
      <w:r>
        <w:rPr>
          <w:color w:val="FF0000"/>
          <w:sz w:val="22"/>
          <w:szCs w:val="22"/>
        </w:rPr>
        <w:t>Correct and similar explanations 15pt</w:t>
      </w:r>
    </w:p>
    <w:p w14:paraId="32D41E38" w14:textId="02E6B077" w:rsidR="00426EBE" w:rsidRPr="00426EBE" w:rsidRDefault="00426EBE" w:rsidP="00BE7A68">
      <w:pPr>
        <w:autoSpaceDE w:val="0"/>
        <w:autoSpaceDN w:val="0"/>
        <w:adjustRightInd w:val="0"/>
        <w:rPr>
          <w:color w:val="FF0000"/>
          <w:sz w:val="22"/>
          <w:szCs w:val="22"/>
        </w:rPr>
      </w:pPr>
      <w:r>
        <w:rPr>
          <w:color w:val="FF0000"/>
          <w:sz w:val="22"/>
          <w:szCs w:val="22"/>
        </w:rPr>
        <w:t xml:space="preserve">- when </w:t>
      </w:r>
      <w:r>
        <w:rPr>
          <w:color w:val="FF0000"/>
          <w:sz w:val="22"/>
          <w:szCs w:val="22"/>
        </w:rPr>
        <w:tab/>
        <w:t>Cis = 1 micrograms</w:t>
      </w:r>
      <w:r w:rsidR="004C1440">
        <w:rPr>
          <w:color w:val="FF0000"/>
          <w:sz w:val="22"/>
          <w:szCs w:val="22"/>
        </w:rPr>
        <w:t>/L, BC has strong affinity.</w:t>
      </w:r>
    </w:p>
    <w:p w14:paraId="18644BBC" w14:textId="77777777" w:rsidR="005F5500" w:rsidRDefault="005F5500" w:rsidP="005F5500">
      <w:pPr>
        <w:autoSpaceDE w:val="0"/>
        <w:autoSpaceDN w:val="0"/>
        <w:adjustRightInd w:val="0"/>
        <w:rPr>
          <w:rFonts w:ascii="TimesNewRomanPS-ItalicMT" w:hAnsi="TimesNewRomanPS-ItalicMT" w:cs="TimesNewRomanPS-ItalicMT"/>
          <w:i/>
          <w:iCs/>
          <w:sz w:val="22"/>
          <w:szCs w:val="22"/>
        </w:rPr>
      </w:pPr>
      <w:r>
        <w:rPr>
          <w:rFonts w:ascii="TimesNewRomanPS-ItalicMT" w:hAnsi="TimesNewRomanPS-ItalicMT" w:cs="TimesNewRomanPS-ItalicMT"/>
          <w:i/>
          <w:iCs/>
          <w:sz w:val="22"/>
          <w:szCs w:val="22"/>
        </w:rPr>
        <w:t>Chelsea-I:</w:t>
      </w:r>
    </w:p>
    <w:p w14:paraId="5ABA2152"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 xml:space="preserve">Insertion of </w:t>
      </w:r>
      <w:r>
        <w:rPr>
          <w:rFonts w:ascii="TimesNewRomanPS-ItalicMT" w:hAnsi="TimesNewRomanPS-ItalicMT" w:cs="TimesNewRomanPS-ItalicMT"/>
          <w:i/>
          <w:iCs/>
          <w:sz w:val="22"/>
          <w:szCs w:val="22"/>
        </w:rPr>
        <w:t>f</w:t>
      </w:r>
      <w:r>
        <w:rPr>
          <w:rFonts w:ascii="TimesNewRomanPSMT" w:hAnsi="TimesNewRomanPSMT" w:cs="TimesNewRomanPSMT"/>
          <w:sz w:val="14"/>
          <w:szCs w:val="14"/>
        </w:rPr>
        <w:t>oc</w:t>
      </w:r>
      <w:r>
        <w:rPr>
          <w:rFonts w:ascii="TimesNewRomanPSMT" w:hAnsi="TimesNewRomanPSMT" w:cs="TimesNewRomanPSMT"/>
          <w:sz w:val="22"/>
          <w:szCs w:val="22"/>
        </w:rPr>
        <w:t xml:space="preserve">, </w:t>
      </w:r>
      <w:r>
        <w:rPr>
          <w:rFonts w:ascii="TimesNewRomanPS-ItalicMT" w:hAnsi="TimesNewRomanPS-ItalicMT" w:cs="TimesNewRomanPS-ItalicMT"/>
          <w:i/>
          <w:iCs/>
          <w:sz w:val="22"/>
          <w:szCs w:val="22"/>
        </w:rPr>
        <w:t>K</w:t>
      </w:r>
      <w:r>
        <w:rPr>
          <w:rFonts w:ascii="TimesNewRomanPS-ItalicMT" w:hAnsi="TimesNewRomanPS-ItalicMT" w:cs="TimesNewRomanPS-ItalicMT"/>
          <w:i/>
          <w:iCs/>
          <w:sz w:val="14"/>
          <w:szCs w:val="14"/>
        </w:rPr>
        <w:t>i</w:t>
      </w:r>
      <w:r>
        <w:rPr>
          <w:rFonts w:ascii="TimesNewRomanPSMT" w:hAnsi="TimesNewRomanPSMT" w:cs="TimesNewRomanPSMT"/>
          <w:sz w:val="14"/>
          <w:szCs w:val="14"/>
        </w:rPr>
        <w:t>oc</w:t>
      </w:r>
      <w:r>
        <w:rPr>
          <w:rFonts w:ascii="TimesNewRomanPSMT" w:hAnsi="TimesNewRomanPSMT" w:cs="TimesNewRomanPSMT"/>
          <w:sz w:val="22"/>
          <w:szCs w:val="22"/>
        </w:rPr>
        <w:t xml:space="preserve">, </w:t>
      </w:r>
      <w:r>
        <w:rPr>
          <w:rFonts w:ascii="TimesNewRomanPS-ItalicMT" w:hAnsi="TimesNewRomanPS-ItalicMT" w:cs="TimesNewRomanPS-ItalicMT"/>
          <w:i/>
          <w:iCs/>
          <w:sz w:val="22"/>
          <w:szCs w:val="22"/>
        </w:rPr>
        <w:t>f</w:t>
      </w:r>
      <w:r>
        <w:rPr>
          <w:rFonts w:ascii="TimesNewRomanPSMT" w:hAnsi="TimesNewRomanPSMT" w:cs="TimesNewRomanPSMT"/>
          <w:sz w:val="14"/>
          <w:szCs w:val="14"/>
        </w:rPr>
        <w:t>bc</w:t>
      </w:r>
      <w:r>
        <w:rPr>
          <w:rFonts w:ascii="TimesNewRomanPSMT" w:hAnsi="TimesNewRomanPSMT" w:cs="TimesNewRomanPSMT"/>
          <w:sz w:val="22"/>
          <w:szCs w:val="22"/>
        </w:rPr>
        <w:t xml:space="preserve">, and </w:t>
      </w:r>
      <w:r>
        <w:rPr>
          <w:rFonts w:ascii="TimesNewRomanPS-ItalicMT" w:hAnsi="TimesNewRomanPS-ItalicMT" w:cs="TimesNewRomanPS-ItalicMT"/>
          <w:i/>
          <w:iCs/>
          <w:sz w:val="22"/>
          <w:szCs w:val="22"/>
        </w:rPr>
        <w:t>K</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bc </w:t>
      </w:r>
      <w:r>
        <w:rPr>
          <w:rFonts w:ascii="TimesNewRomanPSMT" w:hAnsi="TimesNewRomanPSMT" w:cs="TimesNewRomanPSMT"/>
          <w:sz w:val="22"/>
          <w:szCs w:val="22"/>
        </w:rPr>
        <w:t xml:space="preserve">into Eq. 13-24 yields </w:t>
      </w: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s </w:t>
      </w:r>
      <w:r>
        <w:rPr>
          <w:rFonts w:ascii="TimesNewRomanPSMT" w:hAnsi="TimesNewRomanPSMT" w:cs="TimesNewRomanPSMT"/>
          <w:sz w:val="22"/>
          <w:szCs w:val="22"/>
        </w:rPr>
        <w:t xml:space="preserve">values for </w:t>
      </w: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i</w:t>
      </w:r>
      <w:r>
        <w:rPr>
          <w:rFonts w:ascii="TimesNewRomanPSMT" w:hAnsi="TimesNewRomanPSMT" w:cs="TimesNewRomanPSMT"/>
          <w:sz w:val="14"/>
          <w:szCs w:val="14"/>
        </w:rPr>
        <w:t>w</w:t>
      </w:r>
      <w:r>
        <w:rPr>
          <w:rFonts w:ascii="TimesNewRomanPSMT" w:hAnsi="TimesNewRomanPSMT" w:cs="TimesNewRomanPSMT"/>
          <w:sz w:val="22"/>
          <w:szCs w:val="22"/>
        </w:rPr>
        <w:t>=1 and 100 μg L</w:t>
      </w:r>
      <w:r>
        <w:rPr>
          <w:rFonts w:ascii="TimesNewRomanPSMT" w:hAnsi="TimesNewRomanPSMT" w:cs="TimesNewRomanPSMT"/>
          <w:sz w:val="14"/>
          <w:szCs w:val="14"/>
        </w:rPr>
        <w:t>-1</w:t>
      </w:r>
      <w:r>
        <w:rPr>
          <w:rFonts w:ascii="TimesNewRomanPSMT" w:hAnsi="TimesNewRomanPSMT" w:cs="TimesNewRomanPSMT"/>
          <w:sz w:val="22"/>
          <w:szCs w:val="22"/>
        </w:rPr>
        <w:t xml:space="preserve">, respectively: for </w:t>
      </w: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 xml:space="preserve">iw </w:t>
      </w:r>
      <w:r>
        <w:rPr>
          <w:rFonts w:ascii="TimesNewRomanPSMT" w:hAnsi="TimesNewRomanPSMT" w:cs="TimesNewRomanPSMT"/>
          <w:sz w:val="22"/>
          <w:szCs w:val="22"/>
        </w:rPr>
        <w:t>= 1 μg L</w:t>
      </w:r>
      <w:r>
        <w:rPr>
          <w:rFonts w:ascii="TimesNewRomanPSMT" w:hAnsi="TimesNewRomanPSMT" w:cs="TimesNewRomanPSMT"/>
          <w:sz w:val="14"/>
          <w:szCs w:val="14"/>
        </w:rPr>
        <w:t>-1</w:t>
      </w:r>
      <w:r>
        <w:rPr>
          <w:rFonts w:ascii="TimesNewRomanPSMT" w:hAnsi="TimesNewRomanPSMT" w:cs="TimesNewRomanPSMT"/>
          <w:sz w:val="22"/>
          <w:szCs w:val="22"/>
        </w:rPr>
        <w:t>:</w:t>
      </w:r>
    </w:p>
    <w:p w14:paraId="319D1F35" w14:textId="77777777" w:rsidR="005F5500" w:rsidRPr="005F5500" w:rsidRDefault="005F5500" w:rsidP="005F5500">
      <w:pPr>
        <w:autoSpaceDE w:val="0"/>
        <w:autoSpaceDN w:val="0"/>
        <w:adjustRightInd w:val="0"/>
        <w:rPr>
          <w:rFonts w:ascii="TimesNewRomanPSMT" w:hAnsi="TimesNewRomanPSMT" w:cs="TimesNewRomanPSMT"/>
          <w:sz w:val="14"/>
          <w:szCs w:val="14"/>
        </w:rPr>
      </w:pP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s </w:t>
      </w:r>
      <w:r>
        <w:rPr>
          <w:rFonts w:ascii="TimesNewRomanPSMT" w:hAnsi="TimesNewRomanPSMT" w:cs="TimesNewRomanPSMT"/>
          <w:sz w:val="22"/>
          <w:szCs w:val="22"/>
        </w:rPr>
        <w:t>= (0.056)(10</w:t>
      </w:r>
      <w:r>
        <w:rPr>
          <w:rFonts w:ascii="TimesNewRomanPSMT" w:hAnsi="TimesNewRomanPSMT" w:cs="TimesNewRomanPSMT"/>
          <w:sz w:val="14"/>
          <w:szCs w:val="14"/>
        </w:rPr>
        <w:t>4.3</w:t>
      </w:r>
      <w:r>
        <w:rPr>
          <w:rFonts w:ascii="TimesNewRomanPSMT" w:hAnsi="TimesNewRomanPSMT" w:cs="TimesNewRomanPSMT"/>
          <w:sz w:val="22"/>
          <w:szCs w:val="22"/>
        </w:rPr>
        <w:t>)(1) + (0.00056 to 0.0056)(10</w:t>
      </w:r>
      <w:r>
        <w:rPr>
          <w:rFonts w:ascii="TimesNewRomanPSMT" w:hAnsi="TimesNewRomanPSMT" w:cs="TimesNewRomanPSMT"/>
          <w:sz w:val="14"/>
          <w:szCs w:val="14"/>
        </w:rPr>
        <w:t>5.9</w:t>
      </w:r>
      <w:r>
        <w:rPr>
          <w:rFonts w:ascii="TimesNewRomanPSMT" w:hAnsi="TimesNewRomanPSMT" w:cs="TimesNewRomanPSMT"/>
          <w:sz w:val="22"/>
          <w:szCs w:val="22"/>
        </w:rPr>
        <w:t>)(1)</w:t>
      </w:r>
      <w:r>
        <w:rPr>
          <w:rFonts w:ascii="TimesNewRomanPSMT" w:hAnsi="TimesNewRomanPSMT" w:cs="TimesNewRomanPSMT"/>
          <w:sz w:val="14"/>
          <w:szCs w:val="14"/>
        </w:rPr>
        <w:t xml:space="preserve">0.7 </w:t>
      </w:r>
      <w:r>
        <w:rPr>
          <w:rFonts w:ascii="TimesNewRomanPSMT" w:hAnsi="TimesNewRomanPSMT" w:cs="TimesNewRomanPSMT"/>
          <w:sz w:val="22"/>
          <w:szCs w:val="22"/>
        </w:rPr>
        <w:t>= 1100 + (440 to 4400) = 1540 to 5500 μg kg</w:t>
      </w:r>
      <w:r>
        <w:rPr>
          <w:rFonts w:ascii="TimesNewRomanPSMT" w:hAnsi="TimesNewRomanPSMT" w:cs="TimesNewRomanPSMT"/>
          <w:sz w:val="14"/>
          <w:szCs w:val="14"/>
        </w:rPr>
        <w:t xml:space="preserve">-1 </w:t>
      </w:r>
      <w:r>
        <w:rPr>
          <w:rFonts w:ascii="TimesNewRomanPSMT" w:hAnsi="TimesNewRomanPSMT" w:cs="TimesNewRomanPSMT"/>
          <w:sz w:val="22"/>
          <w:szCs w:val="22"/>
        </w:rPr>
        <w:t>solid (observed 3200 μg kg</w:t>
      </w:r>
      <w:r>
        <w:rPr>
          <w:rFonts w:ascii="TimesNewRomanPSMT" w:hAnsi="TimesNewRomanPSMT" w:cs="TimesNewRomanPSMT"/>
          <w:sz w:val="14"/>
          <w:szCs w:val="14"/>
        </w:rPr>
        <w:t xml:space="preserve">-1 </w:t>
      </w:r>
      <w:r>
        <w:rPr>
          <w:rFonts w:ascii="TimesNewRomanPSMT" w:hAnsi="TimesNewRomanPSMT" w:cs="TimesNewRomanPSMT"/>
          <w:sz w:val="22"/>
          <w:szCs w:val="22"/>
        </w:rPr>
        <w:t>solid)</w:t>
      </w:r>
    </w:p>
    <w:p w14:paraId="73C2F49D" w14:textId="77777777" w:rsidR="005F5500" w:rsidRDefault="005F5500" w:rsidP="005F5500">
      <w:pPr>
        <w:autoSpaceDE w:val="0"/>
        <w:autoSpaceDN w:val="0"/>
        <w:adjustRightInd w:val="0"/>
        <w:rPr>
          <w:rFonts w:ascii="TimesNewRomanPSMT" w:hAnsi="TimesNewRomanPSMT" w:cs="TimesNewRomanPSMT"/>
          <w:sz w:val="22"/>
          <w:szCs w:val="22"/>
        </w:rPr>
      </w:pPr>
    </w:p>
    <w:p w14:paraId="192F2C5D"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lastRenderedPageBreak/>
        <w:t xml:space="preserve">Note that a calculation based only on the product, </w:t>
      </w:r>
      <w:r>
        <w:rPr>
          <w:rFonts w:ascii="TimesNewRomanPS-ItalicMT" w:hAnsi="TimesNewRomanPS-ItalicMT" w:cs="TimesNewRomanPS-ItalicMT"/>
          <w:i/>
          <w:iCs/>
          <w:sz w:val="22"/>
          <w:szCs w:val="22"/>
        </w:rPr>
        <w:t>f</w:t>
      </w:r>
      <w:r>
        <w:rPr>
          <w:rFonts w:ascii="TimesNewRomanPSMT" w:hAnsi="TimesNewRomanPSMT" w:cs="TimesNewRomanPSMT"/>
          <w:sz w:val="14"/>
          <w:szCs w:val="14"/>
        </w:rPr>
        <w:t>oc</w:t>
      </w:r>
      <w:r>
        <w:rPr>
          <w:rFonts w:ascii="TimesNewRomanPS-ItalicMT" w:hAnsi="TimesNewRomanPS-ItalicMT" w:cs="TimesNewRomanPS-ItalicMT"/>
          <w:i/>
          <w:iCs/>
          <w:sz w:val="22"/>
          <w:szCs w:val="22"/>
        </w:rPr>
        <w:t>K</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oc </w:t>
      </w:r>
      <w:r>
        <w:rPr>
          <w:rFonts w:ascii="TimesNewRomanPSMT" w:hAnsi="TimesNewRomanPSMT" w:cs="TimesNewRomanPSMT"/>
          <w:sz w:val="22"/>
          <w:szCs w:val="22"/>
        </w:rPr>
        <w:t>would underestimate the observed values by about a factor of three.</w:t>
      </w:r>
    </w:p>
    <w:p w14:paraId="41C5B30B"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 xml:space="preserve">for </w:t>
      </w: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w </w:t>
      </w:r>
      <w:r>
        <w:rPr>
          <w:rFonts w:ascii="TimesNewRomanPSMT" w:hAnsi="TimesNewRomanPSMT" w:cs="TimesNewRomanPSMT"/>
          <w:sz w:val="22"/>
          <w:szCs w:val="22"/>
        </w:rPr>
        <w:t>= 100 μg L</w:t>
      </w:r>
      <w:r>
        <w:rPr>
          <w:rFonts w:ascii="TimesNewRomanPSMT" w:hAnsi="TimesNewRomanPSMT" w:cs="TimesNewRomanPSMT"/>
          <w:sz w:val="14"/>
          <w:szCs w:val="14"/>
        </w:rPr>
        <w:t>-1</w:t>
      </w:r>
      <w:r>
        <w:rPr>
          <w:rFonts w:ascii="TimesNewRomanPSMT" w:hAnsi="TimesNewRomanPSMT" w:cs="TimesNewRomanPSMT"/>
          <w:sz w:val="22"/>
          <w:szCs w:val="22"/>
        </w:rPr>
        <w:t>:</w:t>
      </w:r>
    </w:p>
    <w:p w14:paraId="58727CDE" w14:textId="77777777" w:rsidR="005F5500" w:rsidRDefault="005F5500" w:rsidP="005F5500">
      <w:pPr>
        <w:autoSpaceDE w:val="0"/>
        <w:autoSpaceDN w:val="0"/>
        <w:adjustRightInd w:val="0"/>
        <w:rPr>
          <w:rFonts w:ascii="TimesNewRomanPSMT" w:hAnsi="TimesNewRomanPSMT" w:cs="TimesNewRomanPSMT"/>
          <w:sz w:val="14"/>
          <w:szCs w:val="14"/>
        </w:rPr>
      </w:pP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s </w:t>
      </w:r>
      <w:r>
        <w:rPr>
          <w:rFonts w:ascii="TimesNewRomanPSMT" w:hAnsi="TimesNewRomanPSMT" w:cs="TimesNewRomanPSMT"/>
          <w:sz w:val="22"/>
          <w:szCs w:val="22"/>
        </w:rPr>
        <w:t>= (0.056)(10</w:t>
      </w:r>
      <w:r>
        <w:rPr>
          <w:rFonts w:ascii="TimesNewRomanPSMT" w:hAnsi="TimesNewRomanPSMT" w:cs="TimesNewRomanPSMT"/>
          <w:sz w:val="14"/>
          <w:szCs w:val="14"/>
        </w:rPr>
        <w:t>4.3</w:t>
      </w:r>
      <w:r>
        <w:rPr>
          <w:rFonts w:ascii="TimesNewRomanPSMT" w:hAnsi="TimesNewRomanPSMT" w:cs="TimesNewRomanPSMT"/>
          <w:sz w:val="22"/>
          <w:szCs w:val="22"/>
        </w:rPr>
        <w:t>)(100) + (0.00056 to 0.0056)(10</w:t>
      </w:r>
      <w:r>
        <w:rPr>
          <w:rFonts w:ascii="TimesNewRomanPSMT" w:hAnsi="TimesNewRomanPSMT" w:cs="TimesNewRomanPSMT"/>
          <w:sz w:val="14"/>
          <w:szCs w:val="14"/>
        </w:rPr>
        <w:t>5.9</w:t>
      </w:r>
      <w:r>
        <w:rPr>
          <w:rFonts w:ascii="TimesNewRomanPSMT" w:hAnsi="TimesNewRomanPSMT" w:cs="TimesNewRomanPSMT"/>
          <w:sz w:val="22"/>
          <w:szCs w:val="22"/>
        </w:rPr>
        <w:t>)(100)</w:t>
      </w:r>
      <w:r>
        <w:rPr>
          <w:rFonts w:ascii="TimesNewRomanPSMT" w:hAnsi="TimesNewRomanPSMT" w:cs="TimesNewRomanPSMT"/>
          <w:sz w:val="14"/>
          <w:szCs w:val="14"/>
        </w:rPr>
        <w:t>0.7</w:t>
      </w:r>
    </w:p>
    <w:p w14:paraId="3B2D429D"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 110,000 + (11,000 to 110,000) = 121,000 to 220,000 μg kg</w:t>
      </w:r>
      <w:r>
        <w:rPr>
          <w:rFonts w:ascii="TimesNewRomanPSMT" w:hAnsi="TimesNewRomanPSMT" w:cs="TimesNewRomanPSMT"/>
          <w:sz w:val="14"/>
          <w:szCs w:val="14"/>
        </w:rPr>
        <w:t xml:space="preserve">-1 </w:t>
      </w:r>
      <w:r>
        <w:rPr>
          <w:rFonts w:ascii="TimesNewRomanPSMT" w:hAnsi="TimesNewRomanPSMT" w:cs="TimesNewRomanPSMT"/>
          <w:sz w:val="22"/>
          <w:szCs w:val="22"/>
        </w:rPr>
        <w:t>solid</w:t>
      </w:r>
    </w:p>
    <w:p w14:paraId="52616570"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(observed 91,000 μg kg</w:t>
      </w:r>
      <w:r>
        <w:rPr>
          <w:rFonts w:ascii="TimesNewRomanPSMT" w:hAnsi="TimesNewRomanPSMT" w:cs="TimesNewRomanPSMT"/>
          <w:sz w:val="14"/>
          <w:szCs w:val="14"/>
        </w:rPr>
        <w:t xml:space="preserve">-1 </w:t>
      </w:r>
      <w:r>
        <w:rPr>
          <w:rFonts w:ascii="TimesNewRomanPSMT" w:hAnsi="TimesNewRomanPSMT" w:cs="TimesNewRomanPSMT"/>
          <w:sz w:val="22"/>
          <w:szCs w:val="22"/>
        </w:rPr>
        <w:t>solid)</w:t>
      </w:r>
    </w:p>
    <w:p w14:paraId="7D7D62CF"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 xml:space="preserve">In this case, the estimate based only on </w:t>
      </w:r>
      <w:r>
        <w:rPr>
          <w:rFonts w:ascii="TimesNewRomanPS-ItalicMT" w:hAnsi="TimesNewRomanPS-ItalicMT" w:cs="TimesNewRomanPS-ItalicMT"/>
          <w:i/>
          <w:iCs/>
          <w:sz w:val="22"/>
          <w:szCs w:val="22"/>
        </w:rPr>
        <w:t>f</w:t>
      </w:r>
      <w:r>
        <w:rPr>
          <w:rFonts w:ascii="TimesNewRomanPSMT" w:hAnsi="TimesNewRomanPSMT" w:cs="TimesNewRomanPSMT"/>
          <w:sz w:val="14"/>
          <w:szCs w:val="14"/>
        </w:rPr>
        <w:t>oc</w:t>
      </w:r>
      <w:r>
        <w:rPr>
          <w:rFonts w:ascii="TimesNewRomanPS-ItalicMT" w:hAnsi="TimesNewRomanPS-ItalicMT" w:cs="TimesNewRomanPS-ItalicMT"/>
          <w:i/>
          <w:iCs/>
          <w:sz w:val="22"/>
          <w:szCs w:val="22"/>
        </w:rPr>
        <w:t>K</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oc </w:t>
      </w:r>
      <w:r>
        <w:rPr>
          <w:rFonts w:ascii="TimesNewRomanPSMT" w:hAnsi="TimesNewRomanPSMT" w:cs="TimesNewRomanPSMT"/>
          <w:sz w:val="22"/>
          <w:szCs w:val="22"/>
        </w:rPr>
        <w:t>is very close to the experimental result, indicating that for</w:t>
      </w:r>
    </w:p>
    <w:p w14:paraId="4E449955"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high substrate concentrations partitioning into POM is the dominant sorption mechanism.</w:t>
      </w:r>
    </w:p>
    <w:p w14:paraId="38BB2EB7"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ItalicMT" w:hAnsi="TimesNewRomanPS-ItalicMT" w:cs="TimesNewRomanPS-ItalicMT"/>
          <w:i/>
          <w:iCs/>
          <w:sz w:val="22"/>
          <w:szCs w:val="22"/>
        </w:rPr>
        <w:t xml:space="preserve">For EPA-23 </w:t>
      </w:r>
      <w:r>
        <w:rPr>
          <w:rFonts w:ascii="TimesNewRomanPSMT" w:hAnsi="TimesNewRomanPSMT" w:cs="TimesNewRomanPSMT"/>
          <w:sz w:val="22"/>
          <w:szCs w:val="22"/>
        </w:rPr>
        <w:t xml:space="preserve">lake sediment, </w:t>
      </w:r>
      <w:r>
        <w:rPr>
          <w:rFonts w:ascii="TimesNewRomanPS-ItalicMT" w:hAnsi="TimesNewRomanPS-ItalicMT" w:cs="TimesNewRomanPS-ItalicMT"/>
          <w:i/>
          <w:iCs/>
          <w:sz w:val="22"/>
          <w:szCs w:val="22"/>
        </w:rPr>
        <w:t>f</w:t>
      </w:r>
      <w:r>
        <w:rPr>
          <w:rFonts w:ascii="TimesNewRomanPSMT" w:hAnsi="TimesNewRomanPSMT" w:cs="TimesNewRomanPSMT"/>
          <w:sz w:val="14"/>
          <w:szCs w:val="14"/>
        </w:rPr>
        <w:t xml:space="preserve">oc </w:t>
      </w:r>
      <w:r>
        <w:rPr>
          <w:rFonts w:ascii="TimesNewRomanPSMT" w:hAnsi="TimesNewRomanPSMT" w:cs="TimesNewRomanPSMT"/>
          <w:sz w:val="22"/>
          <w:szCs w:val="22"/>
        </w:rPr>
        <w:t>was measured as 0.026 kg oc kg</w:t>
      </w:r>
      <w:r>
        <w:rPr>
          <w:rFonts w:ascii="TimesNewRomanPSMT" w:hAnsi="TimesNewRomanPSMT" w:cs="TimesNewRomanPSMT"/>
          <w:sz w:val="14"/>
          <w:szCs w:val="14"/>
        </w:rPr>
        <w:t xml:space="preserve">-1 </w:t>
      </w:r>
      <w:r>
        <w:rPr>
          <w:rFonts w:ascii="TimesNewRomanPSMT" w:hAnsi="TimesNewRomanPSMT" w:cs="TimesNewRomanPSMT"/>
          <w:sz w:val="22"/>
          <w:szCs w:val="22"/>
        </w:rPr>
        <w:t xml:space="preserve">solid. Again assuming the same </w:t>
      </w:r>
      <w:r>
        <w:rPr>
          <w:rFonts w:ascii="TimesNewRomanPS-ItalicMT" w:hAnsi="TimesNewRomanPS-ItalicMT" w:cs="TimesNewRomanPS-ItalicMT"/>
          <w:i/>
          <w:iCs/>
          <w:sz w:val="22"/>
          <w:szCs w:val="22"/>
        </w:rPr>
        <w:t>K</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ocw </w:t>
      </w:r>
      <w:r>
        <w:rPr>
          <w:rFonts w:ascii="TimesNewRomanPSMT" w:hAnsi="TimesNewRomanPSMT" w:cs="TimesNewRomanPSMT"/>
          <w:sz w:val="22"/>
          <w:szCs w:val="22"/>
        </w:rPr>
        <w:t>and</w:t>
      </w:r>
    </w:p>
    <w:p w14:paraId="7FFBFE57"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ItalicMT" w:hAnsi="TimesNewRomanPS-ItalicMT" w:cs="TimesNewRomanPS-ItalicMT"/>
          <w:i/>
          <w:iCs/>
          <w:sz w:val="22"/>
          <w:szCs w:val="22"/>
        </w:rPr>
        <w:t>K</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bcw </w:t>
      </w:r>
      <w:r>
        <w:rPr>
          <w:rFonts w:ascii="TimesNewRomanPSMT" w:hAnsi="TimesNewRomanPSMT" w:cs="TimesNewRomanPSMT"/>
          <w:sz w:val="22"/>
          <w:szCs w:val="22"/>
        </w:rPr>
        <w:t xml:space="preserve">values for phenanthrene and the same </w:t>
      </w:r>
      <w:r>
        <w:rPr>
          <w:rFonts w:ascii="TimesNewRomanPS-ItalicMT" w:hAnsi="TimesNewRomanPS-ItalicMT" w:cs="TimesNewRomanPS-ItalicMT"/>
          <w:i/>
          <w:iCs/>
          <w:sz w:val="22"/>
          <w:szCs w:val="22"/>
        </w:rPr>
        <w:t>f</w:t>
      </w:r>
      <w:r>
        <w:rPr>
          <w:rFonts w:ascii="TimesNewRomanPSMT" w:hAnsi="TimesNewRomanPSMT" w:cs="TimesNewRomanPSMT"/>
          <w:sz w:val="14"/>
          <w:szCs w:val="14"/>
        </w:rPr>
        <w:t xml:space="preserve">bc </w:t>
      </w:r>
      <w:r>
        <w:rPr>
          <w:rFonts w:ascii="TimesNewRomanPSMT" w:hAnsi="TimesNewRomanPSMT" w:cs="TimesNewRomanPSMT"/>
          <w:sz w:val="22"/>
          <w:szCs w:val="22"/>
        </w:rPr>
        <w:t>range, one obtains:</w:t>
      </w:r>
    </w:p>
    <w:p w14:paraId="015943F9"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 xml:space="preserve">for </w:t>
      </w: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w </w:t>
      </w:r>
      <w:r>
        <w:rPr>
          <w:rFonts w:ascii="TimesNewRomanPSMT" w:hAnsi="TimesNewRomanPSMT" w:cs="TimesNewRomanPSMT"/>
          <w:sz w:val="22"/>
          <w:szCs w:val="22"/>
        </w:rPr>
        <w:t>= 1 μg L</w:t>
      </w:r>
      <w:r>
        <w:rPr>
          <w:rFonts w:ascii="TimesNewRomanPSMT" w:hAnsi="TimesNewRomanPSMT" w:cs="TimesNewRomanPSMT"/>
          <w:sz w:val="14"/>
          <w:szCs w:val="14"/>
        </w:rPr>
        <w:t>-1</w:t>
      </w:r>
      <w:r>
        <w:rPr>
          <w:rFonts w:ascii="TimesNewRomanPSMT" w:hAnsi="TimesNewRomanPSMT" w:cs="TimesNewRomanPSMT"/>
          <w:sz w:val="22"/>
          <w:szCs w:val="22"/>
        </w:rPr>
        <w:t>:</w:t>
      </w:r>
    </w:p>
    <w:p w14:paraId="58915E61" w14:textId="77777777" w:rsidR="005F5500" w:rsidRDefault="005F5500" w:rsidP="005F5500">
      <w:pPr>
        <w:autoSpaceDE w:val="0"/>
        <w:autoSpaceDN w:val="0"/>
        <w:adjustRightInd w:val="0"/>
        <w:rPr>
          <w:rFonts w:ascii="TimesNewRomanPSMT" w:hAnsi="TimesNewRomanPSMT" w:cs="TimesNewRomanPSMT"/>
          <w:sz w:val="14"/>
          <w:szCs w:val="14"/>
        </w:rPr>
      </w:pP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s </w:t>
      </w:r>
      <w:r>
        <w:rPr>
          <w:rFonts w:ascii="TimesNewRomanPSMT" w:hAnsi="TimesNewRomanPSMT" w:cs="TimesNewRomanPSMT"/>
          <w:sz w:val="22"/>
          <w:szCs w:val="22"/>
        </w:rPr>
        <w:t>= (0.026)(10</w:t>
      </w:r>
      <w:r>
        <w:rPr>
          <w:rFonts w:ascii="TimesNewRomanPSMT" w:hAnsi="TimesNewRomanPSMT" w:cs="TimesNewRomanPSMT"/>
          <w:sz w:val="14"/>
          <w:szCs w:val="14"/>
        </w:rPr>
        <w:t>4.3</w:t>
      </w:r>
      <w:r>
        <w:rPr>
          <w:rFonts w:ascii="TimesNewRomanPSMT" w:hAnsi="TimesNewRomanPSMT" w:cs="TimesNewRomanPSMT"/>
          <w:sz w:val="22"/>
          <w:szCs w:val="22"/>
        </w:rPr>
        <w:t>)(1) + (0.00026 to 0.0026)(10</w:t>
      </w:r>
      <w:r>
        <w:rPr>
          <w:rFonts w:ascii="TimesNewRomanPSMT" w:hAnsi="TimesNewRomanPSMT" w:cs="TimesNewRomanPSMT"/>
          <w:sz w:val="14"/>
          <w:szCs w:val="14"/>
        </w:rPr>
        <w:t>5.9</w:t>
      </w:r>
      <w:r>
        <w:rPr>
          <w:rFonts w:ascii="TimesNewRomanPSMT" w:hAnsi="TimesNewRomanPSMT" w:cs="TimesNewRomanPSMT"/>
          <w:sz w:val="22"/>
          <w:szCs w:val="22"/>
        </w:rPr>
        <w:t>)(1)</w:t>
      </w:r>
      <w:r>
        <w:rPr>
          <w:rFonts w:ascii="TimesNewRomanPSMT" w:hAnsi="TimesNewRomanPSMT" w:cs="TimesNewRomanPSMT"/>
          <w:sz w:val="14"/>
          <w:szCs w:val="14"/>
        </w:rPr>
        <w:t>0.7</w:t>
      </w:r>
    </w:p>
    <w:p w14:paraId="5BDE8E8C"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s </w:t>
      </w:r>
      <w:r>
        <w:rPr>
          <w:rFonts w:ascii="TimesNewRomanPSMT" w:hAnsi="TimesNewRomanPSMT" w:cs="TimesNewRomanPSMT"/>
          <w:sz w:val="22"/>
          <w:szCs w:val="22"/>
        </w:rPr>
        <w:t>= 520 + (210 to 2100) = 730 to 2600 μg kg</w:t>
      </w:r>
      <w:r>
        <w:rPr>
          <w:rFonts w:ascii="TimesNewRomanPSMT" w:hAnsi="TimesNewRomanPSMT" w:cs="TimesNewRomanPSMT"/>
          <w:sz w:val="14"/>
          <w:szCs w:val="14"/>
        </w:rPr>
        <w:t xml:space="preserve">-1 </w:t>
      </w:r>
      <w:r>
        <w:rPr>
          <w:rFonts w:ascii="TimesNewRomanPSMT" w:hAnsi="TimesNewRomanPSMT" w:cs="TimesNewRomanPSMT"/>
          <w:sz w:val="22"/>
          <w:szCs w:val="22"/>
        </w:rPr>
        <w:t>solid (observed 1700 μg kg</w:t>
      </w:r>
      <w:r>
        <w:rPr>
          <w:rFonts w:ascii="TimesNewRomanPSMT" w:hAnsi="TimesNewRomanPSMT" w:cs="TimesNewRomanPSMT"/>
          <w:sz w:val="14"/>
          <w:szCs w:val="14"/>
        </w:rPr>
        <w:t xml:space="preserve">-1 </w:t>
      </w:r>
      <w:r>
        <w:rPr>
          <w:rFonts w:ascii="TimesNewRomanPSMT" w:hAnsi="TimesNewRomanPSMT" w:cs="TimesNewRomanPSMT"/>
          <w:sz w:val="22"/>
          <w:szCs w:val="22"/>
        </w:rPr>
        <w:t>solid)</w:t>
      </w:r>
    </w:p>
    <w:p w14:paraId="040F77F7"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and</w:t>
      </w:r>
    </w:p>
    <w:p w14:paraId="6079EFCF"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 xml:space="preserve">for </w:t>
      </w: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w </w:t>
      </w:r>
      <w:r>
        <w:rPr>
          <w:rFonts w:ascii="TimesNewRomanPSMT" w:hAnsi="TimesNewRomanPSMT" w:cs="TimesNewRomanPSMT"/>
          <w:sz w:val="22"/>
          <w:szCs w:val="22"/>
        </w:rPr>
        <w:t>= 100 μg L</w:t>
      </w:r>
      <w:r>
        <w:rPr>
          <w:rFonts w:ascii="TimesNewRomanPSMT" w:hAnsi="TimesNewRomanPSMT" w:cs="TimesNewRomanPSMT"/>
          <w:sz w:val="14"/>
          <w:szCs w:val="14"/>
        </w:rPr>
        <w:t xml:space="preserve">-1 </w:t>
      </w:r>
      <w:r>
        <w:rPr>
          <w:rFonts w:ascii="TimesNewRomanPSMT" w:hAnsi="TimesNewRomanPSMT" w:cs="TimesNewRomanPSMT"/>
          <w:sz w:val="22"/>
          <w:szCs w:val="22"/>
        </w:rPr>
        <w:t>:</w:t>
      </w:r>
    </w:p>
    <w:p w14:paraId="40F1B110" w14:textId="77777777" w:rsidR="005F5500" w:rsidRDefault="005F5500" w:rsidP="005F5500">
      <w:pPr>
        <w:autoSpaceDE w:val="0"/>
        <w:autoSpaceDN w:val="0"/>
        <w:adjustRightInd w:val="0"/>
        <w:rPr>
          <w:rFonts w:ascii="TimesNewRomanPSMT" w:hAnsi="TimesNewRomanPSMT" w:cs="TimesNewRomanPSMT"/>
          <w:sz w:val="14"/>
          <w:szCs w:val="14"/>
        </w:rPr>
      </w:pP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s </w:t>
      </w:r>
      <w:r>
        <w:rPr>
          <w:rFonts w:ascii="TimesNewRomanPSMT" w:hAnsi="TimesNewRomanPSMT" w:cs="TimesNewRomanPSMT"/>
          <w:sz w:val="22"/>
          <w:szCs w:val="22"/>
        </w:rPr>
        <w:t>= (0.026)(10</w:t>
      </w:r>
      <w:r>
        <w:rPr>
          <w:rFonts w:ascii="TimesNewRomanPSMT" w:hAnsi="TimesNewRomanPSMT" w:cs="TimesNewRomanPSMT"/>
          <w:sz w:val="14"/>
          <w:szCs w:val="14"/>
        </w:rPr>
        <w:t>4.3</w:t>
      </w:r>
      <w:r>
        <w:rPr>
          <w:rFonts w:ascii="TimesNewRomanPSMT" w:hAnsi="TimesNewRomanPSMT" w:cs="TimesNewRomanPSMT"/>
          <w:sz w:val="22"/>
          <w:szCs w:val="22"/>
        </w:rPr>
        <w:t>)(100) + (0.00026 to 0.0026)(10</w:t>
      </w:r>
      <w:r>
        <w:rPr>
          <w:rFonts w:ascii="TimesNewRomanPSMT" w:hAnsi="TimesNewRomanPSMT" w:cs="TimesNewRomanPSMT"/>
          <w:sz w:val="14"/>
          <w:szCs w:val="14"/>
        </w:rPr>
        <w:t>5.9</w:t>
      </w:r>
      <w:r>
        <w:rPr>
          <w:rFonts w:ascii="TimesNewRomanPSMT" w:hAnsi="TimesNewRomanPSMT" w:cs="TimesNewRomanPSMT"/>
          <w:sz w:val="22"/>
          <w:szCs w:val="22"/>
        </w:rPr>
        <w:t>)(100)</w:t>
      </w:r>
      <w:r>
        <w:rPr>
          <w:rFonts w:ascii="TimesNewRomanPSMT" w:hAnsi="TimesNewRomanPSMT" w:cs="TimesNewRomanPSMT"/>
          <w:sz w:val="14"/>
          <w:szCs w:val="14"/>
        </w:rPr>
        <w:t>0.7</w:t>
      </w:r>
    </w:p>
    <w:p w14:paraId="13229CFD"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s </w:t>
      </w:r>
      <w:r>
        <w:rPr>
          <w:rFonts w:ascii="TimesNewRomanPSMT" w:hAnsi="TimesNewRomanPSMT" w:cs="TimesNewRomanPSMT"/>
          <w:sz w:val="22"/>
          <w:szCs w:val="22"/>
        </w:rPr>
        <w:t>= 52,000 + (5200 + 52,000) = 57,000 to 104,000 μg kg</w:t>
      </w:r>
      <w:r>
        <w:rPr>
          <w:rFonts w:ascii="TimesNewRomanPSMT" w:hAnsi="TimesNewRomanPSMT" w:cs="TimesNewRomanPSMT"/>
          <w:sz w:val="14"/>
          <w:szCs w:val="14"/>
        </w:rPr>
        <w:t xml:space="preserve">-1 </w:t>
      </w:r>
      <w:r>
        <w:rPr>
          <w:rFonts w:ascii="TimesNewRomanPSMT" w:hAnsi="TimesNewRomanPSMT" w:cs="TimesNewRomanPSMT"/>
          <w:sz w:val="22"/>
          <w:szCs w:val="22"/>
        </w:rPr>
        <w:t>solid (observed 51,000 μg kg</w:t>
      </w:r>
      <w:r>
        <w:rPr>
          <w:rFonts w:ascii="TimesNewRomanPSMT" w:hAnsi="TimesNewRomanPSMT" w:cs="TimesNewRomanPSMT"/>
          <w:sz w:val="14"/>
          <w:szCs w:val="14"/>
        </w:rPr>
        <w:t xml:space="preserve">-1 </w:t>
      </w:r>
      <w:r>
        <w:rPr>
          <w:rFonts w:ascii="TimesNewRomanPSMT" w:hAnsi="TimesNewRomanPSMT" w:cs="TimesNewRomanPSMT"/>
          <w:sz w:val="22"/>
          <w:szCs w:val="22"/>
        </w:rPr>
        <w:t>solid)</w:t>
      </w:r>
    </w:p>
    <w:p w14:paraId="31ED5826"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 xml:space="preserve">Hence, as for the Chelsea I top soil, </w:t>
      </w:r>
      <w:r>
        <w:rPr>
          <w:rFonts w:ascii="TimesNewRomanPS-ItalicMT" w:hAnsi="TimesNewRomanPS-ItalicMT" w:cs="TimesNewRomanPS-ItalicMT"/>
          <w:i/>
          <w:iCs/>
          <w:sz w:val="22"/>
          <w:szCs w:val="22"/>
        </w:rPr>
        <w:t>f</w:t>
      </w:r>
      <w:r>
        <w:rPr>
          <w:rFonts w:ascii="TimesNewRomanPSMT" w:hAnsi="TimesNewRomanPSMT" w:cs="TimesNewRomanPSMT"/>
          <w:sz w:val="14"/>
          <w:szCs w:val="14"/>
        </w:rPr>
        <w:t>oc</w:t>
      </w:r>
      <w:r>
        <w:rPr>
          <w:rFonts w:ascii="TimesNewRomanPS-ItalicMT" w:hAnsi="TimesNewRomanPS-ItalicMT" w:cs="TimesNewRomanPS-ItalicMT"/>
          <w:i/>
          <w:iCs/>
          <w:sz w:val="22"/>
          <w:szCs w:val="22"/>
        </w:rPr>
        <w:t>K</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ocw </w:t>
      </w:r>
      <w:r>
        <w:rPr>
          <w:rFonts w:ascii="TimesNewRomanPSMT" w:hAnsi="TimesNewRomanPSMT" w:cs="TimesNewRomanPSMT"/>
          <w:sz w:val="22"/>
          <w:szCs w:val="22"/>
        </w:rPr>
        <w:t>underestimates the observed sorption by about a factor of</w:t>
      </w:r>
    </w:p>
    <w:p w14:paraId="795B7328" w14:textId="77777777" w:rsidR="005F5500"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 xml:space="preserve">three at </w:t>
      </w:r>
      <w:r>
        <w:rPr>
          <w:rFonts w:ascii="TimesNewRomanPS-ItalicMT" w:hAnsi="TimesNewRomanPS-ItalicMT" w:cs="TimesNewRomanPS-ItalicMT"/>
          <w:i/>
          <w:iCs/>
          <w:sz w:val="22"/>
          <w:szCs w:val="22"/>
        </w:rPr>
        <w:t>C</w:t>
      </w:r>
      <w:r>
        <w:rPr>
          <w:rFonts w:ascii="TimesNewRomanPS-ItalicMT" w:hAnsi="TimesNewRomanPS-ItalicMT" w:cs="TimesNewRomanPS-ItalicMT"/>
          <w:i/>
          <w:iCs/>
          <w:sz w:val="14"/>
          <w:szCs w:val="14"/>
        </w:rPr>
        <w:t>i</w:t>
      </w:r>
      <w:r>
        <w:rPr>
          <w:rFonts w:ascii="TimesNewRomanPSMT" w:hAnsi="TimesNewRomanPSMT" w:cs="TimesNewRomanPSMT"/>
          <w:sz w:val="14"/>
          <w:szCs w:val="14"/>
        </w:rPr>
        <w:t xml:space="preserve">w </w:t>
      </w:r>
      <w:r>
        <w:rPr>
          <w:rFonts w:ascii="TimesNewRomanPSMT" w:hAnsi="TimesNewRomanPSMT" w:cs="TimesNewRomanPSMT"/>
          <w:sz w:val="22"/>
          <w:szCs w:val="22"/>
        </w:rPr>
        <w:t>= 1 μg L</w:t>
      </w:r>
      <w:r>
        <w:rPr>
          <w:rFonts w:ascii="TimesNewRomanPSMT" w:hAnsi="TimesNewRomanPSMT" w:cs="TimesNewRomanPSMT"/>
          <w:sz w:val="14"/>
          <w:szCs w:val="14"/>
        </w:rPr>
        <w:t>-1</w:t>
      </w:r>
      <w:r>
        <w:rPr>
          <w:rFonts w:ascii="TimesNewRomanPSMT" w:hAnsi="TimesNewRomanPSMT" w:cs="TimesNewRomanPSMT"/>
          <w:sz w:val="22"/>
          <w:szCs w:val="22"/>
        </w:rPr>
        <w:t>, whereas at 100 μg L</w:t>
      </w:r>
      <w:r>
        <w:rPr>
          <w:rFonts w:ascii="TimesNewRomanPSMT" w:hAnsi="TimesNewRomanPSMT" w:cs="TimesNewRomanPSMT"/>
          <w:sz w:val="14"/>
          <w:szCs w:val="14"/>
        </w:rPr>
        <w:t>-1</w:t>
      </w:r>
      <w:r>
        <w:rPr>
          <w:rFonts w:ascii="TimesNewRomanPSMT" w:hAnsi="TimesNewRomanPSMT" w:cs="TimesNewRomanPSMT"/>
          <w:sz w:val="22"/>
          <w:szCs w:val="22"/>
        </w:rPr>
        <w:t>, sorption appears to be dominated by POM-water</w:t>
      </w:r>
    </w:p>
    <w:p w14:paraId="445DBF11" w14:textId="77777777" w:rsidR="00BE7A68" w:rsidRDefault="005F5500" w:rsidP="005F5500">
      <w:pPr>
        <w:autoSpaceDE w:val="0"/>
        <w:autoSpaceDN w:val="0"/>
        <w:adjustRightInd w:val="0"/>
        <w:rPr>
          <w:rFonts w:ascii="TimesNewRomanPSMT" w:hAnsi="TimesNewRomanPSMT" w:cs="TimesNewRomanPSMT"/>
          <w:sz w:val="22"/>
          <w:szCs w:val="22"/>
        </w:rPr>
      </w:pPr>
      <w:r>
        <w:rPr>
          <w:rFonts w:ascii="TimesNewRomanPSMT" w:hAnsi="TimesNewRomanPSMT" w:cs="TimesNewRomanPSMT"/>
          <w:sz w:val="22"/>
          <w:szCs w:val="22"/>
        </w:rPr>
        <w:t>partitioning.</w:t>
      </w:r>
    </w:p>
    <w:p w14:paraId="5B77BAA1" w14:textId="77777777" w:rsidR="000E0006" w:rsidRPr="00BE7A68" w:rsidRDefault="000E0006" w:rsidP="005F5500">
      <w:pPr>
        <w:autoSpaceDE w:val="0"/>
        <w:autoSpaceDN w:val="0"/>
        <w:adjustRightInd w:val="0"/>
        <w:rPr>
          <w:sz w:val="22"/>
          <w:szCs w:val="22"/>
        </w:rPr>
      </w:pPr>
    </w:p>
    <w:p w14:paraId="1B3F88F5" w14:textId="77777777" w:rsidR="006B457B" w:rsidRDefault="006B457B" w:rsidP="006B457B">
      <w:pPr>
        <w:pStyle w:val="ListParagraph"/>
        <w:numPr>
          <w:ilvl w:val="0"/>
          <w:numId w:val="14"/>
        </w:numPr>
        <w:tabs>
          <w:tab w:val="left" w:pos="90"/>
        </w:tabs>
        <w:ind w:hanging="720"/>
      </w:pPr>
      <w:r>
        <w:t xml:space="preserve">A) </w:t>
      </w:r>
      <w:r w:rsidR="006A0F0E">
        <w:t>Consider an environment consisting of air, water, soil, sediment, suspended aquatic matter, and biota.  Beginning with a system mass balance, derive general expressions for the fraction of mass of a species in each phase in terms of the dimensionless partition coefficients, K</w:t>
      </w:r>
      <w:r w:rsidR="006A0F0E" w:rsidRPr="006A0F0E">
        <w:rPr>
          <w:vertAlign w:val="subscript"/>
        </w:rPr>
        <w:t>i,x</w:t>
      </w:r>
      <w:r w:rsidR="006A0F0E">
        <w:t>, between phases (e.g. Henry’s Constant, K</w:t>
      </w:r>
      <w:r w:rsidR="006A0F0E" w:rsidRPr="006A0F0E">
        <w:rPr>
          <w:vertAlign w:val="subscript"/>
        </w:rPr>
        <w:t>H</w:t>
      </w:r>
      <w:r w:rsidR="006A0F0E" w:rsidRPr="006A0F0E">
        <w:rPr>
          <w:vertAlign w:val="superscript"/>
        </w:rPr>
        <w:t>’</w:t>
      </w:r>
      <w:r w:rsidR="006A0F0E">
        <w:t>) and the phase volumes (V</w:t>
      </w:r>
      <w:r w:rsidR="006A0F0E" w:rsidRPr="006A0F0E">
        <w:rPr>
          <w:vertAlign w:val="subscript"/>
        </w:rPr>
        <w:t>a</w:t>
      </w:r>
      <w:r w:rsidR="006A0F0E">
        <w:t>, V</w:t>
      </w:r>
      <w:r w:rsidR="006A0F0E" w:rsidRPr="006A0F0E">
        <w:rPr>
          <w:vertAlign w:val="subscript"/>
        </w:rPr>
        <w:t>w</w:t>
      </w:r>
      <w:r w:rsidR="006A0F0E">
        <w:t>, V</w:t>
      </w:r>
      <w:r w:rsidR="006A0F0E" w:rsidRPr="006A0F0E">
        <w:rPr>
          <w:vertAlign w:val="subscript"/>
        </w:rPr>
        <w:t>soil</w:t>
      </w:r>
      <w:r w:rsidR="006A0F0E">
        <w:t>, V</w:t>
      </w:r>
      <w:r w:rsidR="006A0F0E" w:rsidRPr="006A0F0E">
        <w:rPr>
          <w:vertAlign w:val="subscript"/>
        </w:rPr>
        <w:t>sed</w:t>
      </w:r>
      <w:r w:rsidR="006A0F0E">
        <w:t>, etc.).</w:t>
      </w:r>
      <w:r w:rsidR="006A0F0E">
        <w:br/>
      </w:r>
      <w:r>
        <w:br/>
        <w:t>B) Using your equations (model), calculate the partitioning</w:t>
      </w:r>
      <w:r w:rsidR="008D5447">
        <w:t xml:space="preserve"> (i.e. fraction of the compound in each phase) </w:t>
      </w:r>
      <w:r>
        <w:t xml:space="preserve">of </w:t>
      </w:r>
      <w:r w:rsidR="000E0006">
        <w:t>DDE</w:t>
      </w:r>
      <w:r>
        <w:t xml:space="preserve"> in an environment with the following properties:</w:t>
      </w:r>
    </w:p>
    <w:p w14:paraId="6F75EA01" w14:textId="77777777" w:rsidR="006B457B" w:rsidRDefault="006B457B" w:rsidP="006B457B">
      <w:pPr>
        <w:pStyle w:val="ListParagraph"/>
        <w:tabs>
          <w:tab w:val="left" w:pos="90"/>
        </w:tabs>
      </w:pPr>
    </w:p>
    <w:tbl>
      <w:tblPr>
        <w:tblW w:w="8828" w:type="dxa"/>
        <w:tblInd w:w="108" w:type="dxa"/>
        <w:tblLook w:val="0000" w:firstRow="0" w:lastRow="0" w:firstColumn="0" w:lastColumn="0" w:noHBand="0" w:noVBand="0"/>
      </w:tblPr>
      <w:tblGrid>
        <w:gridCol w:w="2565"/>
        <w:gridCol w:w="1671"/>
        <w:gridCol w:w="2096"/>
        <w:gridCol w:w="2496"/>
      </w:tblGrid>
      <w:tr w:rsidR="006B457B" w14:paraId="3D5CCBFB" w14:textId="77777777" w:rsidTr="00BF1676">
        <w:trPr>
          <w:trHeight w:val="360"/>
        </w:trPr>
        <w:tc>
          <w:tcPr>
            <w:tcW w:w="4236" w:type="dxa"/>
            <w:gridSpan w:val="2"/>
            <w:tcBorders>
              <w:top w:val="nil"/>
              <w:left w:val="nil"/>
              <w:bottom w:val="nil"/>
              <w:right w:val="nil"/>
            </w:tcBorders>
            <w:shd w:val="clear" w:color="auto" w:fill="FFFFFF"/>
            <w:noWrap/>
            <w:vAlign w:val="bottom"/>
          </w:tcPr>
          <w:p w14:paraId="199F21C0" w14:textId="77777777" w:rsidR="006B457B" w:rsidRPr="00D85B35" w:rsidRDefault="006B457B" w:rsidP="00BF1676">
            <w:pPr>
              <w:rPr>
                <w:rFonts w:ascii="Arial" w:hAnsi="Arial" w:cs="Arial"/>
                <w:b/>
                <w:bCs/>
                <w:u w:val="single"/>
              </w:rPr>
            </w:pPr>
            <w:r w:rsidRPr="00D85B35">
              <w:rPr>
                <w:rFonts w:ascii="Arial" w:hAnsi="Arial" w:cs="Arial"/>
                <w:b/>
                <w:bCs/>
                <w:u w:val="single"/>
              </w:rPr>
              <w:t>Compartment Properties</w:t>
            </w:r>
          </w:p>
        </w:tc>
        <w:tc>
          <w:tcPr>
            <w:tcW w:w="2096" w:type="dxa"/>
            <w:tcBorders>
              <w:top w:val="nil"/>
              <w:left w:val="nil"/>
              <w:bottom w:val="nil"/>
              <w:right w:val="nil"/>
            </w:tcBorders>
            <w:shd w:val="clear" w:color="auto" w:fill="FFFFFF"/>
            <w:noWrap/>
            <w:vAlign w:val="bottom"/>
          </w:tcPr>
          <w:p w14:paraId="08DE801F" w14:textId="77777777" w:rsidR="006B457B" w:rsidRPr="00D85B35" w:rsidRDefault="006B457B" w:rsidP="00BF1676">
            <w:pPr>
              <w:rPr>
                <w:rFonts w:ascii="Arial" w:hAnsi="Arial" w:cs="Arial"/>
                <w:b/>
                <w:bCs/>
              </w:rPr>
            </w:pPr>
            <w:r w:rsidRPr="00D85B35">
              <w:rPr>
                <w:rFonts w:ascii="Arial" w:hAnsi="Arial" w:cs="Arial"/>
                <w:b/>
                <w:bCs/>
              </w:rPr>
              <w:t> </w:t>
            </w:r>
          </w:p>
        </w:tc>
        <w:tc>
          <w:tcPr>
            <w:tcW w:w="2496" w:type="dxa"/>
            <w:tcBorders>
              <w:top w:val="nil"/>
              <w:left w:val="nil"/>
              <w:bottom w:val="nil"/>
              <w:right w:val="nil"/>
            </w:tcBorders>
            <w:shd w:val="clear" w:color="auto" w:fill="FFFFFF"/>
            <w:noWrap/>
            <w:vAlign w:val="bottom"/>
          </w:tcPr>
          <w:p w14:paraId="5AE5CFAB" w14:textId="77777777" w:rsidR="006B457B" w:rsidRPr="00D85B35" w:rsidRDefault="006B457B" w:rsidP="00BF1676">
            <w:pPr>
              <w:rPr>
                <w:rFonts w:ascii="Arial" w:hAnsi="Arial" w:cs="Arial"/>
                <w:b/>
                <w:bCs/>
              </w:rPr>
            </w:pPr>
            <w:r w:rsidRPr="00D85B35">
              <w:rPr>
                <w:rFonts w:ascii="Arial" w:hAnsi="Arial" w:cs="Arial"/>
                <w:b/>
                <w:bCs/>
              </w:rPr>
              <w:t> </w:t>
            </w:r>
          </w:p>
        </w:tc>
      </w:tr>
      <w:tr w:rsidR="006B457B" w14:paraId="55C0F003" w14:textId="77777777" w:rsidTr="00BF1676">
        <w:trPr>
          <w:trHeight w:val="360"/>
        </w:trPr>
        <w:tc>
          <w:tcPr>
            <w:tcW w:w="2565" w:type="dxa"/>
            <w:tcBorders>
              <w:top w:val="nil"/>
              <w:left w:val="nil"/>
              <w:bottom w:val="nil"/>
              <w:right w:val="nil"/>
            </w:tcBorders>
            <w:shd w:val="clear" w:color="auto" w:fill="FFFFFF"/>
            <w:noWrap/>
            <w:vAlign w:val="bottom"/>
          </w:tcPr>
          <w:p w14:paraId="2C0A3580" w14:textId="77777777" w:rsidR="006B457B" w:rsidRPr="00D85B35" w:rsidRDefault="006B457B" w:rsidP="00BF1676">
            <w:pPr>
              <w:rPr>
                <w:rFonts w:ascii="Arial" w:hAnsi="Arial" w:cs="Arial"/>
                <w:b/>
                <w:bCs/>
              </w:rPr>
            </w:pPr>
            <w:r w:rsidRPr="00D85B35">
              <w:rPr>
                <w:rFonts w:ascii="Arial" w:hAnsi="Arial" w:cs="Arial"/>
                <w:b/>
                <w:bCs/>
              </w:rPr>
              <w:t> </w:t>
            </w:r>
          </w:p>
        </w:tc>
        <w:tc>
          <w:tcPr>
            <w:tcW w:w="1671" w:type="dxa"/>
            <w:tcBorders>
              <w:top w:val="nil"/>
              <w:left w:val="nil"/>
              <w:bottom w:val="nil"/>
              <w:right w:val="nil"/>
            </w:tcBorders>
            <w:shd w:val="clear" w:color="auto" w:fill="FFFFFF"/>
            <w:noWrap/>
            <w:vAlign w:val="bottom"/>
          </w:tcPr>
          <w:p w14:paraId="1EB336C2" w14:textId="77777777" w:rsidR="006B457B" w:rsidRPr="00D85B35" w:rsidRDefault="006B457B" w:rsidP="00BF1676">
            <w:pPr>
              <w:jc w:val="center"/>
              <w:rPr>
                <w:rFonts w:ascii="Arial" w:hAnsi="Arial" w:cs="Arial"/>
                <w:b/>
                <w:bCs/>
              </w:rPr>
            </w:pPr>
            <w:r w:rsidRPr="00D85B35">
              <w:rPr>
                <w:rFonts w:ascii="Arial" w:hAnsi="Arial" w:cs="Arial"/>
                <w:b/>
                <w:bCs/>
              </w:rPr>
              <w:t>Volume</w:t>
            </w:r>
          </w:p>
        </w:tc>
        <w:tc>
          <w:tcPr>
            <w:tcW w:w="2096" w:type="dxa"/>
            <w:tcBorders>
              <w:top w:val="nil"/>
              <w:left w:val="nil"/>
              <w:bottom w:val="nil"/>
              <w:right w:val="nil"/>
            </w:tcBorders>
            <w:shd w:val="clear" w:color="auto" w:fill="FFFFFF"/>
            <w:noWrap/>
            <w:vAlign w:val="bottom"/>
          </w:tcPr>
          <w:p w14:paraId="5C488059" w14:textId="77777777" w:rsidR="006B457B" w:rsidRPr="00D85B35" w:rsidRDefault="006B457B" w:rsidP="00BF1676">
            <w:pPr>
              <w:jc w:val="center"/>
              <w:rPr>
                <w:rFonts w:ascii="Arial" w:hAnsi="Arial" w:cs="Arial"/>
                <w:b/>
                <w:bCs/>
              </w:rPr>
            </w:pPr>
            <w:r w:rsidRPr="00D85B35">
              <w:rPr>
                <w:rFonts w:ascii="Arial" w:hAnsi="Arial" w:cs="Arial"/>
                <w:b/>
                <w:bCs/>
              </w:rPr>
              <w:t>Density</w:t>
            </w:r>
          </w:p>
        </w:tc>
        <w:tc>
          <w:tcPr>
            <w:tcW w:w="2496" w:type="dxa"/>
            <w:tcBorders>
              <w:top w:val="nil"/>
              <w:left w:val="nil"/>
              <w:bottom w:val="nil"/>
              <w:right w:val="nil"/>
            </w:tcBorders>
            <w:shd w:val="clear" w:color="auto" w:fill="FFFFFF"/>
            <w:noWrap/>
            <w:vAlign w:val="bottom"/>
          </w:tcPr>
          <w:p w14:paraId="6470C84C" w14:textId="77777777" w:rsidR="006B457B" w:rsidRPr="00D85B35" w:rsidRDefault="006B457B" w:rsidP="00BF1676">
            <w:pPr>
              <w:jc w:val="center"/>
              <w:rPr>
                <w:rFonts w:ascii="Arial" w:hAnsi="Arial" w:cs="Arial"/>
                <w:b/>
                <w:bCs/>
              </w:rPr>
            </w:pPr>
            <w:r w:rsidRPr="00D85B35">
              <w:rPr>
                <w:rFonts w:ascii="Arial" w:hAnsi="Arial" w:cs="Arial"/>
                <w:b/>
                <w:bCs/>
              </w:rPr>
              <w:t>Organic Fraction</w:t>
            </w:r>
          </w:p>
        </w:tc>
      </w:tr>
      <w:tr w:rsidR="006B457B" w14:paraId="70EDAE46" w14:textId="77777777" w:rsidTr="00BF1676">
        <w:trPr>
          <w:trHeight w:val="420"/>
        </w:trPr>
        <w:tc>
          <w:tcPr>
            <w:tcW w:w="2565" w:type="dxa"/>
            <w:tcBorders>
              <w:top w:val="nil"/>
              <w:left w:val="nil"/>
              <w:bottom w:val="nil"/>
              <w:right w:val="nil"/>
            </w:tcBorders>
            <w:shd w:val="clear" w:color="auto" w:fill="FFFFFF"/>
            <w:noWrap/>
            <w:vAlign w:val="bottom"/>
          </w:tcPr>
          <w:p w14:paraId="65C48C36" w14:textId="77777777" w:rsidR="006B457B" w:rsidRPr="00D85B35" w:rsidRDefault="006B457B" w:rsidP="00BF1676">
            <w:pPr>
              <w:rPr>
                <w:rFonts w:ascii="Arial" w:hAnsi="Arial" w:cs="Arial"/>
                <w:b/>
                <w:bCs/>
              </w:rPr>
            </w:pPr>
            <w:r w:rsidRPr="00D85B35">
              <w:rPr>
                <w:rFonts w:ascii="Arial" w:hAnsi="Arial" w:cs="Arial"/>
                <w:b/>
                <w:bCs/>
              </w:rPr>
              <w:t> </w:t>
            </w:r>
          </w:p>
        </w:tc>
        <w:tc>
          <w:tcPr>
            <w:tcW w:w="1671" w:type="dxa"/>
            <w:tcBorders>
              <w:top w:val="nil"/>
              <w:left w:val="nil"/>
              <w:bottom w:val="nil"/>
              <w:right w:val="nil"/>
            </w:tcBorders>
            <w:shd w:val="clear" w:color="auto" w:fill="FFFFFF"/>
            <w:noWrap/>
            <w:vAlign w:val="bottom"/>
          </w:tcPr>
          <w:p w14:paraId="4043EDC0" w14:textId="77777777" w:rsidR="006B457B" w:rsidRPr="00D85B35" w:rsidRDefault="006B457B" w:rsidP="00BF1676">
            <w:pPr>
              <w:jc w:val="center"/>
              <w:rPr>
                <w:rFonts w:ascii="Arial" w:hAnsi="Arial" w:cs="Arial"/>
                <w:b/>
                <w:bCs/>
              </w:rPr>
            </w:pPr>
            <w:r w:rsidRPr="00D85B35">
              <w:rPr>
                <w:rFonts w:ascii="Arial" w:hAnsi="Arial" w:cs="Arial"/>
                <w:b/>
                <w:bCs/>
              </w:rPr>
              <w:t>[m</w:t>
            </w:r>
            <w:r w:rsidRPr="00D85B35">
              <w:rPr>
                <w:rFonts w:ascii="Arial" w:hAnsi="Arial" w:cs="Arial"/>
                <w:b/>
                <w:bCs/>
                <w:vertAlign w:val="superscript"/>
              </w:rPr>
              <w:t>3</w:t>
            </w:r>
            <w:r w:rsidRPr="00D85B35">
              <w:rPr>
                <w:rFonts w:ascii="Arial" w:hAnsi="Arial" w:cs="Arial"/>
                <w:b/>
                <w:bCs/>
              </w:rPr>
              <w:t>]</w:t>
            </w:r>
          </w:p>
        </w:tc>
        <w:tc>
          <w:tcPr>
            <w:tcW w:w="2096" w:type="dxa"/>
            <w:tcBorders>
              <w:top w:val="nil"/>
              <w:left w:val="nil"/>
              <w:bottom w:val="nil"/>
              <w:right w:val="nil"/>
            </w:tcBorders>
            <w:shd w:val="clear" w:color="auto" w:fill="FFFFFF"/>
            <w:noWrap/>
            <w:vAlign w:val="bottom"/>
          </w:tcPr>
          <w:p w14:paraId="0904BB71" w14:textId="77777777" w:rsidR="006B457B" w:rsidRPr="00D85B35" w:rsidRDefault="006B457B" w:rsidP="00BF1676">
            <w:pPr>
              <w:jc w:val="center"/>
              <w:rPr>
                <w:rFonts w:ascii="Arial" w:hAnsi="Arial" w:cs="Arial"/>
                <w:b/>
                <w:bCs/>
              </w:rPr>
            </w:pPr>
            <w:r w:rsidRPr="00D85B35">
              <w:rPr>
                <w:rFonts w:ascii="Arial" w:hAnsi="Arial" w:cs="Arial"/>
                <w:b/>
                <w:bCs/>
              </w:rPr>
              <w:t>[kg/m</w:t>
            </w:r>
            <w:r w:rsidRPr="00D85B35">
              <w:rPr>
                <w:rFonts w:ascii="Arial" w:hAnsi="Arial" w:cs="Arial"/>
                <w:b/>
                <w:bCs/>
                <w:vertAlign w:val="superscript"/>
              </w:rPr>
              <w:t>3</w:t>
            </w:r>
            <w:r w:rsidRPr="00D85B35">
              <w:rPr>
                <w:rFonts w:ascii="Arial" w:hAnsi="Arial" w:cs="Arial"/>
                <w:b/>
                <w:bCs/>
              </w:rPr>
              <w:t>]</w:t>
            </w:r>
          </w:p>
        </w:tc>
        <w:tc>
          <w:tcPr>
            <w:tcW w:w="2496" w:type="dxa"/>
            <w:tcBorders>
              <w:top w:val="nil"/>
              <w:left w:val="nil"/>
              <w:bottom w:val="nil"/>
              <w:right w:val="nil"/>
            </w:tcBorders>
            <w:shd w:val="clear" w:color="auto" w:fill="FFFFFF"/>
            <w:noWrap/>
            <w:vAlign w:val="bottom"/>
          </w:tcPr>
          <w:p w14:paraId="1597859E" w14:textId="77777777" w:rsidR="006B457B" w:rsidRPr="00D85B35" w:rsidRDefault="006B457B" w:rsidP="00BF1676">
            <w:pPr>
              <w:jc w:val="center"/>
              <w:rPr>
                <w:rFonts w:ascii="Arial" w:hAnsi="Arial" w:cs="Arial"/>
                <w:b/>
                <w:bCs/>
              </w:rPr>
            </w:pPr>
            <w:r w:rsidRPr="00D85B35">
              <w:rPr>
                <w:rFonts w:ascii="Arial" w:hAnsi="Arial" w:cs="Arial"/>
                <w:b/>
                <w:bCs/>
              </w:rPr>
              <w:t>[--]</w:t>
            </w:r>
          </w:p>
        </w:tc>
      </w:tr>
      <w:tr w:rsidR="006B457B" w14:paraId="31B63647" w14:textId="77777777" w:rsidTr="00BF1676">
        <w:trPr>
          <w:trHeight w:val="360"/>
        </w:trPr>
        <w:tc>
          <w:tcPr>
            <w:tcW w:w="2565" w:type="dxa"/>
            <w:tcBorders>
              <w:top w:val="nil"/>
              <w:left w:val="nil"/>
              <w:bottom w:val="nil"/>
              <w:right w:val="nil"/>
            </w:tcBorders>
            <w:shd w:val="clear" w:color="auto" w:fill="FFFFFF"/>
            <w:noWrap/>
            <w:vAlign w:val="bottom"/>
          </w:tcPr>
          <w:p w14:paraId="6943B641" w14:textId="77777777" w:rsidR="006B457B" w:rsidRPr="00D85B35" w:rsidRDefault="006B457B" w:rsidP="00BF1676">
            <w:pPr>
              <w:rPr>
                <w:rFonts w:ascii="Arial" w:hAnsi="Arial" w:cs="Arial"/>
                <w:b/>
                <w:bCs/>
              </w:rPr>
            </w:pPr>
            <w:r w:rsidRPr="00D85B35">
              <w:rPr>
                <w:rFonts w:ascii="Arial" w:hAnsi="Arial" w:cs="Arial"/>
                <w:b/>
                <w:bCs/>
              </w:rPr>
              <w:t>Air</w:t>
            </w:r>
          </w:p>
        </w:tc>
        <w:tc>
          <w:tcPr>
            <w:tcW w:w="1671" w:type="dxa"/>
            <w:tcBorders>
              <w:top w:val="nil"/>
              <w:left w:val="nil"/>
              <w:bottom w:val="nil"/>
              <w:right w:val="nil"/>
            </w:tcBorders>
            <w:shd w:val="clear" w:color="auto" w:fill="FFFFFF"/>
            <w:noWrap/>
            <w:vAlign w:val="bottom"/>
          </w:tcPr>
          <w:p w14:paraId="65B3BB25" w14:textId="77777777" w:rsidR="006B457B" w:rsidRPr="00D85B35" w:rsidRDefault="006B457B" w:rsidP="00BF1676">
            <w:pPr>
              <w:jc w:val="center"/>
              <w:rPr>
                <w:rFonts w:ascii="Arial" w:hAnsi="Arial" w:cs="Arial"/>
                <w:b/>
                <w:bCs/>
              </w:rPr>
            </w:pPr>
            <w:r w:rsidRPr="00D85B35">
              <w:rPr>
                <w:rFonts w:ascii="Arial" w:hAnsi="Arial" w:cs="Arial"/>
                <w:b/>
                <w:bCs/>
              </w:rPr>
              <w:t>2.00E+09</w:t>
            </w:r>
          </w:p>
        </w:tc>
        <w:tc>
          <w:tcPr>
            <w:tcW w:w="2096" w:type="dxa"/>
            <w:tcBorders>
              <w:top w:val="nil"/>
              <w:left w:val="nil"/>
              <w:bottom w:val="nil"/>
              <w:right w:val="nil"/>
            </w:tcBorders>
            <w:shd w:val="clear" w:color="auto" w:fill="FFFFFF"/>
            <w:noWrap/>
            <w:vAlign w:val="bottom"/>
          </w:tcPr>
          <w:p w14:paraId="3B1F6AFC" w14:textId="77777777" w:rsidR="006B457B" w:rsidRPr="00D85B35" w:rsidRDefault="006B457B" w:rsidP="00BF1676">
            <w:pPr>
              <w:jc w:val="center"/>
              <w:rPr>
                <w:rFonts w:ascii="Arial" w:hAnsi="Arial" w:cs="Arial"/>
                <w:b/>
                <w:bCs/>
              </w:rPr>
            </w:pPr>
            <w:r w:rsidRPr="00D85B35">
              <w:rPr>
                <w:rFonts w:ascii="Arial" w:hAnsi="Arial" w:cs="Arial"/>
                <w:b/>
                <w:bCs/>
              </w:rPr>
              <w:t>1.19E+00</w:t>
            </w:r>
          </w:p>
        </w:tc>
        <w:tc>
          <w:tcPr>
            <w:tcW w:w="2496" w:type="dxa"/>
            <w:tcBorders>
              <w:top w:val="nil"/>
              <w:left w:val="nil"/>
              <w:bottom w:val="nil"/>
              <w:right w:val="nil"/>
            </w:tcBorders>
            <w:shd w:val="clear" w:color="auto" w:fill="FFFFFF"/>
            <w:noWrap/>
            <w:vAlign w:val="bottom"/>
          </w:tcPr>
          <w:p w14:paraId="3F5818A5" w14:textId="77777777" w:rsidR="006B457B" w:rsidRPr="00D85B35" w:rsidRDefault="006B457B" w:rsidP="00BF1676">
            <w:pPr>
              <w:jc w:val="center"/>
              <w:rPr>
                <w:rFonts w:ascii="Arial" w:hAnsi="Arial" w:cs="Arial"/>
                <w:b/>
                <w:bCs/>
              </w:rPr>
            </w:pPr>
            <w:r w:rsidRPr="00D85B35">
              <w:rPr>
                <w:rFonts w:ascii="Arial" w:hAnsi="Arial" w:cs="Arial"/>
                <w:b/>
                <w:bCs/>
              </w:rPr>
              <w:t>N/A</w:t>
            </w:r>
          </w:p>
        </w:tc>
      </w:tr>
      <w:tr w:rsidR="006B457B" w14:paraId="6211FB03" w14:textId="77777777" w:rsidTr="00BF1676">
        <w:trPr>
          <w:trHeight w:val="420"/>
        </w:trPr>
        <w:tc>
          <w:tcPr>
            <w:tcW w:w="2565" w:type="dxa"/>
            <w:tcBorders>
              <w:top w:val="nil"/>
              <w:left w:val="nil"/>
              <w:bottom w:val="nil"/>
              <w:right w:val="nil"/>
            </w:tcBorders>
            <w:shd w:val="clear" w:color="auto" w:fill="FFFFFF"/>
            <w:noWrap/>
            <w:vAlign w:val="bottom"/>
          </w:tcPr>
          <w:p w14:paraId="364D0E72" w14:textId="77777777" w:rsidR="006B457B" w:rsidRPr="00D85B35" w:rsidRDefault="006B457B" w:rsidP="00BF1676">
            <w:pPr>
              <w:rPr>
                <w:rFonts w:ascii="Arial" w:hAnsi="Arial" w:cs="Arial"/>
                <w:b/>
                <w:bCs/>
              </w:rPr>
            </w:pPr>
            <w:r w:rsidRPr="00D85B35">
              <w:rPr>
                <w:rFonts w:ascii="Arial" w:hAnsi="Arial" w:cs="Arial"/>
                <w:b/>
                <w:bCs/>
              </w:rPr>
              <w:t>Water</w:t>
            </w:r>
          </w:p>
        </w:tc>
        <w:tc>
          <w:tcPr>
            <w:tcW w:w="1671" w:type="dxa"/>
            <w:tcBorders>
              <w:top w:val="nil"/>
              <w:left w:val="nil"/>
              <w:bottom w:val="nil"/>
              <w:right w:val="nil"/>
            </w:tcBorders>
            <w:shd w:val="clear" w:color="auto" w:fill="FFFFFF"/>
            <w:noWrap/>
            <w:vAlign w:val="bottom"/>
          </w:tcPr>
          <w:p w14:paraId="452FFE49" w14:textId="77777777" w:rsidR="006B457B" w:rsidRPr="00D85B35" w:rsidRDefault="006B457B" w:rsidP="00BF1676">
            <w:pPr>
              <w:jc w:val="center"/>
              <w:rPr>
                <w:rFonts w:ascii="Arial" w:hAnsi="Arial" w:cs="Arial"/>
                <w:b/>
                <w:bCs/>
              </w:rPr>
            </w:pPr>
            <w:r w:rsidRPr="00D85B35">
              <w:rPr>
                <w:rFonts w:ascii="Arial" w:hAnsi="Arial" w:cs="Arial"/>
                <w:b/>
                <w:bCs/>
              </w:rPr>
              <w:t>9.90E+05</w:t>
            </w:r>
          </w:p>
        </w:tc>
        <w:tc>
          <w:tcPr>
            <w:tcW w:w="2096" w:type="dxa"/>
            <w:tcBorders>
              <w:top w:val="nil"/>
              <w:left w:val="nil"/>
              <w:bottom w:val="nil"/>
              <w:right w:val="nil"/>
            </w:tcBorders>
            <w:shd w:val="clear" w:color="auto" w:fill="FFFFFF"/>
            <w:noWrap/>
            <w:vAlign w:val="bottom"/>
          </w:tcPr>
          <w:p w14:paraId="5D3B0C50" w14:textId="77777777" w:rsidR="006B457B" w:rsidRPr="00D85B35" w:rsidRDefault="006B457B" w:rsidP="00BF1676">
            <w:pPr>
              <w:jc w:val="center"/>
              <w:rPr>
                <w:rFonts w:ascii="Arial" w:hAnsi="Arial" w:cs="Arial"/>
                <w:b/>
                <w:bCs/>
              </w:rPr>
            </w:pPr>
            <w:r w:rsidRPr="00D85B35">
              <w:rPr>
                <w:rFonts w:ascii="Arial" w:hAnsi="Arial" w:cs="Arial"/>
                <w:b/>
                <w:bCs/>
              </w:rPr>
              <w:t>1.00E+03</w:t>
            </w:r>
          </w:p>
        </w:tc>
        <w:tc>
          <w:tcPr>
            <w:tcW w:w="2496" w:type="dxa"/>
            <w:tcBorders>
              <w:top w:val="nil"/>
              <w:left w:val="nil"/>
              <w:bottom w:val="nil"/>
              <w:right w:val="nil"/>
            </w:tcBorders>
            <w:shd w:val="clear" w:color="auto" w:fill="FFFFFF"/>
            <w:noWrap/>
            <w:vAlign w:val="bottom"/>
          </w:tcPr>
          <w:p w14:paraId="3D543214" w14:textId="77777777" w:rsidR="006B457B" w:rsidRPr="00D85B35" w:rsidRDefault="006B457B" w:rsidP="00BF1676">
            <w:pPr>
              <w:jc w:val="center"/>
              <w:rPr>
                <w:rFonts w:ascii="Arial" w:hAnsi="Arial" w:cs="Arial"/>
                <w:b/>
                <w:bCs/>
              </w:rPr>
            </w:pPr>
            <w:r w:rsidRPr="00D85B35">
              <w:rPr>
                <w:rFonts w:ascii="Arial" w:hAnsi="Arial" w:cs="Arial"/>
                <w:b/>
                <w:bCs/>
              </w:rPr>
              <w:t>N/A</w:t>
            </w:r>
          </w:p>
        </w:tc>
      </w:tr>
      <w:tr w:rsidR="006B457B" w14:paraId="4E866F1B" w14:textId="77777777" w:rsidTr="00BF1676">
        <w:trPr>
          <w:trHeight w:val="360"/>
        </w:trPr>
        <w:tc>
          <w:tcPr>
            <w:tcW w:w="2565" w:type="dxa"/>
            <w:tcBorders>
              <w:top w:val="nil"/>
              <w:left w:val="nil"/>
              <w:bottom w:val="nil"/>
              <w:right w:val="nil"/>
            </w:tcBorders>
            <w:shd w:val="clear" w:color="auto" w:fill="FFFFFF"/>
            <w:noWrap/>
            <w:vAlign w:val="bottom"/>
          </w:tcPr>
          <w:p w14:paraId="66D78272" w14:textId="77777777" w:rsidR="006B457B" w:rsidRPr="00D85B35" w:rsidRDefault="006B457B" w:rsidP="00BF1676">
            <w:pPr>
              <w:rPr>
                <w:rFonts w:ascii="Arial" w:hAnsi="Arial" w:cs="Arial"/>
                <w:b/>
                <w:bCs/>
              </w:rPr>
            </w:pPr>
            <w:r w:rsidRPr="00D85B35">
              <w:rPr>
                <w:rFonts w:ascii="Arial" w:hAnsi="Arial" w:cs="Arial"/>
                <w:b/>
                <w:bCs/>
              </w:rPr>
              <w:t>Soil</w:t>
            </w:r>
          </w:p>
        </w:tc>
        <w:tc>
          <w:tcPr>
            <w:tcW w:w="1671" w:type="dxa"/>
            <w:tcBorders>
              <w:top w:val="nil"/>
              <w:left w:val="nil"/>
              <w:bottom w:val="nil"/>
              <w:right w:val="nil"/>
            </w:tcBorders>
            <w:shd w:val="clear" w:color="auto" w:fill="FFFFFF"/>
            <w:noWrap/>
            <w:vAlign w:val="bottom"/>
          </w:tcPr>
          <w:p w14:paraId="74B43FE1" w14:textId="77777777" w:rsidR="006B457B" w:rsidRPr="00D85B35" w:rsidRDefault="006B457B" w:rsidP="00BF1676">
            <w:pPr>
              <w:jc w:val="center"/>
              <w:rPr>
                <w:rFonts w:ascii="Arial" w:hAnsi="Arial" w:cs="Arial"/>
                <w:b/>
                <w:bCs/>
              </w:rPr>
            </w:pPr>
            <w:r w:rsidRPr="00D85B35">
              <w:rPr>
                <w:rFonts w:ascii="Arial" w:hAnsi="Arial" w:cs="Arial"/>
                <w:b/>
                <w:bCs/>
              </w:rPr>
              <w:t>1.40E+04</w:t>
            </w:r>
          </w:p>
        </w:tc>
        <w:tc>
          <w:tcPr>
            <w:tcW w:w="2096" w:type="dxa"/>
            <w:tcBorders>
              <w:top w:val="nil"/>
              <w:left w:val="nil"/>
              <w:bottom w:val="nil"/>
              <w:right w:val="nil"/>
            </w:tcBorders>
            <w:shd w:val="clear" w:color="auto" w:fill="FFFFFF"/>
            <w:noWrap/>
            <w:vAlign w:val="bottom"/>
          </w:tcPr>
          <w:p w14:paraId="42038D3B" w14:textId="77777777" w:rsidR="006B457B" w:rsidRPr="00D85B35" w:rsidRDefault="006B457B" w:rsidP="00BF1676">
            <w:pPr>
              <w:jc w:val="center"/>
              <w:rPr>
                <w:rFonts w:ascii="Arial" w:hAnsi="Arial" w:cs="Arial"/>
                <w:b/>
                <w:bCs/>
              </w:rPr>
            </w:pPr>
            <w:r w:rsidRPr="00D85B35">
              <w:rPr>
                <w:rFonts w:ascii="Arial" w:hAnsi="Arial" w:cs="Arial"/>
                <w:b/>
                <w:bCs/>
              </w:rPr>
              <w:t>1.50E+03</w:t>
            </w:r>
          </w:p>
        </w:tc>
        <w:tc>
          <w:tcPr>
            <w:tcW w:w="2496" w:type="dxa"/>
            <w:tcBorders>
              <w:top w:val="nil"/>
              <w:left w:val="nil"/>
              <w:bottom w:val="nil"/>
              <w:right w:val="nil"/>
            </w:tcBorders>
            <w:shd w:val="clear" w:color="auto" w:fill="FFFFFF"/>
            <w:noWrap/>
            <w:vAlign w:val="bottom"/>
          </w:tcPr>
          <w:p w14:paraId="1D4DD8E4" w14:textId="77777777" w:rsidR="006B457B" w:rsidRPr="00D85B35" w:rsidRDefault="006B457B" w:rsidP="00BF1676">
            <w:pPr>
              <w:jc w:val="center"/>
              <w:rPr>
                <w:rFonts w:ascii="Arial" w:hAnsi="Arial" w:cs="Arial"/>
                <w:b/>
                <w:bCs/>
              </w:rPr>
            </w:pPr>
            <w:r w:rsidRPr="00D85B35">
              <w:rPr>
                <w:rFonts w:ascii="Arial" w:hAnsi="Arial" w:cs="Arial"/>
                <w:b/>
                <w:bCs/>
              </w:rPr>
              <w:t>2.00E-02</w:t>
            </w:r>
          </w:p>
        </w:tc>
      </w:tr>
      <w:tr w:rsidR="006B457B" w14:paraId="4A57A53F" w14:textId="77777777" w:rsidTr="00BF1676">
        <w:trPr>
          <w:trHeight w:val="420"/>
        </w:trPr>
        <w:tc>
          <w:tcPr>
            <w:tcW w:w="2565" w:type="dxa"/>
            <w:tcBorders>
              <w:top w:val="nil"/>
              <w:left w:val="nil"/>
              <w:bottom w:val="nil"/>
              <w:right w:val="nil"/>
            </w:tcBorders>
            <w:shd w:val="clear" w:color="auto" w:fill="FFFFFF"/>
            <w:noWrap/>
            <w:vAlign w:val="bottom"/>
          </w:tcPr>
          <w:p w14:paraId="16613534" w14:textId="77777777" w:rsidR="006B457B" w:rsidRPr="00D85B35" w:rsidRDefault="006B457B" w:rsidP="00BF1676">
            <w:pPr>
              <w:rPr>
                <w:rFonts w:ascii="Arial" w:hAnsi="Arial" w:cs="Arial"/>
                <w:b/>
                <w:bCs/>
              </w:rPr>
            </w:pPr>
            <w:r w:rsidRPr="00D85B35">
              <w:rPr>
                <w:rFonts w:ascii="Arial" w:hAnsi="Arial" w:cs="Arial"/>
                <w:b/>
                <w:bCs/>
              </w:rPr>
              <w:t>Sediment</w:t>
            </w:r>
          </w:p>
        </w:tc>
        <w:tc>
          <w:tcPr>
            <w:tcW w:w="1671" w:type="dxa"/>
            <w:tcBorders>
              <w:top w:val="nil"/>
              <w:left w:val="nil"/>
              <w:bottom w:val="nil"/>
              <w:right w:val="nil"/>
            </w:tcBorders>
            <w:shd w:val="clear" w:color="auto" w:fill="FFFFFF"/>
            <w:noWrap/>
            <w:vAlign w:val="bottom"/>
          </w:tcPr>
          <w:p w14:paraId="2A42CFED" w14:textId="77777777" w:rsidR="006B457B" w:rsidRPr="00D85B35" w:rsidRDefault="006B457B" w:rsidP="00BF1676">
            <w:pPr>
              <w:jc w:val="center"/>
              <w:rPr>
                <w:rFonts w:ascii="Arial" w:hAnsi="Arial" w:cs="Arial"/>
                <w:b/>
                <w:bCs/>
              </w:rPr>
            </w:pPr>
            <w:r w:rsidRPr="00D85B35">
              <w:rPr>
                <w:rFonts w:ascii="Arial" w:hAnsi="Arial" w:cs="Arial"/>
                <w:b/>
                <w:bCs/>
              </w:rPr>
              <w:t>9.90E+03</w:t>
            </w:r>
          </w:p>
        </w:tc>
        <w:tc>
          <w:tcPr>
            <w:tcW w:w="2096" w:type="dxa"/>
            <w:tcBorders>
              <w:top w:val="nil"/>
              <w:left w:val="nil"/>
              <w:bottom w:val="nil"/>
              <w:right w:val="nil"/>
            </w:tcBorders>
            <w:shd w:val="clear" w:color="auto" w:fill="FFFFFF"/>
            <w:noWrap/>
            <w:vAlign w:val="bottom"/>
          </w:tcPr>
          <w:p w14:paraId="602F8E3D" w14:textId="77777777" w:rsidR="006B457B" w:rsidRPr="00D85B35" w:rsidRDefault="006B457B" w:rsidP="00BF1676">
            <w:pPr>
              <w:jc w:val="center"/>
              <w:rPr>
                <w:rFonts w:ascii="Arial" w:hAnsi="Arial" w:cs="Arial"/>
                <w:b/>
                <w:bCs/>
              </w:rPr>
            </w:pPr>
            <w:r w:rsidRPr="00D85B35">
              <w:rPr>
                <w:rFonts w:ascii="Arial" w:hAnsi="Arial" w:cs="Arial"/>
                <w:b/>
                <w:bCs/>
              </w:rPr>
              <w:t>1.50E+03</w:t>
            </w:r>
          </w:p>
        </w:tc>
        <w:tc>
          <w:tcPr>
            <w:tcW w:w="2496" w:type="dxa"/>
            <w:tcBorders>
              <w:top w:val="nil"/>
              <w:left w:val="nil"/>
              <w:bottom w:val="nil"/>
              <w:right w:val="nil"/>
            </w:tcBorders>
            <w:shd w:val="clear" w:color="auto" w:fill="FFFFFF"/>
            <w:noWrap/>
            <w:vAlign w:val="bottom"/>
          </w:tcPr>
          <w:p w14:paraId="1B709D85" w14:textId="77777777" w:rsidR="006B457B" w:rsidRPr="00D85B35" w:rsidRDefault="006B457B" w:rsidP="00BF1676">
            <w:pPr>
              <w:jc w:val="center"/>
              <w:rPr>
                <w:rFonts w:ascii="Arial" w:hAnsi="Arial" w:cs="Arial"/>
                <w:b/>
                <w:bCs/>
              </w:rPr>
            </w:pPr>
            <w:r w:rsidRPr="00D85B35">
              <w:rPr>
                <w:rFonts w:ascii="Arial" w:hAnsi="Arial" w:cs="Arial"/>
                <w:b/>
                <w:bCs/>
              </w:rPr>
              <w:t>4.00E-02</w:t>
            </w:r>
          </w:p>
        </w:tc>
      </w:tr>
      <w:tr w:rsidR="006B457B" w14:paraId="45628F9A" w14:textId="77777777" w:rsidTr="00BF1676">
        <w:trPr>
          <w:trHeight w:val="420"/>
        </w:trPr>
        <w:tc>
          <w:tcPr>
            <w:tcW w:w="2565" w:type="dxa"/>
            <w:tcBorders>
              <w:top w:val="nil"/>
              <w:left w:val="nil"/>
              <w:bottom w:val="nil"/>
              <w:right w:val="nil"/>
            </w:tcBorders>
            <w:shd w:val="clear" w:color="auto" w:fill="FFFFFF"/>
            <w:noWrap/>
            <w:vAlign w:val="bottom"/>
          </w:tcPr>
          <w:p w14:paraId="1F6B48FE" w14:textId="77777777" w:rsidR="006B457B" w:rsidRPr="00D85B35" w:rsidRDefault="006B457B" w:rsidP="00BF1676">
            <w:pPr>
              <w:rPr>
                <w:rFonts w:ascii="Arial" w:hAnsi="Arial" w:cs="Arial"/>
                <w:b/>
                <w:bCs/>
              </w:rPr>
            </w:pPr>
            <w:r w:rsidRPr="00D85B35">
              <w:rPr>
                <w:rFonts w:ascii="Arial" w:hAnsi="Arial" w:cs="Arial"/>
                <w:b/>
                <w:bCs/>
              </w:rPr>
              <w:t>Susp. aq matr</w:t>
            </w:r>
          </w:p>
        </w:tc>
        <w:tc>
          <w:tcPr>
            <w:tcW w:w="1671" w:type="dxa"/>
            <w:tcBorders>
              <w:top w:val="nil"/>
              <w:left w:val="nil"/>
              <w:bottom w:val="nil"/>
              <w:right w:val="nil"/>
            </w:tcBorders>
            <w:shd w:val="clear" w:color="auto" w:fill="FFFFFF"/>
            <w:noWrap/>
            <w:vAlign w:val="bottom"/>
          </w:tcPr>
          <w:p w14:paraId="71DBE959" w14:textId="77777777" w:rsidR="006B457B" w:rsidRPr="00D85B35" w:rsidRDefault="006B457B" w:rsidP="00BF1676">
            <w:pPr>
              <w:jc w:val="center"/>
              <w:rPr>
                <w:rFonts w:ascii="Arial" w:hAnsi="Arial" w:cs="Arial"/>
                <w:b/>
                <w:bCs/>
              </w:rPr>
            </w:pPr>
            <w:r w:rsidRPr="00D85B35">
              <w:rPr>
                <w:rFonts w:ascii="Arial" w:hAnsi="Arial" w:cs="Arial"/>
                <w:b/>
                <w:bCs/>
              </w:rPr>
              <w:t>3.50E+01</w:t>
            </w:r>
          </w:p>
        </w:tc>
        <w:tc>
          <w:tcPr>
            <w:tcW w:w="2096" w:type="dxa"/>
            <w:tcBorders>
              <w:top w:val="nil"/>
              <w:left w:val="nil"/>
              <w:bottom w:val="nil"/>
              <w:right w:val="nil"/>
            </w:tcBorders>
            <w:shd w:val="clear" w:color="auto" w:fill="FFFFFF"/>
            <w:noWrap/>
            <w:vAlign w:val="bottom"/>
          </w:tcPr>
          <w:p w14:paraId="1C93FA90" w14:textId="77777777" w:rsidR="006B457B" w:rsidRPr="00D85B35" w:rsidRDefault="006B457B" w:rsidP="00BF1676">
            <w:pPr>
              <w:jc w:val="center"/>
              <w:rPr>
                <w:rFonts w:ascii="Arial" w:hAnsi="Arial" w:cs="Arial"/>
                <w:b/>
                <w:bCs/>
              </w:rPr>
            </w:pPr>
            <w:r w:rsidRPr="00D85B35">
              <w:rPr>
                <w:rFonts w:ascii="Arial" w:hAnsi="Arial" w:cs="Arial"/>
                <w:b/>
                <w:bCs/>
              </w:rPr>
              <w:t>1.50E+03</w:t>
            </w:r>
          </w:p>
        </w:tc>
        <w:tc>
          <w:tcPr>
            <w:tcW w:w="2496" w:type="dxa"/>
            <w:tcBorders>
              <w:top w:val="nil"/>
              <w:left w:val="nil"/>
              <w:bottom w:val="nil"/>
              <w:right w:val="nil"/>
            </w:tcBorders>
            <w:shd w:val="clear" w:color="auto" w:fill="FFFFFF"/>
            <w:noWrap/>
            <w:vAlign w:val="bottom"/>
          </w:tcPr>
          <w:p w14:paraId="74002A45" w14:textId="77777777" w:rsidR="006B457B" w:rsidRPr="00D85B35" w:rsidRDefault="006B457B" w:rsidP="00BF1676">
            <w:pPr>
              <w:jc w:val="center"/>
              <w:rPr>
                <w:rFonts w:ascii="Arial" w:hAnsi="Arial" w:cs="Arial"/>
                <w:b/>
                <w:bCs/>
              </w:rPr>
            </w:pPr>
            <w:r w:rsidRPr="00D85B35">
              <w:rPr>
                <w:rFonts w:ascii="Arial" w:hAnsi="Arial" w:cs="Arial"/>
                <w:b/>
                <w:bCs/>
              </w:rPr>
              <w:t>4.00E-02</w:t>
            </w:r>
          </w:p>
        </w:tc>
      </w:tr>
      <w:tr w:rsidR="006B457B" w14:paraId="225F51A0" w14:textId="77777777" w:rsidTr="00BF1676">
        <w:trPr>
          <w:trHeight w:val="360"/>
        </w:trPr>
        <w:tc>
          <w:tcPr>
            <w:tcW w:w="2565" w:type="dxa"/>
            <w:tcBorders>
              <w:top w:val="nil"/>
              <w:left w:val="nil"/>
              <w:bottom w:val="nil"/>
              <w:right w:val="nil"/>
            </w:tcBorders>
            <w:shd w:val="clear" w:color="auto" w:fill="FFFFFF"/>
            <w:noWrap/>
            <w:vAlign w:val="bottom"/>
          </w:tcPr>
          <w:p w14:paraId="712BEE92" w14:textId="77777777" w:rsidR="006B457B" w:rsidRPr="00D85B35" w:rsidRDefault="006B457B" w:rsidP="00BF1676">
            <w:pPr>
              <w:rPr>
                <w:rFonts w:ascii="Arial" w:hAnsi="Arial" w:cs="Arial"/>
                <w:b/>
                <w:bCs/>
              </w:rPr>
            </w:pPr>
            <w:r w:rsidRPr="00D85B35">
              <w:rPr>
                <w:rFonts w:ascii="Arial" w:hAnsi="Arial" w:cs="Arial"/>
                <w:b/>
                <w:bCs/>
              </w:rPr>
              <w:t>Biota</w:t>
            </w:r>
          </w:p>
        </w:tc>
        <w:tc>
          <w:tcPr>
            <w:tcW w:w="1671" w:type="dxa"/>
            <w:tcBorders>
              <w:top w:val="nil"/>
              <w:left w:val="nil"/>
              <w:bottom w:val="nil"/>
              <w:right w:val="nil"/>
            </w:tcBorders>
            <w:shd w:val="clear" w:color="auto" w:fill="FFFFFF"/>
            <w:noWrap/>
            <w:vAlign w:val="bottom"/>
          </w:tcPr>
          <w:p w14:paraId="3D6C38E5" w14:textId="77777777" w:rsidR="006B457B" w:rsidRPr="00D85B35" w:rsidRDefault="006B457B" w:rsidP="00BF1676">
            <w:pPr>
              <w:jc w:val="center"/>
              <w:rPr>
                <w:rFonts w:ascii="Arial" w:hAnsi="Arial" w:cs="Arial"/>
                <w:b/>
                <w:bCs/>
              </w:rPr>
            </w:pPr>
            <w:r w:rsidRPr="00D85B35">
              <w:rPr>
                <w:rFonts w:ascii="Arial" w:hAnsi="Arial" w:cs="Arial"/>
                <w:b/>
                <w:bCs/>
              </w:rPr>
              <w:t>3.50E+00</w:t>
            </w:r>
          </w:p>
        </w:tc>
        <w:tc>
          <w:tcPr>
            <w:tcW w:w="2096" w:type="dxa"/>
            <w:tcBorders>
              <w:top w:val="nil"/>
              <w:left w:val="nil"/>
              <w:bottom w:val="nil"/>
              <w:right w:val="nil"/>
            </w:tcBorders>
            <w:shd w:val="clear" w:color="auto" w:fill="FFFFFF"/>
            <w:noWrap/>
            <w:vAlign w:val="bottom"/>
          </w:tcPr>
          <w:p w14:paraId="7BCF8BB8" w14:textId="77777777" w:rsidR="006B457B" w:rsidRPr="00D85B35" w:rsidRDefault="006B457B" w:rsidP="00BF1676">
            <w:pPr>
              <w:jc w:val="center"/>
              <w:rPr>
                <w:rFonts w:ascii="Arial" w:hAnsi="Arial" w:cs="Arial"/>
                <w:b/>
                <w:bCs/>
              </w:rPr>
            </w:pPr>
            <w:r w:rsidRPr="00D85B35">
              <w:rPr>
                <w:rFonts w:ascii="Arial" w:hAnsi="Arial" w:cs="Arial"/>
                <w:b/>
                <w:bCs/>
              </w:rPr>
              <w:t>1.00E+03</w:t>
            </w:r>
          </w:p>
        </w:tc>
        <w:tc>
          <w:tcPr>
            <w:tcW w:w="2496" w:type="dxa"/>
            <w:tcBorders>
              <w:top w:val="nil"/>
              <w:left w:val="nil"/>
              <w:bottom w:val="nil"/>
              <w:right w:val="nil"/>
            </w:tcBorders>
            <w:shd w:val="clear" w:color="auto" w:fill="FFFFFF"/>
            <w:noWrap/>
            <w:vAlign w:val="bottom"/>
          </w:tcPr>
          <w:p w14:paraId="64300C93" w14:textId="77777777" w:rsidR="006B457B" w:rsidRPr="00D85B35" w:rsidRDefault="006B457B" w:rsidP="00BF1676">
            <w:pPr>
              <w:jc w:val="center"/>
              <w:rPr>
                <w:rFonts w:ascii="Arial" w:hAnsi="Arial" w:cs="Arial"/>
                <w:b/>
                <w:bCs/>
              </w:rPr>
            </w:pPr>
            <w:r w:rsidRPr="00D85B35">
              <w:rPr>
                <w:rFonts w:ascii="Arial" w:hAnsi="Arial" w:cs="Arial"/>
                <w:b/>
                <w:bCs/>
              </w:rPr>
              <w:t> </w:t>
            </w:r>
            <w:r>
              <w:rPr>
                <w:rFonts w:ascii="Arial" w:hAnsi="Arial" w:cs="Arial"/>
                <w:b/>
                <w:bCs/>
              </w:rPr>
              <w:t>24% lipid</w:t>
            </w:r>
          </w:p>
        </w:tc>
      </w:tr>
    </w:tbl>
    <w:p w14:paraId="3DCB2205" w14:textId="77777777" w:rsidR="006B457B" w:rsidRDefault="006B457B" w:rsidP="006B457B">
      <w:pPr>
        <w:pStyle w:val="ListParagraph"/>
        <w:tabs>
          <w:tab w:val="left" w:pos="90"/>
        </w:tabs>
      </w:pPr>
      <w:r>
        <w:lastRenderedPageBreak/>
        <w:br/>
      </w:r>
    </w:p>
    <w:p w14:paraId="34E4EAD1" w14:textId="77777777" w:rsidR="006B457B" w:rsidRDefault="006B457B" w:rsidP="006B457B">
      <w:pPr>
        <w:pStyle w:val="ListParagraph"/>
        <w:tabs>
          <w:tab w:val="left" w:pos="90"/>
        </w:tabs>
        <w:ind w:hanging="720"/>
      </w:pPr>
      <w:r>
        <w:t>5.</w:t>
      </w:r>
      <w:r>
        <w:tab/>
      </w:r>
      <w:r w:rsidR="00B32B2B">
        <w:t>P16.2 in EOC</w:t>
      </w:r>
    </w:p>
    <w:p w14:paraId="4D1114F7" w14:textId="58A12AE5" w:rsidR="000E0006" w:rsidRDefault="00CD07F1" w:rsidP="006B457B">
      <w:pPr>
        <w:pStyle w:val="ListParagraph"/>
        <w:tabs>
          <w:tab w:val="left" w:pos="90"/>
        </w:tabs>
        <w:ind w:hanging="720"/>
        <w:rPr>
          <w:color w:val="FF0000"/>
        </w:rPr>
      </w:pPr>
      <w:r>
        <w:rPr>
          <w:color w:val="FF0000"/>
        </w:rPr>
        <w:t>a)</w:t>
      </w:r>
    </w:p>
    <w:p w14:paraId="39F76BFB" w14:textId="1FD7CE62" w:rsidR="00CD07F1" w:rsidRDefault="00CD07F1" w:rsidP="006B457B">
      <w:pPr>
        <w:pStyle w:val="ListParagraph"/>
        <w:tabs>
          <w:tab w:val="left" w:pos="90"/>
        </w:tabs>
        <w:ind w:hanging="720"/>
        <w:rPr>
          <w:color w:val="FF0000"/>
        </w:rPr>
      </w:pPr>
      <w:r>
        <w:rPr>
          <w:color w:val="FF0000"/>
        </w:rPr>
        <w:t>- 5 pt for all correct values</w:t>
      </w:r>
    </w:p>
    <w:p w14:paraId="7C0D2881" w14:textId="77777777" w:rsidR="00CD07F1" w:rsidRDefault="00CD07F1" w:rsidP="006B457B">
      <w:pPr>
        <w:pStyle w:val="ListParagraph"/>
        <w:tabs>
          <w:tab w:val="left" w:pos="90"/>
        </w:tabs>
        <w:ind w:hanging="720"/>
        <w:rPr>
          <w:color w:val="FF0000"/>
        </w:rPr>
      </w:pPr>
      <w:r>
        <w:rPr>
          <w:color w:val="FF0000"/>
        </w:rPr>
        <w:t>- 5 pt for temperature correction</w:t>
      </w:r>
    </w:p>
    <w:p w14:paraId="1C09B910" w14:textId="0DB09D28" w:rsidR="00CD07F1" w:rsidRPr="00CD07F1" w:rsidRDefault="00CD07F1" w:rsidP="006B457B">
      <w:pPr>
        <w:pStyle w:val="ListParagraph"/>
        <w:tabs>
          <w:tab w:val="left" w:pos="90"/>
        </w:tabs>
        <w:ind w:hanging="720"/>
        <w:rPr>
          <w:color w:val="FF0000"/>
        </w:rPr>
      </w:pPr>
      <w:r>
        <w:rPr>
          <w:color w:val="FF0000"/>
        </w:rPr>
        <w:t xml:space="preserve">- 5 pt for comment </w:t>
      </w:r>
    </w:p>
    <w:p w14:paraId="235E14AF" w14:textId="5F8004C6" w:rsidR="000E0006" w:rsidRDefault="002C0E2B" w:rsidP="006B457B">
      <w:pPr>
        <w:pStyle w:val="ListParagraph"/>
        <w:tabs>
          <w:tab w:val="left" w:pos="90"/>
        </w:tabs>
        <w:ind w:hanging="720"/>
      </w:pPr>
      <w:r>
        <w:t xml:space="preserve">Estimate the triolene-water partition </w:t>
      </w:r>
      <w:r w:rsidR="00AC28A6">
        <w:rPr>
          <w:rFonts w:hint="eastAsia"/>
          <w:lang w:eastAsia="zh-CN"/>
        </w:rPr>
        <w:t>co</w:t>
      </w:r>
      <w:r>
        <w:t>efficents using the given LFER.</w:t>
      </w:r>
    </w:p>
    <w:p w14:paraId="6B4C45F4" w14:textId="77777777" w:rsidR="002C0E2B" w:rsidRDefault="002C0E2B" w:rsidP="006B457B">
      <w:pPr>
        <w:pStyle w:val="ListParagraph"/>
        <w:tabs>
          <w:tab w:val="left" w:pos="90"/>
        </w:tabs>
        <w:ind w:hanging="720"/>
      </w:pPr>
      <w:r>
        <w:t>Log K</w:t>
      </w:r>
      <w:r w:rsidRPr="002C0E2B">
        <w:rPr>
          <w:vertAlign w:val="subscript"/>
        </w:rPr>
        <w:t>itrw</w:t>
      </w:r>
      <w:r>
        <w:t>=1.031logK</w:t>
      </w:r>
      <w:r w:rsidRPr="002C0E2B">
        <w:rPr>
          <w:vertAlign w:val="subscript"/>
        </w:rPr>
        <w:t>ow</w:t>
      </w:r>
      <w:r>
        <w:t>+0.11</w:t>
      </w:r>
    </w:p>
    <w:p w14:paraId="68248D4F" w14:textId="77777777" w:rsidR="002C0E2B" w:rsidRDefault="002C0E2B" w:rsidP="002C0E2B">
      <w:pPr>
        <w:pStyle w:val="ListParagraph"/>
        <w:tabs>
          <w:tab w:val="left" w:pos="90"/>
        </w:tabs>
        <w:ind w:hanging="720"/>
      </w:pPr>
      <w:r>
        <w:t>BisphenolA</w:t>
      </w:r>
      <w:r w:rsidR="000636DF">
        <w:t xml:space="preserve"> (BPA)</w:t>
      </w:r>
      <w:r>
        <w:t>, Log K</w:t>
      </w:r>
      <w:r>
        <w:rPr>
          <w:vertAlign w:val="subscript"/>
        </w:rPr>
        <w:t>BPA,</w:t>
      </w:r>
      <w:r w:rsidRPr="002C0E2B">
        <w:rPr>
          <w:vertAlign w:val="subscript"/>
        </w:rPr>
        <w:t>trw</w:t>
      </w:r>
      <w:r>
        <w:t>=1.031(3.4)+0.11=3.6</w:t>
      </w:r>
    </w:p>
    <w:p w14:paraId="5D4E10A6" w14:textId="77777777" w:rsidR="002C0E2B" w:rsidRDefault="002C0E2B" w:rsidP="002C0E2B">
      <w:pPr>
        <w:pStyle w:val="ListParagraph"/>
        <w:tabs>
          <w:tab w:val="left" w:pos="90"/>
        </w:tabs>
        <w:ind w:hanging="720"/>
      </w:pPr>
      <w:r>
        <w:t>Naphthalene, Log K</w:t>
      </w:r>
      <w:r>
        <w:rPr>
          <w:vertAlign w:val="subscript"/>
        </w:rPr>
        <w:t>NP,</w:t>
      </w:r>
      <w:r w:rsidRPr="002C0E2B">
        <w:rPr>
          <w:vertAlign w:val="subscript"/>
        </w:rPr>
        <w:t>trw</w:t>
      </w:r>
      <w:r>
        <w:t>=1.031(3.38)+0.11=3.6</w:t>
      </w:r>
    </w:p>
    <w:p w14:paraId="16E1A14D" w14:textId="77777777" w:rsidR="002C0E2B" w:rsidRDefault="002C0E2B" w:rsidP="002C0E2B">
      <w:pPr>
        <w:pStyle w:val="ListParagraph"/>
        <w:tabs>
          <w:tab w:val="left" w:pos="90"/>
        </w:tabs>
        <w:ind w:hanging="720"/>
      </w:pPr>
    </w:p>
    <w:p w14:paraId="68F5B726" w14:textId="77777777" w:rsidR="002C0E2B" w:rsidRDefault="000636DF" w:rsidP="002C0E2B">
      <w:pPr>
        <w:pStyle w:val="ListParagraph"/>
        <w:tabs>
          <w:tab w:val="left" w:pos="90"/>
        </w:tabs>
        <w:ind w:hanging="720"/>
      </w:pPr>
      <w:r>
        <w:t xml:space="preserve">Using </w:t>
      </w:r>
      <w:r w:rsidR="0058566E">
        <w:t xml:space="preserve">values from </w:t>
      </w:r>
      <w:r>
        <w:t>Table 16.2 for storage lipids</w:t>
      </w:r>
      <w:r w:rsidR="0058566E">
        <w:t xml:space="preserve"> and the problem statement</w:t>
      </w:r>
    </w:p>
    <w:p w14:paraId="35802524" w14:textId="77777777" w:rsidR="000636DF" w:rsidRDefault="000636DF" w:rsidP="002C0E2B">
      <w:pPr>
        <w:pStyle w:val="ListParagraph"/>
        <w:tabs>
          <w:tab w:val="left" w:pos="90"/>
        </w:tabs>
        <w:ind w:hanging="720"/>
      </w:pPr>
      <w:r>
        <w:t>LogK</w:t>
      </w:r>
      <w:r w:rsidRPr="000636DF">
        <w:rPr>
          <w:vertAlign w:val="subscript"/>
        </w:rPr>
        <w:t>islw</w:t>
      </w:r>
      <w:r>
        <w:t>=v</w:t>
      </w:r>
      <w:r w:rsidRPr="000636DF">
        <w:rPr>
          <w:vertAlign w:val="subscript"/>
        </w:rPr>
        <w:t>slw</w:t>
      </w:r>
      <w:r>
        <w:t>V+l</w:t>
      </w:r>
      <w:r w:rsidRPr="000636DF">
        <w:rPr>
          <w:vertAlign w:val="subscript"/>
        </w:rPr>
        <w:t>slw</w:t>
      </w:r>
      <w:r>
        <w:t>L+s</w:t>
      </w:r>
      <w:r w:rsidRPr="000636DF">
        <w:rPr>
          <w:vertAlign w:val="subscript"/>
        </w:rPr>
        <w:t>slw</w:t>
      </w:r>
      <w:r>
        <w:t>S+a</w:t>
      </w:r>
      <w:r w:rsidRPr="000636DF">
        <w:rPr>
          <w:vertAlign w:val="subscript"/>
        </w:rPr>
        <w:t>slw</w:t>
      </w:r>
      <w:r>
        <w:t>A+b</w:t>
      </w:r>
      <w:r w:rsidRPr="000636DF">
        <w:rPr>
          <w:vertAlign w:val="subscript"/>
        </w:rPr>
        <w:t>slw</w:t>
      </w:r>
      <w:r>
        <w:t>B+c</w:t>
      </w:r>
    </w:p>
    <w:p w14:paraId="101DA4FB" w14:textId="77777777" w:rsidR="000636DF" w:rsidRDefault="000636DF" w:rsidP="000636DF">
      <w:pPr>
        <w:pStyle w:val="ListParagraph"/>
        <w:tabs>
          <w:tab w:val="left" w:pos="90"/>
        </w:tabs>
        <w:ind w:hanging="720"/>
      </w:pPr>
      <w:r>
        <w:t xml:space="preserve">For BPA, </w:t>
      </w:r>
      <w:bookmarkStart w:id="3" w:name="OLE_LINK3"/>
      <w:bookmarkStart w:id="4" w:name="OLE_LINK4"/>
      <w:r w:rsidR="006577D3">
        <w:t>LogK</w:t>
      </w:r>
      <w:r w:rsidR="006577D3" w:rsidRPr="000636DF">
        <w:rPr>
          <w:vertAlign w:val="subscript"/>
        </w:rPr>
        <w:t>islw</w:t>
      </w:r>
      <w:r w:rsidR="006577D3">
        <w:t>=1.99(1.86)+0.58(9.60)+(-1.62)(1.56)+(-1.93)(0.99)+(-4.15)(0.91)+0.55=1.6</w:t>
      </w:r>
    </w:p>
    <w:bookmarkEnd w:id="3"/>
    <w:bookmarkEnd w:id="4"/>
    <w:p w14:paraId="5C4EEEEC" w14:textId="77777777" w:rsidR="006577D3" w:rsidRDefault="002145BB" w:rsidP="006577D3">
      <w:pPr>
        <w:pStyle w:val="ListParagraph"/>
        <w:tabs>
          <w:tab w:val="left" w:pos="90"/>
        </w:tabs>
        <w:ind w:hanging="720"/>
      </w:pPr>
      <w:r>
        <w:t xml:space="preserve">For Naphthalene, </w:t>
      </w:r>
      <w:r w:rsidR="006577D3">
        <w:t>LogK</w:t>
      </w:r>
      <w:r w:rsidR="006577D3" w:rsidRPr="000636DF">
        <w:rPr>
          <w:vertAlign w:val="subscript"/>
        </w:rPr>
        <w:t>islw</w:t>
      </w:r>
      <w:r w:rsidR="006577D3">
        <w:t>=1.99(1.09)+0.58(5.16)+(-1.62)(0.92)+(-1.93)(0)+(-4.15)(0.2)+0.55=</w:t>
      </w:r>
      <w:r w:rsidR="00800C4C">
        <w:t>3.4</w:t>
      </w:r>
    </w:p>
    <w:p w14:paraId="5042A322" w14:textId="651EC6D9" w:rsidR="00E64172" w:rsidRPr="006F40FB" w:rsidRDefault="009C3918" w:rsidP="00E64172">
      <w:pPr>
        <w:rPr>
          <w:rStyle w:val="Emphasis"/>
          <w:rFonts w:eastAsia="SimSun"/>
          <w:i w:val="0"/>
          <w:iCs w:val="0"/>
          <w:color w:val="000000" w:themeColor="text1"/>
          <w:shd w:val="clear" w:color="auto" w:fill="FFFFFF"/>
        </w:rPr>
      </w:pPr>
      <w:r w:rsidRPr="006F40FB">
        <w:t xml:space="preserve">Table 16.2 is </w:t>
      </w:r>
      <w:r w:rsidRPr="006F40FB">
        <w:rPr>
          <w:color w:val="000000" w:themeColor="text1"/>
        </w:rPr>
        <w:t xml:space="preserve">for </w:t>
      </w:r>
      <w:r w:rsidR="003D2218" w:rsidRPr="006F40FB">
        <w:rPr>
          <w:color w:val="000000" w:themeColor="text1"/>
        </w:rPr>
        <w:t>37</w:t>
      </w:r>
      <w:r w:rsidR="00E64172" w:rsidRPr="006F40FB">
        <w:rPr>
          <w:color w:val="000000" w:themeColor="text1"/>
          <w:shd w:val="clear" w:color="auto" w:fill="FFFFFF"/>
        </w:rPr>
        <w:t>°</w:t>
      </w:r>
      <w:r w:rsidR="00E64172" w:rsidRPr="006F40FB">
        <w:rPr>
          <w:rStyle w:val="Emphasis"/>
          <w:i w:val="0"/>
          <w:iCs w:val="0"/>
          <w:color w:val="000000" w:themeColor="text1"/>
          <w:shd w:val="clear" w:color="auto" w:fill="FFFFFF"/>
        </w:rPr>
        <w:t>C, need to convert to 25</w:t>
      </w:r>
      <w:r w:rsidR="00E64172" w:rsidRPr="006F40FB">
        <w:rPr>
          <w:color w:val="000000" w:themeColor="text1"/>
          <w:shd w:val="clear" w:color="auto" w:fill="FFFFFF"/>
        </w:rPr>
        <w:t>°</w:t>
      </w:r>
      <w:r w:rsidR="00E64172" w:rsidRPr="006F40FB">
        <w:rPr>
          <w:rStyle w:val="Emphasis"/>
          <w:i w:val="0"/>
          <w:iCs w:val="0"/>
          <w:color w:val="000000" w:themeColor="text1"/>
          <w:shd w:val="clear" w:color="auto" w:fill="FFFFFF"/>
        </w:rPr>
        <w:t>C</w:t>
      </w:r>
      <w:r w:rsidR="009C668B" w:rsidRPr="006F40FB">
        <w:rPr>
          <w:rStyle w:val="Emphasis"/>
          <w:rFonts w:eastAsia="SimSun"/>
          <w:i w:val="0"/>
          <w:iCs w:val="0"/>
          <w:color w:val="000000" w:themeColor="text1"/>
          <w:shd w:val="clear" w:color="auto" w:fill="FFFFFF"/>
        </w:rPr>
        <w:t xml:space="preserve">. Assuming </w:t>
      </w:r>
      <m:oMath>
        <m:r>
          <w:rPr>
            <w:rStyle w:val="Emphasis"/>
            <w:rFonts w:ascii="Cambria Math" w:eastAsia="SimSun" w:hAnsi="Cambria Math"/>
            <w:color w:val="000000" w:themeColor="text1"/>
            <w:shd w:val="clear" w:color="auto" w:fill="FFFFFF"/>
          </w:rPr>
          <m:t>∆</m:t>
        </m:r>
        <m:r>
          <m:rPr>
            <m:sty m:val="p"/>
          </m:rPr>
          <w:rPr>
            <w:rStyle w:val="Emphasis"/>
            <w:rFonts w:ascii="Cambria Math" w:eastAsia="SimSun" w:hAnsi="Cambria Math"/>
            <w:color w:val="000000" w:themeColor="text1"/>
            <w:shd w:val="clear" w:color="auto" w:fill="FFFFFF"/>
          </w:rPr>
          <m:t>H=-25 kJ/mol</m:t>
        </m:r>
      </m:oMath>
    </w:p>
    <w:p w14:paraId="7EA37DDE" w14:textId="28B7BC84" w:rsidR="009C668B" w:rsidRPr="006F40FB" w:rsidRDefault="009C668B" w:rsidP="00E64172">
      <w:pPr>
        <w:rPr>
          <w:rStyle w:val="Emphasis"/>
          <w:rFonts w:eastAsia="SimSun"/>
          <w:i w:val="0"/>
          <w:iCs w:val="0"/>
          <w:color w:val="000000" w:themeColor="text1"/>
          <w:shd w:val="clear" w:color="auto" w:fill="FFFFFF"/>
        </w:rPr>
      </w:pPr>
      <m:oMathPara>
        <m:oMath>
          <m:r>
            <w:rPr>
              <w:rStyle w:val="Emphasis"/>
              <w:rFonts w:ascii="Cambria Math" w:eastAsia="SimSun" w:hAnsi="Cambria Math"/>
              <w:color w:val="000000" w:themeColor="text1"/>
              <w:shd w:val="clear" w:color="auto" w:fill="FFFFFF"/>
            </w:rPr>
            <m:t>ln</m:t>
          </m:r>
          <m:f>
            <m:fPr>
              <m:ctrlPr>
                <w:rPr>
                  <w:rStyle w:val="Emphasis"/>
                  <w:rFonts w:ascii="Cambria Math" w:eastAsia="SimSun" w:hAnsi="Cambria Math"/>
                  <w:i w:val="0"/>
                  <w:iCs w:val="0"/>
                  <w:color w:val="000000" w:themeColor="text1"/>
                  <w:shd w:val="clear" w:color="auto" w:fill="FFFFFF"/>
                </w:rPr>
              </m:ctrlPr>
            </m:fPr>
            <m:num>
              <m:sSub>
                <m:sSubPr>
                  <m:ctrlPr>
                    <w:rPr>
                      <w:rStyle w:val="Emphasis"/>
                      <w:rFonts w:ascii="Cambria Math" w:eastAsia="SimSun" w:hAnsi="Cambria Math"/>
                      <w:i w:val="0"/>
                      <w:iCs w:val="0"/>
                      <w:color w:val="000000" w:themeColor="text1"/>
                      <w:shd w:val="clear" w:color="auto" w:fill="FFFFFF"/>
                    </w:rPr>
                  </m:ctrlPr>
                </m:sSubPr>
                <m:e>
                  <m:r>
                    <w:rPr>
                      <w:rStyle w:val="Emphasis"/>
                      <w:rFonts w:ascii="Cambria Math" w:eastAsia="SimSun" w:hAnsi="Cambria Math"/>
                      <w:color w:val="000000" w:themeColor="text1"/>
                      <w:shd w:val="clear" w:color="auto" w:fill="FFFFFF"/>
                    </w:rPr>
                    <m:t>K</m:t>
                  </m:r>
                </m:e>
                <m:sub>
                  <m:r>
                    <m:rPr>
                      <m:sty m:val="p"/>
                    </m:rPr>
                    <w:rPr>
                      <w:rStyle w:val="Emphasis"/>
                      <w:rFonts w:ascii="Cambria Math" w:eastAsia="SimSun" w:hAnsi="Cambria Math"/>
                      <w:color w:val="000000" w:themeColor="text1"/>
                      <w:shd w:val="clear" w:color="auto" w:fill="FFFFFF"/>
                    </w:rPr>
                    <m:t>37</m:t>
                  </m:r>
                  <m:r>
                    <m:rPr>
                      <m:sty m:val="p"/>
                    </m:rPr>
                    <w:rPr>
                      <w:rFonts w:ascii="Cambria Math" w:hAnsi="Cambria Math"/>
                      <w:color w:val="000000" w:themeColor="text1"/>
                      <w:shd w:val="clear" w:color="auto" w:fill="FFFFFF"/>
                    </w:rPr>
                    <m:t>°</m:t>
                  </m:r>
                  <m:r>
                    <w:rPr>
                      <w:rStyle w:val="Emphasis"/>
                      <w:rFonts w:ascii="Cambria Math" w:hAnsi="Cambria Math"/>
                      <w:color w:val="000000" w:themeColor="text1"/>
                      <w:shd w:val="clear" w:color="auto" w:fill="FFFFFF"/>
                    </w:rPr>
                    <m:t>C</m:t>
                  </m:r>
                </m:sub>
              </m:sSub>
            </m:num>
            <m:den>
              <m:sSub>
                <m:sSubPr>
                  <m:ctrlPr>
                    <w:rPr>
                      <w:rStyle w:val="Emphasis"/>
                      <w:rFonts w:ascii="Cambria Math" w:eastAsia="SimSun" w:hAnsi="Cambria Math"/>
                      <w:i w:val="0"/>
                      <w:iCs w:val="0"/>
                      <w:color w:val="000000" w:themeColor="text1"/>
                      <w:shd w:val="clear" w:color="auto" w:fill="FFFFFF"/>
                    </w:rPr>
                  </m:ctrlPr>
                </m:sSubPr>
                <m:e>
                  <m:r>
                    <w:rPr>
                      <w:rStyle w:val="Emphasis"/>
                      <w:rFonts w:ascii="Cambria Math" w:eastAsia="SimSun" w:hAnsi="Cambria Math"/>
                      <w:color w:val="000000" w:themeColor="text1"/>
                      <w:shd w:val="clear" w:color="auto" w:fill="FFFFFF"/>
                    </w:rPr>
                    <m:t>K</m:t>
                  </m:r>
                </m:e>
                <m:sub>
                  <m:r>
                    <m:rPr>
                      <m:sty m:val="p"/>
                    </m:rPr>
                    <w:rPr>
                      <w:rStyle w:val="Emphasis"/>
                      <w:rFonts w:ascii="Cambria Math" w:eastAsia="SimSun" w:hAnsi="Cambria Math"/>
                      <w:color w:val="000000" w:themeColor="text1"/>
                      <w:shd w:val="clear" w:color="auto" w:fill="FFFFFF"/>
                    </w:rPr>
                    <m:t>25</m:t>
                  </m:r>
                  <m:r>
                    <m:rPr>
                      <m:sty m:val="p"/>
                    </m:rPr>
                    <w:rPr>
                      <w:rFonts w:ascii="Cambria Math" w:hAnsi="Cambria Math"/>
                      <w:color w:val="000000" w:themeColor="text1"/>
                      <w:shd w:val="clear" w:color="auto" w:fill="FFFFFF"/>
                    </w:rPr>
                    <m:t>°</m:t>
                  </m:r>
                  <m:r>
                    <w:rPr>
                      <w:rStyle w:val="Emphasis"/>
                      <w:rFonts w:ascii="Cambria Math" w:hAnsi="Cambria Math"/>
                      <w:color w:val="000000" w:themeColor="text1"/>
                      <w:shd w:val="clear" w:color="auto" w:fill="FFFFFF"/>
                    </w:rPr>
                    <m:t>C</m:t>
                  </m:r>
                </m:sub>
              </m:sSub>
            </m:den>
          </m:f>
          <m:r>
            <m:rPr>
              <m:sty m:val="p"/>
            </m:rPr>
            <w:rPr>
              <w:rStyle w:val="Emphasis"/>
              <w:rFonts w:ascii="Cambria Math" w:eastAsia="SimSun" w:hAnsi="Cambria Math"/>
              <w:color w:val="000000" w:themeColor="text1"/>
              <w:shd w:val="clear" w:color="auto" w:fill="FFFFFF"/>
            </w:rPr>
            <m:t>=-</m:t>
          </m:r>
          <m:f>
            <m:fPr>
              <m:ctrlPr>
                <w:rPr>
                  <w:rStyle w:val="Emphasis"/>
                  <w:rFonts w:ascii="Cambria Math" w:eastAsia="SimSun" w:hAnsi="Cambria Math"/>
                  <w:i w:val="0"/>
                  <w:iCs w:val="0"/>
                  <w:color w:val="000000" w:themeColor="text1"/>
                  <w:shd w:val="clear" w:color="auto" w:fill="FFFFFF"/>
                </w:rPr>
              </m:ctrlPr>
            </m:fPr>
            <m:num>
              <m:r>
                <w:rPr>
                  <w:rStyle w:val="Emphasis"/>
                  <w:rFonts w:ascii="Cambria Math" w:eastAsia="SimSun" w:hAnsi="Cambria Math"/>
                  <w:color w:val="000000" w:themeColor="text1"/>
                  <w:shd w:val="clear" w:color="auto" w:fill="FFFFFF"/>
                </w:rPr>
                <m:t>∆</m:t>
              </m:r>
              <m:r>
                <m:rPr>
                  <m:sty m:val="p"/>
                </m:rPr>
                <w:rPr>
                  <w:rStyle w:val="Emphasis"/>
                  <w:rFonts w:ascii="Cambria Math" w:eastAsia="SimSun" w:hAnsi="Cambria Math"/>
                  <w:color w:val="000000" w:themeColor="text1"/>
                  <w:shd w:val="clear" w:color="auto" w:fill="FFFFFF"/>
                </w:rPr>
                <m:t>H</m:t>
              </m:r>
            </m:num>
            <m:den>
              <m:r>
                <w:rPr>
                  <w:rStyle w:val="Emphasis"/>
                  <w:rFonts w:ascii="Cambria Math" w:eastAsia="SimSun" w:hAnsi="Cambria Math"/>
                  <w:color w:val="000000" w:themeColor="text1"/>
                  <w:shd w:val="clear" w:color="auto" w:fill="FFFFFF"/>
                </w:rPr>
                <m:t>R</m:t>
              </m:r>
            </m:den>
          </m:f>
          <m:d>
            <m:dPr>
              <m:ctrlPr>
                <w:rPr>
                  <w:rStyle w:val="Emphasis"/>
                  <w:rFonts w:ascii="Cambria Math" w:eastAsia="SimSun" w:hAnsi="Cambria Math"/>
                  <w:i w:val="0"/>
                  <w:iCs w:val="0"/>
                  <w:color w:val="000000" w:themeColor="text1"/>
                  <w:shd w:val="clear" w:color="auto" w:fill="FFFFFF"/>
                </w:rPr>
              </m:ctrlPr>
            </m:dPr>
            <m:e>
              <m:f>
                <m:fPr>
                  <m:ctrlPr>
                    <w:rPr>
                      <w:rStyle w:val="Emphasis"/>
                      <w:rFonts w:ascii="Cambria Math" w:eastAsia="SimSun" w:hAnsi="Cambria Math"/>
                      <w:i w:val="0"/>
                      <w:iCs w:val="0"/>
                      <w:color w:val="000000" w:themeColor="text1"/>
                      <w:shd w:val="clear" w:color="auto" w:fill="FFFFFF"/>
                    </w:rPr>
                  </m:ctrlPr>
                </m:fPr>
                <m:num>
                  <m:r>
                    <m:rPr>
                      <m:sty m:val="p"/>
                    </m:rPr>
                    <w:rPr>
                      <w:rStyle w:val="Emphasis"/>
                      <w:rFonts w:ascii="Cambria Math" w:eastAsia="SimSun" w:hAnsi="Cambria Math"/>
                      <w:color w:val="000000" w:themeColor="text1"/>
                      <w:shd w:val="clear" w:color="auto" w:fill="FFFFFF"/>
                    </w:rPr>
                    <m:t>1</m:t>
                  </m:r>
                </m:num>
                <m:den>
                  <m:r>
                    <m:rPr>
                      <m:sty m:val="p"/>
                    </m:rPr>
                    <w:rPr>
                      <w:rStyle w:val="Emphasis"/>
                      <w:rFonts w:ascii="Cambria Math" w:eastAsia="SimSun" w:hAnsi="Cambria Math"/>
                      <w:color w:val="000000" w:themeColor="text1"/>
                      <w:shd w:val="clear" w:color="auto" w:fill="FFFFFF"/>
                    </w:rPr>
                    <m:t>298</m:t>
                  </m:r>
                </m:den>
              </m:f>
              <m:r>
                <m:rPr>
                  <m:sty m:val="p"/>
                </m:rPr>
                <w:rPr>
                  <w:rStyle w:val="Emphasis"/>
                  <w:rFonts w:ascii="Cambria Math" w:eastAsia="SimSun" w:hAnsi="Cambria Math"/>
                  <w:color w:val="000000" w:themeColor="text1"/>
                  <w:shd w:val="clear" w:color="auto" w:fill="FFFFFF"/>
                </w:rPr>
                <m:t>-</m:t>
              </m:r>
              <m:f>
                <m:fPr>
                  <m:ctrlPr>
                    <w:rPr>
                      <w:rStyle w:val="Emphasis"/>
                      <w:rFonts w:ascii="Cambria Math" w:eastAsia="SimSun" w:hAnsi="Cambria Math"/>
                      <w:i w:val="0"/>
                      <w:iCs w:val="0"/>
                      <w:color w:val="000000" w:themeColor="text1"/>
                      <w:shd w:val="clear" w:color="auto" w:fill="FFFFFF"/>
                    </w:rPr>
                  </m:ctrlPr>
                </m:fPr>
                <m:num>
                  <m:r>
                    <m:rPr>
                      <m:sty m:val="p"/>
                    </m:rPr>
                    <w:rPr>
                      <w:rStyle w:val="Emphasis"/>
                      <w:rFonts w:ascii="Cambria Math" w:eastAsia="SimSun" w:hAnsi="Cambria Math"/>
                      <w:color w:val="000000" w:themeColor="text1"/>
                      <w:shd w:val="clear" w:color="auto" w:fill="FFFFFF"/>
                    </w:rPr>
                    <m:t>1</m:t>
                  </m:r>
                </m:num>
                <m:den>
                  <m:r>
                    <m:rPr>
                      <m:sty m:val="p"/>
                    </m:rPr>
                    <w:rPr>
                      <w:rStyle w:val="Emphasis"/>
                      <w:rFonts w:ascii="Cambria Math" w:eastAsia="SimSun" w:hAnsi="Cambria Math"/>
                      <w:color w:val="000000" w:themeColor="text1"/>
                      <w:shd w:val="clear" w:color="auto" w:fill="FFFFFF"/>
                    </w:rPr>
                    <m:t>310</m:t>
                  </m:r>
                </m:den>
              </m:f>
            </m:e>
          </m:d>
          <m:r>
            <m:rPr>
              <m:sty m:val="p"/>
            </m:rPr>
            <w:rPr>
              <w:rStyle w:val="Emphasis"/>
              <w:rFonts w:ascii="Cambria Math" w:eastAsia="SimSun" w:hAnsi="Cambria Math"/>
              <w:color w:val="000000" w:themeColor="text1"/>
              <w:shd w:val="clear" w:color="auto" w:fill="FFFFFF"/>
            </w:rPr>
            <m:t>=0.39</m:t>
          </m:r>
        </m:oMath>
      </m:oMathPara>
    </w:p>
    <w:p w14:paraId="31574A03" w14:textId="0DA934AF" w:rsidR="00E64172" w:rsidRPr="006F40FB" w:rsidRDefault="009C668B" w:rsidP="00E64172">
      <w:pPr>
        <w:rPr>
          <w:rFonts w:eastAsia="SimSun"/>
          <w:color w:val="000000" w:themeColor="text1"/>
        </w:rPr>
      </w:pPr>
      <w:r w:rsidRPr="006F40FB">
        <w:rPr>
          <w:rFonts w:eastAsia="SimSun"/>
          <w:color w:val="000000" w:themeColor="text1"/>
        </w:rPr>
        <w:t xml:space="preserve">Thus, for BPA: </w:t>
      </w:r>
      <m:oMath>
        <m:sSub>
          <m:sSubPr>
            <m:ctrlPr>
              <w:rPr>
                <w:rFonts w:ascii="Cambria Math" w:eastAsia="SimSun" w:hAnsi="Cambria Math"/>
                <w:i/>
                <w:lang w:eastAsia="en-US"/>
              </w:rPr>
            </m:ctrlPr>
          </m:sSubPr>
          <m:e>
            <m:r>
              <w:rPr>
                <w:rFonts w:ascii="Cambria Math" w:hAnsi="Cambria Math"/>
              </w:rPr>
              <m:t>K</m:t>
            </m:r>
          </m:e>
          <m:sub>
            <m:r>
              <w:rPr>
                <w:rFonts w:ascii="Cambria Math" w:hAnsi="Cambria Math"/>
              </w:rPr>
              <m:t>i tr w</m:t>
            </m:r>
          </m:sub>
        </m:sSub>
        <m:r>
          <w:rPr>
            <w:rFonts w:ascii="Cambria Math" w:eastAsia="SimSun" w:hAnsi="Cambria Math"/>
            <w:color w:val="000000" w:themeColor="text1"/>
          </w:rPr>
          <m:t>=</m:t>
        </m:r>
        <m:sSup>
          <m:sSupPr>
            <m:ctrlPr>
              <w:rPr>
                <w:rFonts w:ascii="Cambria Math" w:eastAsia="SimSun" w:hAnsi="Cambria Math"/>
                <w:i/>
                <w:color w:val="000000" w:themeColor="text1"/>
              </w:rPr>
            </m:ctrlPr>
          </m:sSupPr>
          <m:e>
            <m:r>
              <w:rPr>
                <w:rFonts w:ascii="Cambria Math" w:eastAsia="SimSun" w:hAnsi="Cambria Math"/>
                <w:color w:val="000000" w:themeColor="text1"/>
              </w:rPr>
              <m:t>10</m:t>
            </m:r>
          </m:e>
          <m:sup>
            <m:r>
              <w:rPr>
                <w:rFonts w:ascii="Cambria Math" w:eastAsia="SimSun" w:hAnsi="Cambria Math"/>
                <w:color w:val="000000" w:themeColor="text1"/>
              </w:rPr>
              <m:t>1.6</m:t>
            </m:r>
          </m:sup>
        </m:sSup>
        <m:r>
          <w:rPr>
            <w:rFonts w:ascii="Cambria Math" w:eastAsia="SimSun" w:hAnsi="Cambria Math"/>
            <w:color w:val="000000" w:themeColor="text1"/>
          </w:rPr>
          <m:t>×</m:t>
        </m:r>
        <m:sSup>
          <m:sSupPr>
            <m:ctrlPr>
              <w:rPr>
                <w:rFonts w:ascii="Cambria Math" w:eastAsia="SimSun" w:hAnsi="Cambria Math"/>
                <w:i/>
                <w:color w:val="000000" w:themeColor="text1"/>
              </w:rPr>
            </m:ctrlPr>
          </m:sSupPr>
          <m:e>
            <m:r>
              <w:rPr>
                <w:rFonts w:ascii="Cambria Math" w:eastAsia="SimSun" w:hAnsi="Cambria Math"/>
                <w:color w:val="000000" w:themeColor="text1"/>
              </w:rPr>
              <m:t>e</m:t>
            </m:r>
          </m:e>
          <m:sup>
            <m:r>
              <w:rPr>
                <w:rFonts w:ascii="Cambria Math" w:eastAsia="SimSun" w:hAnsi="Cambria Math"/>
                <w:color w:val="000000" w:themeColor="text1"/>
              </w:rPr>
              <m:t>0.39</m:t>
            </m:r>
          </m:sup>
        </m:sSup>
        <m:r>
          <w:rPr>
            <w:rFonts w:ascii="Cambria Math" w:eastAsia="SimSun" w:hAnsi="Cambria Math"/>
            <w:color w:val="000000" w:themeColor="text1"/>
          </w:rPr>
          <m:t>=58.8</m:t>
        </m:r>
      </m:oMath>
      <w:r w:rsidR="006F40FB" w:rsidRPr="006F40FB">
        <w:rPr>
          <w:rFonts w:eastAsia="SimSun"/>
          <w:color w:val="000000" w:themeColor="text1"/>
        </w:rPr>
        <w:t xml:space="preserve"> L/kg</w:t>
      </w:r>
    </w:p>
    <w:p w14:paraId="5B30C759" w14:textId="4AC07370" w:rsidR="00F54D8D" w:rsidRPr="006F40FB" w:rsidRDefault="00F54D8D" w:rsidP="006577D3">
      <w:pPr>
        <w:pStyle w:val="ListParagraph"/>
        <w:tabs>
          <w:tab w:val="left" w:pos="90"/>
        </w:tabs>
        <w:ind w:hanging="720"/>
      </w:pPr>
    </w:p>
    <w:p w14:paraId="54195FEF" w14:textId="771077B6" w:rsidR="006F40FB" w:rsidRDefault="006F40FB" w:rsidP="006577D3">
      <w:pPr>
        <w:pStyle w:val="ListParagraph"/>
        <w:tabs>
          <w:tab w:val="left" w:pos="90"/>
        </w:tabs>
        <w:ind w:hanging="720"/>
        <w:rPr>
          <w:color w:val="000000" w:themeColor="text1"/>
        </w:rPr>
      </w:pPr>
      <w:r w:rsidRPr="006F40FB">
        <w:t>For Naphthalene,</w:t>
      </w:r>
      <w:r w:rsidRPr="006F40FB">
        <w:rPr>
          <w:color w:val="000000" w:themeColor="text1"/>
        </w:rPr>
        <w:t xml:space="preserve"> </w:t>
      </w:r>
      <m:oMath>
        <m:sSub>
          <m:sSubPr>
            <m:ctrlPr>
              <w:rPr>
                <w:rFonts w:ascii="Cambria Math" w:hAnsi="Cambria Math"/>
                <w:i/>
              </w:rPr>
            </m:ctrlPr>
          </m:sSubPr>
          <m:e>
            <m:r>
              <w:rPr>
                <w:rFonts w:ascii="Cambria Math" w:hAnsi="Cambria Math"/>
              </w:rPr>
              <m:t>K</m:t>
            </m:r>
          </m:e>
          <m:sub>
            <m:r>
              <w:rPr>
                <w:rFonts w:ascii="Cambria Math" w:hAnsi="Cambria Math"/>
              </w:rPr>
              <m:t>i tr w</m:t>
            </m:r>
          </m:sub>
        </m:sSub>
        <m:r>
          <w:rPr>
            <w:rFonts w:ascii="Cambria Math" w:hAnsi="Cambria Math"/>
            <w:color w:val="000000" w:themeColor="text1"/>
          </w:rPr>
          <m:t>=</m:t>
        </m:r>
        <m:sSup>
          <m:sSupPr>
            <m:ctrlPr>
              <w:rPr>
                <w:rFonts w:ascii="Cambria Math" w:hAnsi="Cambria Math"/>
                <w:i/>
                <w:color w:val="000000" w:themeColor="text1"/>
                <w:lang w:eastAsia="zh-CN"/>
              </w:rPr>
            </m:ctrlPr>
          </m:sSupPr>
          <m:e>
            <m:r>
              <w:rPr>
                <w:rFonts w:ascii="Cambria Math" w:hAnsi="Cambria Math"/>
                <w:color w:val="000000" w:themeColor="text1"/>
              </w:rPr>
              <m:t>10</m:t>
            </m:r>
          </m:e>
          <m:sup>
            <m:r>
              <w:rPr>
                <w:rFonts w:ascii="Cambria Math" w:hAnsi="Cambria Math"/>
                <w:color w:val="000000" w:themeColor="text1"/>
              </w:rPr>
              <m:t>3.4</m:t>
            </m:r>
          </m:sup>
        </m:sSup>
        <m:r>
          <w:rPr>
            <w:rFonts w:ascii="Cambria Math" w:hAnsi="Cambria Math"/>
            <w:color w:val="000000" w:themeColor="text1"/>
          </w:rPr>
          <m:t>×</m:t>
        </m:r>
        <m:sSup>
          <m:sSupPr>
            <m:ctrlPr>
              <w:rPr>
                <w:rFonts w:ascii="Cambria Math" w:hAnsi="Cambria Math"/>
                <w:i/>
                <w:color w:val="000000" w:themeColor="text1"/>
                <w:lang w:eastAsia="zh-CN"/>
              </w:rPr>
            </m:ctrlPr>
          </m:sSupPr>
          <m:e>
            <m:r>
              <w:rPr>
                <w:rFonts w:ascii="Cambria Math" w:hAnsi="Cambria Math"/>
                <w:color w:val="000000" w:themeColor="text1"/>
              </w:rPr>
              <m:t>e</m:t>
            </m:r>
          </m:e>
          <m:sup>
            <m:r>
              <w:rPr>
                <w:rFonts w:ascii="Cambria Math" w:hAnsi="Cambria Math"/>
                <w:color w:val="000000" w:themeColor="text1"/>
              </w:rPr>
              <m:t>0.39</m:t>
            </m:r>
          </m:sup>
        </m:sSup>
        <m:r>
          <w:rPr>
            <w:rFonts w:ascii="Cambria Math" w:hAnsi="Cambria Math"/>
            <w:color w:val="000000" w:themeColor="text1"/>
          </w:rPr>
          <m:t>=3710</m:t>
        </m:r>
      </m:oMath>
      <w:r w:rsidRPr="006F40FB">
        <w:rPr>
          <w:color w:val="000000" w:themeColor="text1"/>
        </w:rPr>
        <w:t xml:space="preserve"> L/kg</w:t>
      </w:r>
    </w:p>
    <w:p w14:paraId="4DCD6D8A" w14:textId="77777777" w:rsidR="006F40FB" w:rsidRDefault="006F40FB" w:rsidP="006577D3">
      <w:pPr>
        <w:pStyle w:val="ListParagraph"/>
        <w:tabs>
          <w:tab w:val="left" w:pos="90"/>
        </w:tabs>
        <w:ind w:hanging="720"/>
      </w:pPr>
    </w:p>
    <w:p w14:paraId="795C8595" w14:textId="77777777" w:rsidR="00F54D8D" w:rsidRDefault="00F54D8D" w:rsidP="00F54D8D">
      <w:pPr>
        <w:pStyle w:val="ListParagraph"/>
        <w:tabs>
          <w:tab w:val="left" w:pos="90"/>
        </w:tabs>
        <w:ind w:left="0"/>
      </w:pPr>
      <w:r>
        <w:t xml:space="preserve">The two methods agree well for naphthalene. This makes sense because the training set used these types of aplolar compounds. Thus, a simple single parameter LFER works OK.  However, the </w:t>
      </w:r>
      <w:r w:rsidR="0095345F">
        <w:t xml:space="preserve">two methods do not agree for the </w:t>
      </w:r>
      <w:r>
        <w:t>more polar compound</w:t>
      </w:r>
      <w:r w:rsidR="0095345F">
        <w:t xml:space="preserve"> BPA</w:t>
      </w:r>
      <w:r>
        <w:t>.</w:t>
      </w:r>
      <w:r w:rsidR="0095345F">
        <w:t xml:space="preserve"> This is because the training set does not include compounds with polar groups like those found on BPA. So, even though the K</w:t>
      </w:r>
      <w:r w:rsidR="0095345F" w:rsidRPr="00130F83">
        <w:rPr>
          <w:vertAlign w:val="subscript"/>
        </w:rPr>
        <w:t>ow</w:t>
      </w:r>
      <w:r w:rsidR="0095345F">
        <w:t xml:space="preserve"> </w:t>
      </w:r>
      <w:r w:rsidR="00130F83">
        <w:t>values are</w:t>
      </w:r>
      <w:r w:rsidR="0095345F">
        <w:t xml:space="preserve"> similar for BPA and naphthalene, the single parameter LFER fails.</w:t>
      </w:r>
      <w:r w:rsidR="008B0257">
        <w:t xml:space="preserve"> The multi-parameter LFER is better for BPA.</w:t>
      </w:r>
    </w:p>
    <w:p w14:paraId="6D7DA6AD" w14:textId="77777777" w:rsidR="00B60074" w:rsidRDefault="00B60074" w:rsidP="00F54D8D">
      <w:pPr>
        <w:pStyle w:val="ListParagraph"/>
        <w:tabs>
          <w:tab w:val="left" w:pos="90"/>
        </w:tabs>
        <w:ind w:left="0"/>
      </w:pPr>
    </w:p>
    <w:p w14:paraId="08703D4D" w14:textId="4B89B563" w:rsidR="00B60074" w:rsidRDefault="003B3C4D" w:rsidP="00F54D8D">
      <w:pPr>
        <w:pStyle w:val="ListParagraph"/>
        <w:tabs>
          <w:tab w:val="left" w:pos="90"/>
        </w:tabs>
        <w:ind w:left="0"/>
      </w:pPr>
      <w:r>
        <w:t>b) need this</w:t>
      </w:r>
    </w:p>
    <w:p w14:paraId="7D007718" w14:textId="06DCA988" w:rsidR="00CD07F1" w:rsidRDefault="00CD07F1" w:rsidP="00F54D8D">
      <w:pPr>
        <w:pStyle w:val="ListParagraph"/>
        <w:tabs>
          <w:tab w:val="left" w:pos="90"/>
        </w:tabs>
        <w:ind w:left="0"/>
        <w:rPr>
          <w:color w:val="FF0000"/>
        </w:rPr>
      </w:pPr>
      <w:r>
        <w:rPr>
          <w:color w:val="FF0000"/>
        </w:rPr>
        <w:t>- 5 pt for good assumption</w:t>
      </w:r>
      <w:r w:rsidR="00B418CC">
        <w:rPr>
          <w:color w:val="FF0000"/>
        </w:rPr>
        <w:t xml:space="preserve"> </w:t>
      </w:r>
      <w:r>
        <w:rPr>
          <w:color w:val="FF0000"/>
        </w:rPr>
        <w:t>(lipid)</w:t>
      </w:r>
    </w:p>
    <w:p w14:paraId="368C14E7" w14:textId="4B3945B5" w:rsidR="00CD07F1" w:rsidRDefault="00CD07F1" w:rsidP="00F54D8D">
      <w:pPr>
        <w:pStyle w:val="ListParagraph"/>
        <w:tabs>
          <w:tab w:val="left" w:pos="90"/>
        </w:tabs>
        <w:ind w:left="0"/>
        <w:rPr>
          <w:color w:val="FF0000"/>
        </w:rPr>
      </w:pPr>
      <w:r>
        <w:rPr>
          <w:color w:val="FF0000"/>
        </w:rPr>
        <w:t>- 5 pt for calculation of Kdlip or correct reasoning</w:t>
      </w:r>
    </w:p>
    <w:p w14:paraId="6F340592" w14:textId="28B74569" w:rsidR="00CD07F1" w:rsidRPr="00CD07F1" w:rsidRDefault="00CD07F1" w:rsidP="00F54D8D">
      <w:pPr>
        <w:pStyle w:val="ListParagraph"/>
        <w:tabs>
          <w:tab w:val="left" w:pos="90"/>
        </w:tabs>
        <w:ind w:left="0"/>
        <w:rPr>
          <w:color w:val="FF0000"/>
        </w:rPr>
      </w:pPr>
      <w:r>
        <w:rPr>
          <w:color w:val="FF0000"/>
        </w:rPr>
        <w:t>- 5 pt for not good assumption</w:t>
      </w:r>
    </w:p>
    <w:p w14:paraId="45D734F6" w14:textId="20C3E138" w:rsidR="00AC28A6" w:rsidRDefault="00AC28A6" w:rsidP="00F54D8D">
      <w:pPr>
        <w:pStyle w:val="ListParagraph"/>
        <w:tabs>
          <w:tab w:val="left" w:pos="90"/>
        </w:tabs>
        <w:ind w:left="0"/>
      </w:pPr>
      <w:r>
        <w:t>For</w:t>
      </w:r>
      <w:r w:rsidR="009431F6">
        <w:t xml:space="preserve"> apolar and weakly polar compounds like</w:t>
      </w:r>
      <w:r>
        <w:t xml:space="preserve"> </w:t>
      </w:r>
      <w:r w:rsidR="009431F6">
        <w:t>naphthalene</w:t>
      </w:r>
      <w:r>
        <w:t xml:space="preserve">,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iow</m:t>
            </m:r>
          </m:sub>
        </m:sSub>
        <m:r>
          <w:rPr>
            <w:rFonts w:ascii="Cambria Math" w:hAnsi="Cambria Math"/>
          </w:rPr>
          <m:t>=3.4</m:t>
        </m:r>
      </m:oMath>
    </w:p>
    <w:p w14:paraId="54EC6F97" w14:textId="3ED95473" w:rsidR="002145BB" w:rsidRDefault="009431F6" w:rsidP="000636DF">
      <w:pPr>
        <w:pStyle w:val="ListParagraph"/>
        <w:tabs>
          <w:tab w:val="left" w:pos="90"/>
        </w:tabs>
        <w:ind w:hanging="720"/>
      </w:pPr>
      <w:r>
        <w:t>For apolar compounds</w:t>
      </w:r>
      <w:r w:rsidR="0011297A">
        <w:t xml:space="preserve"> in lipid</w:t>
      </w:r>
      <w:r>
        <w:t xml:space="preserve">: </w:t>
      </w:r>
      <w:r w:rsidR="00E43BAC">
        <w:t xml:space="preserve">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i lipw</m:t>
            </m:r>
          </m:sub>
        </m:sSub>
        <m:r>
          <w:rPr>
            <w:rFonts w:ascii="Cambria Math" w:hAnsi="Cambria Math"/>
          </w:rPr>
          <m:t>=0.91log</m:t>
        </m:r>
        <m:sSub>
          <m:sSubPr>
            <m:ctrlPr>
              <w:rPr>
                <w:rFonts w:ascii="Cambria Math" w:hAnsi="Cambria Math"/>
                <w:i/>
              </w:rPr>
            </m:ctrlPr>
          </m:sSubPr>
          <m:e>
            <m:r>
              <w:rPr>
                <w:rFonts w:ascii="Cambria Math" w:hAnsi="Cambria Math"/>
              </w:rPr>
              <m:t>K</m:t>
            </m:r>
          </m:e>
          <m:sub>
            <m:r>
              <w:rPr>
                <w:rFonts w:ascii="Cambria Math" w:hAnsi="Cambria Math"/>
              </w:rPr>
              <m:t>iow</m:t>
            </m:r>
          </m:sub>
        </m:sSub>
        <m:r>
          <w:rPr>
            <w:rFonts w:ascii="Cambria Math" w:hAnsi="Cambria Math"/>
          </w:rPr>
          <m:t>+0.50=3.59</m:t>
        </m:r>
      </m:oMath>
    </w:p>
    <w:p w14:paraId="0D81CBAD" w14:textId="7E088677" w:rsidR="000636DF" w:rsidRDefault="00B74C0A" w:rsidP="002C0E2B">
      <w:pPr>
        <w:pStyle w:val="ListParagraph"/>
        <w:tabs>
          <w:tab w:val="left" w:pos="90"/>
        </w:tabs>
        <w:ind w:hanging="720"/>
      </w:pPr>
      <m:oMathPara>
        <m:oMath>
          <m:sSub>
            <m:sSubPr>
              <m:ctrlPr>
                <w:rPr>
                  <w:rFonts w:ascii="Cambria Math" w:hAnsi="Cambria Math"/>
                  <w:i/>
                </w:rPr>
              </m:ctrlPr>
            </m:sSubPr>
            <m:e>
              <m:r>
                <w:rPr>
                  <w:rFonts w:ascii="Cambria Math" w:hAnsi="Cambria Math"/>
                </w:rPr>
                <m:t>K</m:t>
              </m:r>
            </m:e>
            <m:sub>
              <m:r>
                <w:rPr>
                  <w:rFonts w:ascii="Cambria Math" w:hAnsi="Cambria Math"/>
                </w:rPr>
                <m:t>i lipw</m:t>
              </m:r>
            </m:sub>
          </m:sSub>
          <m:r>
            <w:rPr>
              <w:rFonts w:ascii="Cambria Math" w:hAnsi="Cambria Math"/>
            </w:rPr>
            <m:t>=3.9×</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L/kg</m:t>
          </m:r>
        </m:oMath>
      </m:oMathPara>
    </w:p>
    <w:p w14:paraId="476F5AD4" w14:textId="4ABF3851" w:rsidR="002C0E2B" w:rsidRDefault="0011297A" w:rsidP="006B457B">
      <w:pPr>
        <w:pStyle w:val="ListParagraph"/>
        <w:tabs>
          <w:tab w:val="left" w:pos="90"/>
        </w:tabs>
        <w:ind w:hanging="720"/>
      </w:pPr>
      <w:r>
        <w:t xml:space="preserve">For proteins: </w:t>
      </w:r>
      <m:oMath>
        <m:r>
          <w:rPr>
            <w:rFonts w:ascii="Cambria Math" w:hAnsi="Cambria Math"/>
          </w:rPr>
          <m:t>log</m:t>
        </m:r>
        <m:sSub>
          <m:sSubPr>
            <m:ctrlPr>
              <w:rPr>
                <w:rFonts w:ascii="Cambria Math" w:hAnsi="Cambria Math"/>
                <w:i/>
              </w:rPr>
            </m:ctrlPr>
          </m:sSubPr>
          <m:e>
            <m:r>
              <w:rPr>
                <w:rFonts w:ascii="Cambria Math" w:hAnsi="Cambria Math"/>
              </w:rPr>
              <m:t>K</m:t>
            </m:r>
          </m:e>
          <m:sub>
            <m:r>
              <w:rPr>
                <w:rFonts w:ascii="Cambria Math" w:hAnsi="Cambria Math"/>
              </w:rPr>
              <m:t>i protein w</m:t>
            </m:r>
          </m:sub>
        </m:sSub>
        <m:r>
          <w:rPr>
            <w:rFonts w:ascii="Cambria Math" w:hAnsi="Cambria Math"/>
          </w:rPr>
          <m:t>=0.7</m:t>
        </m:r>
        <m:sSub>
          <m:sSubPr>
            <m:ctrlPr>
              <w:rPr>
                <w:rFonts w:ascii="Cambria Math" w:hAnsi="Cambria Math"/>
                <w:i/>
              </w:rPr>
            </m:ctrlPr>
          </m:sSubPr>
          <m:e>
            <m:r>
              <w:rPr>
                <w:rFonts w:ascii="Cambria Math" w:hAnsi="Cambria Math"/>
              </w:rPr>
              <m:t>K</m:t>
            </m:r>
          </m:e>
          <m:sub>
            <m:r>
              <w:rPr>
                <w:rFonts w:ascii="Cambria Math" w:hAnsi="Cambria Math"/>
              </w:rPr>
              <m:t>iow</m:t>
            </m:r>
          </m:sub>
        </m:sSub>
        <m:r>
          <w:rPr>
            <w:rFonts w:ascii="Cambria Math" w:hAnsi="Cambria Math"/>
          </w:rPr>
          <m:t>=2.38</m:t>
        </m:r>
      </m:oMath>
    </w:p>
    <w:p w14:paraId="24E05471" w14:textId="3BB7E46A" w:rsidR="004957C4" w:rsidRPr="004957C4" w:rsidRDefault="00B74C0A" w:rsidP="006B457B">
      <w:pPr>
        <w:pStyle w:val="ListParagraph"/>
        <w:tabs>
          <w:tab w:val="left" w:pos="90"/>
        </w:tabs>
        <w:ind w:hanging="720"/>
      </w:pPr>
      <m:oMathPara>
        <m:oMath>
          <m:sSub>
            <m:sSubPr>
              <m:ctrlPr>
                <w:rPr>
                  <w:rFonts w:ascii="Cambria Math" w:hAnsi="Cambria Math"/>
                  <w:i/>
                </w:rPr>
              </m:ctrlPr>
            </m:sSubPr>
            <m:e>
              <m:r>
                <w:rPr>
                  <w:rFonts w:ascii="Cambria Math" w:hAnsi="Cambria Math"/>
                </w:rPr>
                <m:t>K</m:t>
              </m:r>
            </m:e>
            <m:sub>
              <m:r>
                <w:rPr>
                  <w:rFonts w:ascii="Cambria Math" w:hAnsi="Cambria Math"/>
                </w:rPr>
                <m:t>i protein w</m:t>
              </m:r>
            </m:sub>
          </m:sSub>
          <m:r>
            <w:rPr>
              <w:rFonts w:ascii="Cambria Math" w:hAnsi="Cambria Math"/>
            </w:rPr>
            <m:t>=240</m:t>
          </m:r>
        </m:oMath>
      </m:oMathPara>
    </w:p>
    <w:p w14:paraId="18C28DA7" w14:textId="38EBD788" w:rsidR="004957C4" w:rsidRDefault="001909D9" w:rsidP="006B457B">
      <w:pPr>
        <w:pStyle w:val="ListParagraph"/>
        <w:tabs>
          <w:tab w:val="left" w:pos="90"/>
        </w:tabs>
        <w:ind w:hanging="720"/>
      </w:pPr>
      <w:r>
        <w:t xml:space="preserve">Since lipid takes 12.9% of dry weight: </w:t>
      </w:r>
    </w:p>
    <w:p w14:paraId="4AB84CA7" w14:textId="46F9ACA9" w:rsidR="001909D9" w:rsidRPr="004957C4" w:rsidRDefault="00B74C0A" w:rsidP="006B457B">
      <w:pPr>
        <w:pStyle w:val="ListParagraph"/>
        <w:tabs>
          <w:tab w:val="left" w:pos="90"/>
        </w:tabs>
        <w:ind w:hanging="720"/>
      </w:pPr>
      <m:oMathPara>
        <m:oMath>
          <m:sSub>
            <m:sSubPr>
              <m:ctrlPr>
                <w:rPr>
                  <w:rFonts w:ascii="Cambria Math" w:hAnsi="Cambria Math"/>
                  <w:i/>
                </w:rPr>
              </m:ctrlPr>
            </m:sSubPr>
            <m:e>
              <m:r>
                <w:rPr>
                  <w:rFonts w:ascii="Cambria Math" w:hAnsi="Cambria Math"/>
                </w:rPr>
                <m:t>K</m:t>
              </m:r>
            </m:e>
            <m:sub>
              <m:r>
                <w:rPr>
                  <w:rFonts w:ascii="Cambria Math" w:hAnsi="Cambria Math"/>
                </w:rPr>
                <m:t>d lip</m:t>
              </m:r>
            </m:sub>
          </m:sSub>
          <m:r>
            <w:rPr>
              <w:rFonts w:ascii="Cambria Math" w:hAnsi="Cambria Math"/>
            </w:rPr>
            <m:t>=0.129×3900=503.1 L/kg</m:t>
          </m:r>
        </m:oMath>
      </m:oMathPara>
    </w:p>
    <w:p w14:paraId="66FAB9D4" w14:textId="75D6BE3B" w:rsidR="004957C4" w:rsidRDefault="001909D9" w:rsidP="006B457B">
      <w:pPr>
        <w:pStyle w:val="ListParagraph"/>
        <w:tabs>
          <w:tab w:val="left" w:pos="90"/>
        </w:tabs>
        <w:ind w:hanging="720"/>
      </w:pPr>
      <w:r>
        <w:t>The K</w:t>
      </w:r>
      <w:r w:rsidRPr="0048611C">
        <w:rPr>
          <w:vertAlign w:val="subscript"/>
        </w:rPr>
        <w:t>d</w:t>
      </w:r>
      <w:r>
        <w:t xml:space="preserve"> from protein in: </w:t>
      </w:r>
    </w:p>
    <w:p w14:paraId="4A4CD731" w14:textId="58CCA01E" w:rsidR="001909D9" w:rsidRPr="001909D9" w:rsidRDefault="00B74C0A" w:rsidP="006B457B">
      <w:pPr>
        <w:pStyle w:val="ListParagraph"/>
        <w:tabs>
          <w:tab w:val="left" w:pos="90"/>
        </w:tabs>
        <w:ind w:hanging="720"/>
      </w:pPr>
      <m:oMathPara>
        <m:oMath>
          <m:sSub>
            <m:sSubPr>
              <m:ctrlPr>
                <w:rPr>
                  <w:rFonts w:ascii="Cambria Math" w:hAnsi="Cambria Math"/>
                  <w:i/>
                </w:rPr>
              </m:ctrlPr>
            </m:sSubPr>
            <m:e>
              <m:r>
                <w:rPr>
                  <w:rFonts w:ascii="Cambria Math" w:hAnsi="Cambria Math"/>
                </w:rPr>
                <m:t>K</m:t>
              </m:r>
            </m:e>
            <m:sub>
              <m:r>
                <w:rPr>
                  <w:rFonts w:ascii="Cambria Math" w:hAnsi="Cambria Math"/>
                </w:rPr>
                <m:t>d protein</m:t>
              </m:r>
            </m:sub>
          </m:sSub>
          <m:r>
            <w:rPr>
              <w:rFonts w:ascii="Cambria Math" w:hAnsi="Cambria Math"/>
            </w:rPr>
            <m:t>=0.602×240=144.5 L/kg</m:t>
          </m:r>
        </m:oMath>
      </m:oMathPara>
    </w:p>
    <w:p w14:paraId="3D2781A8" w14:textId="3353FC1E" w:rsidR="001909D9" w:rsidRDefault="001909D9" w:rsidP="004775DA">
      <w:pPr>
        <w:pStyle w:val="ListParagraph"/>
        <w:tabs>
          <w:tab w:val="left" w:pos="90"/>
        </w:tabs>
        <w:ind w:left="0"/>
        <w:rPr>
          <w:lang w:eastAsia="zh-CN"/>
        </w:rPr>
      </w:pPr>
      <w:r>
        <w:lastRenderedPageBreak/>
        <w:t>The K</w:t>
      </w:r>
      <w:r w:rsidRPr="0048611C">
        <w:rPr>
          <w:vertAlign w:val="subscript"/>
        </w:rPr>
        <w:t>d</w:t>
      </w:r>
      <w:r>
        <w:t xml:space="preserve"> from lipid is higher than protein, thus it is reasonable to assume </w:t>
      </w:r>
      <w:r w:rsidR="00532C6D">
        <w:t xml:space="preserve">naphthalene </w:t>
      </w:r>
      <w:r>
        <w:t xml:space="preserve">partitioned primarily to lipid. </w:t>
      </w:r>
      <w:r w:rsidR="006F40FB">
        <w:t xml:space="preserve">Also the Kd of lipid (503.1 L/kg) is close to the measured BAF (525 L/kg), which further confirmed this assumption. </w:t>
      </w:r>
    </w:p>
    <w:p w14:paraId="735DDA23" w14:textId="5F963E94" w:rsidR="001909D9" w:rsidRDefault="001909D9" w:rsidP="004775DA">
      <w:pPr>
        <w:pStyle w:val="ListParagraph"/>
        <w:tabs>
          <w:tab w:val="left" w:pos="90"/>
        </w:tabs>
        <w:ind w:left="0"/>
      </w:pPr>
    </w:p>
    <w:p w14:paraId="21EB8BE2" w14:textId="77777777" w:rsidR="00532C6D" w:rsidRDefault="00532C6D" w:rsidP="006B457B">
      <w:pPr>
        <w:pStyle w:val="ListParagraph"/>
        <w:tabs>
          <w:tab w:val="left" w:pos="90"/>
        </w:tabs>
        <w:ind w:hanging="720"/>
      </w:pPr>
    </w:p>
    <w:p w14:paraId="3D6FD964" w14:textId="2FB73663" w:rsidR="001909D9" w:rsidRDefault="001909D9" w:rsidP="004775DA">
      <w:pPr>
        <w:pStyle w:val="ListParagraph"/>
        <w:tabs>
          <w:tab w:val="left" w:pos="90"/>
        </w:tabs>
        <w:ind w:left="0"/>
      </w:pPr>
      <w:r>
        <w:t>For BPA, the partition coefficient to lipid is approximate</w:t>
      </w:r>
      <w:r w:rsidR="004775DA">
        <w:t>d by the</w:t>
      </w:r>
      <w:r>
        <w:t xml:space="preserve"> partition coefficient to triolein due to their similar structures: logK</w:t>
      </w:r>
      <w:r w:rsidRPr="000636DF">
        <w:rPr>
          <w:vertAlign w:val="subscript"/>
        </w:rPr>
        <w:t>i</w:t>
      </w:r>
      <w:r>
        <w:rPr>
          <w:vertAlign w:val="subscript"/>
        </w:rPr>
        <w:t xml:space="preserve"> tr</w:t>
      </w:r>
      <w:r w:rsidRPr="000636DF">
        <w:rPr>
          <w:vertAlign w:val="subscript"/>
        </w:rPr>
        <w:t>w</w:t>
      </w:r>
      <w:r>
        <w:t>=1.99(1.86)+0.58(9.60)+(-1.62)(1.56)+(-1.93)(0.99)+(-4.15)(0.91)+0.55=1.6</w:t>
      </w:r>
    </w:p>
    <w:p w14:paraId="27E398EF" w14:textId="755C9048" w:rsidR="001909D9" w:rsidRPr="0048611C" w:rsidRDefault="00B74C0A" w:rsidP="004775DA">
      <w:pPr>
        <w:pStyle w:val="ListParagraph"/>
        <w:tabs>
          <w:tab w:val="left" w:pos="90"/>
        </w:tabs>
        <w:ind w:left="0"/>
      </w:pPr>
      <m:oMathPara>
        <m:oMath>
          <m:sSub>
            <m:sSubPr>
              <m:ctrlPr>
                <w:rPr>
                  <w:rFonts w:ascii="Cambria Math" w:hAnsi="Cambria Math"/>
                  <w:i/>
                </w:rPr>
              </m:ctrlPr>
            </m:sSubPr>
            <m:e>
              <m:r>
                <w:rPr>
                  <w:rFonts w:ascii="Cambria Math" w:hAnsi="Cambria Math"/>
                </w:rPr>
                <m:t>K</m:t>
              </m:r>
            </m:e>
            <m:sub>
              <m:r>
                <w:rPr>
                  <w:rFonts w:ascii="Cambria Math" w:hAnsi="Cambria Math"/>
                </w:rPr>
                <m:t>i lipw</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 tr w</m:t>
              </m:r>
            </m:sub>
          </m:sSub>
          <m:r>
            <w:rPr>
              <w:rFonts w:ascii="Cambria Math" w:hAnsi="Cambria Math"/>
            </w:rPr>
            <m:t>=39.8</m:t>
          </m:r>
        </m:oMath>
      </m:oMathPara>
    </w:p>
    <w:p w14:paraId="7B17FE1B" w14:textId="4AA1E581" w:rsidR="0048611C" w:rsidRPr="0048611C" w:rsidRDefault="00B74C0A" w:rsidP="004775DA">
      <w:pPr>
        <w:pStyle w:val="ListParagraph"/>
        <w:tabs>
          <w:tab w:val="left" w:pos="90"/>
        </w:tabs>
        <w:ind w:left="0"/>
      </w:pPr>
      <m:oMathPara>
        <m:oMath>
          <m:sSub>
            <m:sSubPr>
              <m:ctrlPr>
                <w:rPr>
                  <w:rFonts w:ascii="Cambria Math" w:hAnsi="Cambria Math"/>
                  <w:i/>
                </w:rPr>
              </m:ctrlPr>
            </m:sSubPr>
            <m:e>
              <m:r>
                <w:rPr>
                  <w:rFonts w:ascii="Cambria Math" w:hAnsi="Cambria Math"/>
                </w:rPr>
                <m:t>K</m:t>
              </m:r>
            </m:e>
            <m:sub>
              <m:r>
                <w:rPr>
                  <w:rFonts w:ascii="Cambria Math" w:hAnsi="Cambria Math"/>
                </w:rPr>
                <m:t>d lip</m:t>
              </m:r>
            </m:sub>
          </m:sSub>
          <m:r>
            <w:rPr>
              <w:rFonts w:ascii="Cambria Math" w:hAnsi="Cambria Math"/>
            </w:rPr>
            <m:t>=0.129×39.8=5.13</m:t>
          </m:r>
        </m:oMath>
      </m:oMathPara>
    </w:p>
    <w:p w14:paraId="3FEE70AD" w14:textId="784DC730" w:rsidR="0048611C" w:rsidRDefault="006F40FB" w:rsidP="004775DA">
      <w:pPr>
        <w:pStyle w:val="ListParagraph"/>
        <w:tabs>
          <w:tab w:val="left" w:pos="90"/>
        </w:tabs>
        <w:ind w:left="0"/>
        <w:rPr>
          <w:lang w:eastAsia="zh-CN"/>
        </w:rPr>
      </w:pPr>
      <w:r>
        <w:rPr>
          <w:lang w:eastAsia="zh-CN"/>
        </w:rPr>
        <w:t xml:space="preserve">The affinity of bipolar BPA </w:t>
      </w:r>
      <w:r w:rsidR="004775DA">
        <w:rPr>
          <w:lang w:eastAsia="zh-CN"/>
        </w:rPr>
        <w:t>to lipid is much lower compared</w:t>
      </w:r>
      <w:r>
        <w:rPr>
          <w:lang w:eastAsia="zh-CN"/>
        </w:rPr>
        <w:t xml:space="preserve"> with apolar compounds like</w:t>
      </w:r>
      <w:r w:rsidR="00532C6D">
        <w:rPr>
          <w:lang w:eastAsia="zh-CN"/>
        </w:rPr>
        <w:t xml:space="preserve"> </w:t>
      </w:r>
      <w:r w:rsidR="00532C6D">
        <w:t>naphthalene</w:t>
      </w:r>
      <w:r>
        <w:rPr>
          <w:lang w:eastAsia="zh-CN"/>
        </w:rPr>
        <w:t>. Also</w:t>
      </w:r>
      <w:r w:rsidR="00532C6D">
        <w:rPr>
          <w:lang w:eastAsia="zh-CN"/>
        </w:rPr>
        <w:t>,</w:t>
      </w:r>
      <w:r>
        <w:rPr>
          <w:lang w:eastAsia="zh-CN"/>
        </w:rPr>
        <w:t xml:space="preserve"> the proteins and carbohydrates are abundant in bipolar groups like hydroxyl groups and amine groups, which </w:t>
      </w:r>
      <w:r w:rsidR="00532C6D">
        <w:rPr>
          <w:lang w:eastAsia="zh-CN"/>
        </w:rPr>
        <w:t xml:space="preserve">can interact strongly with BPA through H-bonding. So, the partition of BPA to protein and carbohydrates can be more important than lipid.  </w:t>
      </w:r>
    </w:p>
    <w:sectPr w:rsidR="0048611C">
      <w:headerReference w:type="default" r:id="rId7"/>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8BFA77" w14:textId="77777777" w:rsidR="00B74C0A" w:rsidRDefault="00B74C0A">
      <w:r>
        <w:separator/>
      </w:r>
    </w:p>
  </w:endnote>
  <w:endnote w:type="continuationSeparator" w:id="0">
    <w:p w14:paraId="325D220B" w14:textId="77777777" w:rsidR="00B74C0A" w:rsidRDefault="00B74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panose1 w:val="00000000000000000000"/>
    <w:charset w:val="00"/>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NewRomanPSM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01C8A5" w14:textId="77777777" w:rsidR="001C7D2E" w:rsidRDefault="001C7D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7B47FF" w14:textId="77777777" w:rsidR="001C7D2E" w:rsidRDefault="001C7D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813D2B" w14:textId="121F856E" w:rsidR="001C7D2E" w:rsidRDefault="001C7D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33A85">
      <w:rPr>
        <w:rStyle w:val="PageNumber"/>
        <w:noProof/>
      </w:rPr>
      <w:t>4</w:t>
    </w:r>
    <w:r>
      <w:rPr>
        <w:rStyle w:val="PageNumber"/>
      </w:rPr>
      <w:fldChar w:fldCharType="end"/>
    </w:r>
  </w:p>
  <w:p w14:paraId="6B146AB8" w14:textId="77777777" w:rsidR="001C7D2E" w:rsidRDefault="001C7D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2F8B9" w14:textId="77777777" w:rsidR="00B74C0A" w:rsidRDefault="00B74C0A">
      <w:r>
        <w:separator/>
      </w:r>
    </w:p>
  </w:footnote>
  <w:footnote w:type="continuationSeparator" w:id="0">
    <w:p w14:paraId="73E4E255" w14:textId="77777777" w:rsidR="00B74C0A" w:rsidRDefault="00B74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D2B31D" w14:textId="77777777" w:rsidR="001C7D2E" w:rsidRDefault="001C7D2E">
    <w:pPr>
      <w:pStyle w:val="Header"/>
    </w:pPr>
    <w:r>
      <w:t>1</w:t>
    </w:r>
    <w:r w:rsidR="00F65090">
      <w:t>2-725 S20</w:t>
    </w:r>
    <w:r>
      <w:tab/>
    </w:r>
    <w:r>
      <w:tab/>
      <w:t>Greg Lowry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B70B4"/>
    <w:multiLevelType w:val="hybridMultilevel"/>
    <w:tmpl w:val="59B289E4"/>
    <w:lvl w:ilvl="0" w:tplc="B6C6543E">
      <w:start w:val="2"/>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B194827"/>
    <w:multiLevelType w:val="hybridMultilevel"/>
    <w:tmpl w:val="8BDE68C4"/>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FE53ED0"/>
    <w:multiLevelType w:val="hybridMultilevel"/>
    <w:tmpl w:val="DAD253D6"/>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2857D0F"/>
    <w:multiLevelType w:val="hybridMultilevel"/>
    <w:tmpl w:val="02AE39B0"/>
    <w:lvl w:ilvl="0" w:tplc="7376E780">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19F5689"/>
    <w:multiLevelType w:val="hybridMultilevel"/>
    <w:tmpl w:val="5BE4984C"/>
    <w:lvl w:ilvl="0" w:tplc="4C70C76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2506BF4"/>
    <w:multiLevelType w:val="hybridMultilevel"/>
    <w:tmpl w:val="313E9B6E"/>
    <w:lvl w:ilvl="0" w:tplc="4BE642E2">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58C7E08"/>
    <w:multiLevelType w:val="hybridMultilevel"/>
    <w:tmpl w:val="BE16DE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2D14A0"/>
    <w:multiLevelType w:val="hybridMultilevel"/>
    <w:tmpl w:val="CDB2B9F4"/>
    <w:lvl w:ilvl="0" w:tplc="57F0163E">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19063C3"/>
    <w:multiLevelType w:val="hybridMultilevel"/>
    <w:tmpl w:val="FAF8BC88"/>
    <w:lvl w:ilvl="0" w:tplc="D7DE14FA">
      <w:start w:val="3"/>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420926CB"/>
    <w:multiLevelType w:val="hybridMultilevel"/>
    <w:tmpl w:val="6E6E109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8C15B77"/>
    <w:multiLevelType w:val="hybridMultilevel"/>
    <w:tmpl w:val="500AF74A"/>
    <w:lvl w:ilvl="0" w:tplc="771E42F6">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4C673E6D"/>
    <w:multiLevelType w:val="hybridMultilevel"/>
    <w:tmpl w:val="334AE5CC"/>
    <w:lvl w:ilvl="0" w:tplc="0D420514">
      <w:start w:val="1"/>
      <w:numFmt w:val="decimal"/>
      <w:lvlText w:val="%1."/>
      <w:lvlJc w:val="left"/>
      <w:pPr>
        <w:ind w:left="990" w:hanging="6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2E6B61"/>
    <w:multiLevelType w:val="hybridMultilevel"/>
    <w:tmpl w:val="65B06DC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9656214"/>
    <w:multiLevelType w:val="hybridMultilevel"/>
    <w:tmpl w:val="93B62CA4"/>
    <w:lvl w:ilvl="0" w:tplc="A72A7E64">
      <w:start w:val="5"/>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4"/>
  </w:num>
  <w:num w:numId="2">
    <w:abstractNumId w:val="0"/>
  </w:num>
  <w:num w:numId="3">
    <w:abstractNumId w:val="10"/>
  </w:num>
  <w:num w:numId="4">
    <w:abstractNumId w:val="6"/>
  </w:num>
  <w:num w:numId="5">
    <w:abstractNumId w:val="8"/>
  </w:num>
  <w:num w:numId="6">
    <w:abstractNumId w:val="5"/>
  </w:num>
  <w:num w:numId="7">
    <w:abstractNumId w:val="7"/>
  </w:num>
  <w:num w:numId="8">
    <w:abstractNumId w:val="1"/>
  </w:num>
  <w:num w:numId="9">
    <w:abstractNumId w:val="9"/>
  </w:num>
  <w:num w:numId="10">
    <w:abstractNumId w:val="2"/>
  </w:num>
  <w:num w:numId="11">
    <w:abstractNumId w:val="12"/>
  </w:num>
  <w:num w:numId="12">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301"/>
    <w:rsid w:val="000028F7"/>
    <w:rsid w:val="0001534D"/>
    <w:rsid w:val="00034581"/>
    <w:rsid w:val="00042DE7"/>
    <w:rsid w:val="0004300B"/>
    <w:rsid w:val="00043F53"/>
    <w:rsid w:val="00055535"/>
    <w:rsid w:val="000636DF"/>
    <w:rsid w:val="000826EE"/>
    <w:rsid w:val="000B6AED"/>
    <w:rsid w:val="000D3339"/>
    <w:rsid w:val="000E0006"/>
    <w:rsid w:val="00102C8B"/>
    <w:rsid w:val="0011297A"/>
    <w:rsid w:val="00115E9D"/>
    <w:rsid w:val="001254FE"/>
    <w:rsid w:val="00130F83"/>
    <w:rsid w:val="001313D6"/>
    <w:rsid w:val="001909D9"/>
    <w:rsid w:val="001C7D2E"/>
    <w:rsid w:val="001F4F2B"/>
    <w:rsid w:val="00203D6A"/>
    <w:rsid w:val="002145BB"/>
    <w:rsid w:val="00217793"/>
    <w:rsid w:val="00226031"/>
    <w:rsid w:val="00236A17"/>
    <w:rsid w:val="00257F62"/>
    <w:rsid w:val="002734CE"/>
    <w:rsid w:val="00281085"/>
    <w:rsid w:val="002821DF"/>
    <w:rsid w:val="002846D2"/>
    <w:rsid w:val="00291E1D"/>
    <w:rsid w:val="002A354F"/>
    <w:rsid w:val="002B08E2"/>
    <w:rsid w:val="002C0E2B"/>
    <w:rsid w:val="002F0589"/>
    <w:rsid w:val="00311932"/>
    <w:rsid w:val="00314EB2"/>
    <w:rsid w:val="00332F3C"/>
    <w:rsid w:val="003378A9"/>
    <w:rsid w:val="003411CA"/>
    <w:rsid w:val="00354A92"/>
    <w:rsid w:val="00375145"/>
    <w:rsid w:val="003B26E0"/>
    <w:rsid w:val="003B3C4D"/>
    <w:rsid w:val="003C3DE7"/>
    <w:rsid w:val="003D2218"/>
    <w:rsid w:val="003F29A1"/>
    <w:rsid w:val="003F62E2"/>
    <w:rsid w:val="003F72BF"/>
    <w:rsid w:val="00426EBE"/>
    <w:rsid w:val="00441703"/>
    <w:rsid w:val="0047728C"/>
    <w:rsid w:val="004775DA"/>
    <w:rsid w:val="0048611C"/>
    <w:rsid w:val="004957C4"/>
    <w:rsid w:val="004A4177"/>
    <w:rsid w:val="004A5416"/>
    <w:rsid w:val="004C1440"/>
    <w:rsid w:val="004C4FD6"/>
    <w:rsid w:val="00503E2A"/>
    <w:rsid w:val="00511192"/>
    <w:rsid w:val="00522C8D"/>
    <w:rsid w:val="0053081D"/>
    <w:rsid w:val="00532C6D"/>
    <w:rsid w:val="00535F16"/>
    <w:rsid w:val="00555F95"/>
    <w:rsid w:val="00560D1C"/>
    <w:rsid w:val="0056159B"/>
    <w:rsid w:val="005647BC"/>
    <w:rsid w:val="0058566E"/>
    <w:rsid w:val="005C1FD9"/>
    <w:rsid w:val="005C2886"/>
    <w:rsid w:val="005D1C81"/>
    <w:rsid w:val="005F5500"/>
    <w:rsid w:val="00605EA8"/>
    <w:rsid w:val="00613F2C"/>
    <w:rsid w:val="00645B60"/>
    <w:rsid w:val="006577D3"/>
    <w:rsid w:val="00690F89"/>
    <w:rsid w:val="00694359"/>
    <w:rsid w:val="006A0F0E"/>
    <w:rsid w:val="006B457B"/>
    <w:rsid w:val="006D6486"/>
    <w:rsid w:val="006E02A3"/>
    <w:rsid w:val="006E4898"/>
    <w:rsid w:val="006F40FB"/>
    <w:rsid w:val="007134CE"/>
    <w:rsid w:val="007571CE"/>
    <w:rsid w:val="007616D6"/>
    <w:rsid w:val="00766CB4"/>
    <w:rsid w:val="00785F99"/>
    <w:rsid w:val="007C10A9"/>
    <w:rsid w:val="007F007D"/>
    <w:rsid w:val="00800C4C"/>
    <w:rsid w:val="00872198"/>
    <w:rsid w:val="00875CC2"/>
    <w:rsid w:val="008B0257"/>
    <w:rsid w:val="008C1612"/>
    <w:rsid w:val="008C4301"/>
    <w:rsid w:val="008C6126"/>
    <w:rsid w:val="008C7D97"/>
    <w:rsid w:val="008D427E"/>
    <w:rsid w:val="008D5447"/>
    <w:rsid w:val="009431F6"/>
    <w:rsid w:val="00945565"/>
    <w:rsid w:val="0095345F"/>
    <w:rsid w:val="0095658A"/>
    <w:rsid w:val="009862D4"/>
    <w:rsid w:val="009A214E"/>
    <w:rsid w:val="009A5F01"/>
    <w:rsid w:val="009C3918"/>
    <w:rsid w:val="009C668B"/>
    <w:rsid w:val="009D0DA2"/>
    <w:rsid w:val="009E5320"/>
    <w:rsid w:val="00A547C7"/>
    <w:rsid w:val="00A6517D"/>
    <w:rsid w:val="00A97896"/>
    <w:rsid w:val="00AB7283"/>
    <w:rsid w:val="00AC28A6"/>
    <w:rsid w:val="00B32B2B"/>
    <w:rsid w:val="00B33A85"/>
    <w:rsid w:val="00B418CC"/>
    <w:rsid w:val="00B60074"/>
    <w:rsid w:val="00B666C1"/>
    <w:rsid w:val="00B706EF"/>
    <w:rsid w:val="00B74C0A"/>
    <w:rsid w:val="00BB3868"/>
    <w:rsid w:val="00BE7A68"/>
    <w:rsid w:val="00C14271"/>
    <w:rsid w:val="00C16E3B"/>
    <w:rsid w:val="00C2351A"/>
    <w:rsid w:val="00C26491"/>
    <w:rsid w:val="00C91B26"/>
    <w:rsid w:val="00CA17C6"/>
    <w:rsid w:val="00CA5172"/>
    <w:rsid w:val="00CA6336"/>
    <w:rsid w:val="00CA6D9B"/>
    <w:rsid w:val="00CA6DB8"/>
    <w:rsid w:val="00CB5141"/>
    <w:rsid w:val="00CD024F"/>
    <w:rsid w:val="00CD07F1"/>
    <w:rsid w:val="00CE3EB7"/>
    <w:rsid w:val="00D01EE7"/>
    <w:rsid w:val="00D0667D"/>
    <w:rsid w:val="00D51FA6"/>
    <w:rsid w:val="00D834F0"/>
    <w:rsid w:val="00DA6E09"/>
    <w:rsid w:val="00DB1CF8"/>
    <w:rsid w:val="00DC11F2"/>
    <w:rsid w:val="00DD2E52"/>
    <w:rsid w:val="00DD5854"/>
    <w:rsid w:val="00E22E00"/>
    <w:rsid w:val="00E23DDF"/>
    <w:rsid w:val="00E4044C"/>
    <w:rsid w:val="00E43BAC"/>
    <w:rsid w:val="00E44199"/>
    <w:rsid w:val="00E55E6A"/>
    <w:rsid w:val="00E64172"/>
    <w:rsid w:val="00E775D6"/>
    <w:rsid w:val="00EB3772"/>
    <w:rsid w:val="00ED5CF4"/>
    <w:rsid w:val="00EF1862"/>
    <w:rsid w:val="00F341A6"/>
    <w:rsid w:val="00F35272"/>
    <w:rsid w:val="00F50A2B"/>
    <w:rsid w:val="00F54D8D"/>
    <w:rsid w:val="00F5565D"/>
    <w:rsid w:val="00F6137E"/>
    <w:rsid w:val="00F65090"/>
    <w:rsid w:val="00F71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57F11"/>
  <w15:docId w15:val="{377EAE5E-AD6D-4920-B7BC-6744B78A2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4172"/>
    <w:rPr>
      <w:rFonts w:eastAsia="Times New Roman"/>
      <w:sz w:val="24"/>
      <w:szCs w:val="24"/>
      <w:lang w:eastAsia="zh-CN"/>
    </w:rPr>
  </w:style>
  <w:style w:type="paragraph" w:styleId="Heading1">
    <w:name w:val="heading 1"/>
    <w:basedOn w:val="Normal"/>
    <w:next w:val="Normal"/>
    <w:qFormat/>
    <w:rsid w:val="007F007D"/>
    <w:pPr>
      <w:keepNext/>
      <w:jc w:val="center"/>
      <w:outlineLvl w:val="0"/>
    </w:pPr>
    <w:rPr>
      <w:rFonts w:ascii="Times" w:eastAsia="SimSun" w:hAnsi="Times"/>
      <w:b/>
      <w:bCs/>
      <w:position w:val="-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360" w:hanging="360"/>
    </w:pPr>
    <w:rPr>
      <w:rFonts w:eastAsia="SimSun"/>
      <w:lang w:eastAsia="en-US"/>
    </w:rPr>
  </w:style>
  <w:style w:type="paragraph" w:styleId="BodyTextIndent2">
    <w:name w:val="Body Text Indent 2"/>
    <w:basedOn w:val="Normal"/>
    <w:pPr>
      <w:ind w:left="720" w:hanging="720"/>
    </w:pPr>
    <w:rPr>
      <w:rFonts w:eastAsia="SimSun"/>
      <w:lang w:eastAsia="en-US"/>
    </w:rPr>
  </w:style>
  <w:style w:type="paragraph" w:styleId="BodyTextIndent3">
    <w:name w:val="Body Text Indent 3"/>
    <w:basedOn w:val="Normal"/>
    <w:pPr>
      <w:ind w:left="1440" w:hanging="720"/>
    </w:pPr>
    <w:rPr>
      <w:rFonts w:eastAsia="SimSun"/>
      <w:lang w:eastAsia="en-US"/>
    </w:rPr>
  </w:style>
  <w:style w:type="paragraph" w:styleId="Title">
    <w:name w:val="Title"/>
    <w:basedOn w:val="Normal"/>
    <w:qFormat/>
    <w:pPr>
      <w:jc w:val="center"/>
    </w:pPr>
    <w:rPr>
      <w:rFonts w:eastAsia="SimSun"/>
      <w:b/>
      <w:bCs/>
      <w:sz w:val="28"/>
      <w:lang w:eastAsia="en-US"/>
    </w:rPr>
  </w:style>
  <w:style w:type="paragraph" w:styleId="Footer">
    <w:name w:val="footer"/>
    <w:basedOn w:val="Normal"/>
    <w:pPr>
      <w:tabs>
        <w:tab w:val="center" w:pos="4320"/>
        <w:tab w:val="right" w:pos="8640"/>
      </w:tabs>
    </w:pPr>
    <w:rPr>
      <w:rFonts w:eastAsia="SimSun"/>
      <w:lang w:eastAsia="en-US"/>
    </w:rPr>
  </w:style>
  <w:style w:type="character" w:styleId="PageNumber">
    <w:name w:val="page number"/>
    <w:basedOn w:val="DefaultParagraphFont"/>
  </w:style>
  <w:style w:type="paragraph" w:styleId="Header">
    <w:name w:val="header"/>
    <w:basedOn w:val="Normal"/>
    <w:rsid w:val="00E4044C"/>
    <w:pPr>
      <w:tabs>
        <w:tab w:val="center" w:pos="4320"/>
        <w:tab w:val="right" w:pos="8640"/>
      </w:tabs>
    </w:pPr>
    <w:rPr>
      <w:rFonts w:eastAsia="SimSun"/>
      <w:lang w:eastAsia="en-US"/>
    </w:rPr>
  </w:style>
  <w:style w:type="paragraph" w:styleId="BalloonText">
    <w:name w:val="Balloon Text"/>
    <w:basedOn w:val="Normal"/>
    <w:link w:val="BalloonTextChar"/>
    <w:rsid w:val="00034581"/>
    <w:rPr>
      <w:rFonts w:ascii="Tahoma" w:eastAsia="SimSun" w:hAnsi="Tahoma" w:cs="Tahoma"/>
      <w:sz w:val="16"/>
      <w:szCs w:val="16"/>
      <w:lang w:eastAsia="en-US"/>
    </w:rPr>
  </w:style>
  <w:style w:type="character" w:customStyle="1" w:styleId="BalloonTextChar">
    <w:name w:val="Balloon Text Char"/>
    <w:basedOn w:val="DefaultParagraphFont"/>
    <w:link w:val="BalloonText"/>
    <w:rsid w:val="00034581"/>
    <w:rPr>
      <w:rFonts w:ascii="Tahoma" w:hAnsi="Tahoma" w:cs="Tahoma"/>
      <w:sz w:val="16"/>
      <w:szCs w:val="16"/>
    </w:rPr>
  </w:style>
  <w:style w:type="character" w:customStyle="1" w:styleId="BodyTextIndentChar">
    <w:name w:val="Body Text Indent Char"/>
    <w:basedOn w:val="DefaultParagraphFont"/>
    <w:link w:val="BodyTextIndent"/>
    <w:rsid w:val="005C1FD9"/>
    <w:rPr>
      <w:sz w:val="24"/>
      <w:szCs w:val="24"/>
    </w:rPr>
  </w:style>
  <w:style w:type="paragraph" w:styleId="ListParagraph">
    <w:name w:val="List Paragraph"/>
    <w:basedOn w:val="Normal"/>
    <w:uiPriority w:val="34"/>
    <w:qFormat/>
    <w:rsid w:val="000B6AED"/>
    <w:pPr>
      <w:ind w:left="720"/>
      <w:contextualSpacing/>
    </w:pPr>
    <w:rPr>
      <w:rFonts w:eastAsia="SimSun"/>
      <w:lang w:eastAsia="en-US"/>
    </w:rPr>
  </w:style>
  <w:style w:type="character" w:styleId="CommentReference">
    <w:name w:val="annotation reference"/>
    <w:basedOn w:val="DefaultParagraphFont"/>
    <w:semiHidden/>
    <w:unhideWhenUsed/>
    <w:rsid w:val="003B3C4D"/>
    <w:rPr>
      <w:sz w:val="16"/>
      <w:szCs w:val="16"/>
    </w:rPr>
  </w:style>
  <w:style w:type="paragraph" w:styleId="CommentText">
    <w:name w:val="annotation text"/>
    <w:basedOn w:val="Normal"/>
    <w:link w:val="CommentTextChar"/>
    <w:semiHidden/>
    <w:unhideWhenUsed/>
    <w:rsid w:val="003B3C4D"/>
    <w:rPr>
      <w:rFonts w:eastAsia="SimSun"/>
      <w:sz w:val="20"/>
      <w:szCs w:val="20"/>
      <w:lang w:eastAsia="en-US"/>
    </w:rPr>
  </w:style>
  <w:style w:type="character" w:customStyle="1" w:styleId="CommentTextChar">
    <w:name w:val="Comment Text Char"/>
    <w:basedOn w:val="DefaultParagraphFont"/>
    <w:link w:val="CommentText"/>
    <w:semiHidden/>
    <w:rsid w:val="003B3C4D"/>
  </w:style>
  <w:style w:type="paragraph" w:styleId="CommentSubject">
    <w:name w:val="annotation subject"/>
    <w:basedOn w:val="CommentText"/>
    <w:next w:val="CommentText"/>
    <w:link w:val="CommentSubjectChar"/>
    <w:semiHidden/>
    <w:unhideWhenUsed/>
    <w:rsid w:val="003B3C4D"/>
    <w:rPr>
      <w:b/>
      <w:bCs/>
    </w:rPr>
  </w:style>
  <w:style w:type="character" w:customStyle="1" w:styleId="CommentSubjectChar">
    <w:name w:val="Comment Subject Char"/>
    <w:basedOn w:val="CommentTextChar"/>
    <w:link w:val="CommentSubject"/>
    <w:semiHidden/>
    <w:rsid w:val="003B3C4D"/>
    <w:rPr>
      <w:b/>
      <w:bCs/>
    </w:rPr>
  </w:style>
  <w:style w:type="character" w:styleId="PlaceholderText">
    <w:name w:val="Placeholder Text"/>
    <w:basedOn w:val="DefaultParagraphFont"/>
    <w:uiPriority w:val="99"/>
    <w:semiHidden/>
    <w:rsid w:val="00AC28A6"/>
    <w:rPr>
      <w:color w:val="808080"/>
    </w:rPr>
  </w:style>
  <w:style w:type="character" w:styleId="Emphasis">
    <w:name w:val="Emphasis"/>
    <w:basedOn w:val="DefaultParagraphFont"/>
    <w:uiPriority w:val="20"/>
    <w:qFormat/>
    <w:rsid w:val="00E64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02315">
      <w:bodyDiv w:val="1"/>
      <w:marLeft w:val="0"/>
      <w:marRight w:val="0"/>
      <w:marTop w:val="0"/>
      <w:marBottom w:val="0"/>
      <w:divBdr>
        <w:top w:val="none" w:sz="0" w:space="0" w:color="auto"/>
        <w:left w:val="none" w:sz="0" w:space="0" w:color="auto"/>
        <w:bottom w:val="none" w:sz="0" w:space="0" w:color="auto"/>
        <w:right w:val="none" w:sz="0" w:space="0" w:color="auto"/>
      </w:divBdr>
    </w:div>
    <w:div w:id="800419894">
      <w:bodyDiv w:val="1"/>
      <w:marLeft w:val="0"/>
      <w:marRight w:val="0"/>
      <w:marTop w:val="0"/>
      <w:marBottom w:val="0"/>
      <w:divBdr>
        <w:top w:val="none" w:sz="0" w:space="0" w:color="auto"/>
        <w:left w:val="none" w:sz="0" w:space="0" w:color="auto"/>
        <w:bottom w:val="none" w:sz="0" w:space="0" w:color="auto"/>
        <w:right w:val="none" w:sz="0" w:space="0" w:color="auto"/>
      </w:divBdr>
    </w:div>
    <w:div w:id="1210872748">
      <w:bodyDiv w:val="1"/>
      <w:marLeft w:val="0"/>
      <w:marRight w:val="0"/>
      <w:marTop w:val="0"/>
      <w:marBottom w:val="0"/>
      <w:divBdr>
        <w:top w:val="none" w:sz="0" w:space="0" w:color="auto"/>
        <w:left w:val="none" w:sz="0" w:space="0" w:color="auto"/>
        <w:bottom w:val="none" w:sz="0" w:space="0" w:color="auto"/>
        <w:right w:val="none" w:sz="0" w:space="0" w:color="auto"/>
      </w:divBdr>
    </w:div>
    <w:div w:id="197586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1499</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This is the web page of the RQ table:</vt:lpstr>
    </vt:vector>
  </TitlesOfParts>
  <Company>Carnegie Mellon University</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web page of the RQ table:</dc:title>
  <dc:creator>Civil and Environmental Engineering</dc:creator>
  <cp:lastModifiedBy>Gregory Victor Lowry</cp:lastModifiedBy>
  <cp:revision>2</cp:revision>
  <cp:lastPrinted>2002-08-29T16:46:00Z</cp:lastPrinted>
  <dcterms:created xsi:type="dcterms:W3CDTF">2020-03-28T17:44:00Z</dcterms:created>
  <dcterms:modified xsi:type="dcterms:W3CDTF">2020-03-28T17:44:00Z</dcterms:modified>
</cp:coreProperties>
</file>