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2F6FED"/>
          <w:sz w:val="32"/>
        </w:rPr>
        <w:t>敏宝知识库 · 付费文献下载清单</w:t>
      </w:r>
    </w:p>
    <w:p>
      <w:r>
        <w:rPr>
          <w:rFonts w:ascii="PingFang SC" w:hAnsi="PingFang SC" w:eastAsia="PingFang SC"/>
          <w:b w:val="0"/>
          <w:color w:val="666666"/>
          <w:sz w:val="18"/>
        </w:rPr>
        <w:t>生成时间：2026-08-19 ｜ 用途：列出知识库建设中需通过国内/国际平台付费获取的文献，供持账号人员批量下载。</w:t>
      </w:r>
    </w:p>
    <w:p>
      <w:r>
        <w:rPr>
          <w:rFonts w:ascii="PingFang SC" w:hAnsi="PingFang SC" w:eastAsia="PingFang SC"/>
          <w:b/>
          <w:color w:val="2F6FED"/>
          <w:sz w:val="26"/>
        </w:rPr>
        <w:t>一、获取说明</w:t>
      </w:r>
    </w:p>
    <w:p>
      <w:r>
        <w:rPr>
          <w:rFonts w:ascii="PingFang SC" w:hAnsi="PingFang SC" w:eastAsia="PingFang SC"/>
          <w:b w:val="0"/>
          <w:sz w:val="20"/>
        </w:rPr>
        <w:t>本清单共 14 份需付费获取的文献：国内 10 份（其中 1 份无需付费，实际需下载 9 份）+ 国际 4 份。</w:t>
      </w:r>
    </w:p>
    <w:p>
      <w:r>
        <w:rPr>
          <w:rFonts w:ascii="PingFang SC" w:hAnsi="PingFang SC" w:eastAsia="PingFang SC"/>
          <w:b w:val="0"/>
          <w:sz w:val="20"/>
        </w:rPr>
        <w:t>国内文献需登录 中华医学期刊网 / 万方 / 知网 / 医脉通 等平台下载（付费或机构订阅）；国际文献需期刊订阅或机构代理访问。</w:t>
      </w:r>
    </w:p>
    <w:p>
      <w:r>
        <w:rPr>
          <w:rFonts w:ascii="PingFang SC" w:hAnsi="PingFang SC" w:eastAsia="PingFang SC"/>
          <w:b w:val="0"/>
          <w:sz w:val="20"/>
        </w:rPr>
        <w:t>文献标题为可点击超链接，点击即跳转对应平台并自动检索该标题；也可在平台内粘贴 DOI 或检索词定位。</w:t>
      </w:r>
    </w:p>
    <w:p>
      <w:r>
        <w:rPr>
          <w:rFonts w:ascii="PingFang SC" w:hAnsi="PingFang SC" w:eastAsia="PingFang SC"/>
          <w:b w:val="0"/>
          <w:sz w:val="20"/>
        </w:rPr>
        <w:t>下载后按「机构_年份_主题.pdf」命名放入 docs/敏宝知识库/源文件/国内/（或 国际/），并同步更新《源文件获取状态清单.md》。</w:t>
      </w:r>
    </w:p>
    <w:p>
      <w:r>
        <w:rPr>
          <w:rFonts w:ascii="PingFang SC" w:hAnsi="PingFang SC" w:eastAsia="PingFang SC"/>
          <w:b/>
          <w:color w:val="2F6FED"/>
          <w:sz w:val="26"/>
        </w:rPr>
        <w:t>二、平台速览（先选对平台）</w:t>
      </w:r>
    </w:p>
    <w:p>
      <w:r>
        <w:rPr>
          <w:rFonts w:ascii="PingFang SC" w:hAnsi="PingFang SC" w:eastAsia="PingFang SC"/>
          <w:b w:val="0"/>
          <w:sz w:val="20"/>
        </w:rPr>
      </w:r>
      <w:r>
        <w:rPr>
          <w:b/>
          <w:sz w:val="20"/>
        </w:rPr>
        <w:t xml:space="preserve">① 中华医学期刊网 rs.yiigle.com —— </w:t>
      </w:r>
      <w:r>
        <w:rPr>
          <w:sz w:val="20"/>
        </w:rPr>
        <w:t>中华医学会系列期刊官方平台，覆盖中华儿科杂志/中华预防医学杂志/中华实用儿科临床杂志/中华皮肤科杂志等（清单第 1-6 篇）。登录方式：机构账号（医院/高校图书馆）或官网注册付费。</w:t>
      </w:r>
    </w:p>
    <w:p>
      <w:r>
        <w:rPr>
          <w:rFonts w:ascii="PingFang SC" w:hAnsi="PingFang SC" w:eastAsia="PingFang SC"/>
          <w:b w:val="0"/>
          <w:sz w:val="20"/>
        </w:rPr>
      </w:r>
      <w:r>
        <w:rPr>
          <w:b/>
          <w:sz w:val="20"/>
        </w:rPr>
        <w:t xml:space="preserve">② 万方数据 wanfangdata.com.cn —— </w:t>
      </w:r>
      <w:r>
        <w:rPr>
          <w:sz w:val="20"/>
        </w:rPr>
        <w:t>综合性学术平台，覆盖《中国疫苗和免疫》等非中华系期刊（第 9 篇）；与知网收录范围有重叠。</w:t>
      </w:r>
    </w:p>
    <w:p>
      <w:r>
        <w:rPr>
          <w:rFonts w:ascii="PingFang SC" w:hAnsi="PingFang SC" w:eastAsia="PingFang SC"/>
          <w:b w:val="0"/>
          <w:sz w:val="20"/>
        </w:rPr>
      </w:r>
      <w:r>
        <w:rPr>
          <w:b/>
          <w:sz w:val="20"/>
        </w:rPr>
        <w:t xml:space="preserve">③ 中国知网 CNKI cnki.net —— </w:t>
      </w:r>
      <w:r>
        <w:rPr>
          <w:sz w:val="20"/>
        </w:rPr>
        <w:t>综合性学术平台，与万方收录范围有重叠，任一有账号即可；知网支持 DOI 检索。</w:t>
      </w:r>
    </w:p>
    <w:p>
      <w:r>
        <w:rPr>
          <w:rFonts w:ascii="PingFang SC" w:hAnsi="PingFang SC" w:eastAsia="PingFang SC"/>
          <w:b w:val="0"/>
          <w:sz w:val="20"/>
        </w:rPr>
      </w:r>
      <w:r>
        <w:rPr>
          <w:b/>
          <w:sz w:val="20"/>
        </w:rPr>
        <w:t xml:space="preserve">④ 医脉通 guide.medlive.cn —— </w:t>
      </w:r>
      <w:r>
        <w:rPr>
          <w:sz w:val="20"/>
        </w:rPr>
        <w:t>指南汇总平台，收录国内指南/共识全文或解读（第 6、8 篇可在此检索，部分免费）。</w:t>
      </w:r>
    </w:p>
    <w:p>
      <w:r>
        <w:rPr>
          <w:rFonts w:ascii="PingFang SC" w:hAnsi="PingFang SC" w:eastAsia="PingFang SC"/>
          <w:b/>
          <w:color w:val="2F6FED"/>
          <w:sz w:val="26"/>
        </w:rPr>
        <w:t>三、国内付费文献清单（10 份）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#</w:t>
            </w:r>
          </w:p>
        </w:tc>
        <w:tc>
          <w:tcPr>
            <w:tcW w:type="dxa" w:w="260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文献（点击跳转平台检索）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期刊 · 卷期 · 页</w:t>
            </w:r>
          </w:p>
        </w:tc>
        <w:tc>
          <w:tcPr>
            <w:tcW w:type="dxa" w:w="2041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DOI / 检索词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推荐平台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1</w:t>
            </w:r>
          </w:p>
        </w:tc>
        <w:tc>
          <w:tcPr>
            <w:tcW w:type="dxa" w:w="2608"/>
          </w:tcPr>
          <w:p>
            <w:pPr>
              <w:spacing w:after="0"/>
            </w:pPr>
            <w:hyperlink r:id="rId9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新生儿牛奶蛋白过敏诊断与管理专家共识(2023)</w:t>
              </w:r>
            </w:hyperlink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中华儿科杂志 2024;62(1):12-21</w:t>
            </w:r>
          </w:p>
        </w:tc>
        <w:tc>
          <w:tcPr>
            <w:tcW w:type="dxa" w:w="204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10.3760/cma.j.cn112140-20231007-00257</w:t>
            </w:r>
          </w:p>
          <w:p>
            <w:r>
              <w:rPr>
                <w:i/>
                <w:sz w:val="18"/>
              </w:rPr>
              <w:t>检索词：新生儿 牛奶蛋白过敏 专家共识 2023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中华医学期刊网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2</w:t>
            </w:r>
          </w:p>
        </w:tc>
        <w:tc>
          <w:tcPr>
            <w:tcW w:type="dxa" w:w="2608"/>
          </w:tcPr>
          <w:p>
            <w:pPr>
              <w:spacing w:after="0"/>
            </w:pPr>
            <w:hyperlink r:id="rId10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儿童IgE介导食物过敏诊断和管理专家共识</w:t>
              </w:r>
            </w:hyperlink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中华预防医学杂志 2024;58(12):1807-1824</w:t>
            </w:r>
          </w:p>
        </w:tc>
        <w:tc>
          <w:tcPr>
            <w:tcW w:type="dxa" w:w="204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10.3760/cma.j.cn112150-20240802-00622</w:t>
            </w:r>
          </w:p>
          <w:p>
            <w:r>
              <w:rPr>
                <w:i/>
                <w:sz w:val="18"/>
              </w:rPr>
              <w:t>检索词：儿童 IgE 介导 食物过敏 共识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中华医学期刊网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3</w:t>
            </w:r>
          </w:p>
        </w:tc>
        <w:tc>
          <w:tcPr>
            <w:tcW w:type="dxa" w:w="2608"/>
          </w:tcPr>
          <w:p>
            <w:pPr>
              <w:spacing w:after="0"/>
            </w:pPr>
            <w:hyperlink r:id="rId11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儿童小麦过敏循证指南</w:t>
              </w:r>
            </w:hyperlink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中华预防医学杂志 2026;60(3):331-345</w:t>
            </w:r>
          </w:p>
        </w:tc>
        <w:tc>
          <w:tcPr>
            <w:tcW w:type="dxa" w:w="204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10.3760/cma.j.cn112150-20251224-01223</w:t>
            </w:r>
          </w:p>
          <w:p>
            <w:r>
              <w:rPr>
                <w:i/>
                <w:sz w:val="18"/>
              </w:rPr>
              <w:t>检索词：儿童 小麦过敏 循证指南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中华医学期刊网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4</w:t>
            </w:r>
          </w:p>
        </w:tc>
        <w:tc>
          <w:tcPr>
            <w:tcW w:type="dxa" w:w="2608"/>
          </w:tcPr>
          <w:p>
            <w:pPr>
              <w:spacing w:after="0"/>
            </w:pPr>
            <w:hyperlink r:id="rId12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婴儿食物过敏所致喂养困难伴营养不良干预专家共识</w:t>
              </w:r>
            </w:hyperlink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中华实用儿科临床杂志 2025;40(8)</w:t>
            </w:r>
          </w:p>
        </w:tc>
        <w:tc>
          <w:tcPr>
            <w:tcW w:type="dxa" w:w="204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  <w:p>
            <w:r>
              <w:rPr>
                <w:i/>
                <w:sz w:val="18"/>
              </w:rPr>
              <w:t>检索词：婴儿 食物过敏 喂养困难 营养不良 干预专家共识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中华医学期刊网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5</w:t>
            </w:r>
          </w:p>
        </w:tc>
        <w:tc>
          <w:tcPr>
            <w:tcW w:type="dxa" w:w="2608"/>
          </w:tcPr>
          <w:p>
            <w:pPr>
              <w:spacing w:after="0"/>
            </w:pPr>
            <w:hyperlink r:id="rId13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特应性皮炎治疗药物应用管理专家共识(2024版)</w:t>
              </w:r>
            </w:hyperlink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中华皮肤科杂志 2024;57(2):97-108</w:t>
            </w:r>
          </w:p>
        </w:tc>
        <w:tc>
          <w:tcPr>
            <w:tcW w:type="dxa" w:w="204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10.35541/cjd.20230358</w:t>
            </w:r>
          </w:p>
          <w:p>
            <w:r>
              <w:rPr>
                <w:i/>
                <w:sz w:val="18"/>
              </w:rPr>
              <w:t>检索词：特应性皮炎 治疗药物 应用管理 共识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中华医学期刊网 / 万方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6</w:t>
            </w:r>
          </w:p>
        </w:tc>
        <w:tc>
          <w:tcPr>
            <w:tcW w:type="dxa" w:w="2608"/>
          </w:tcPr>
          <w:p>
            <w:pPr>
              <w:spacing w:after="0"/>
            </w:pPr>
            <w:hyperlink r:id="rId14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中国儿童食物过敏循证指南</w:t>
              </w:r>
            </w:hyperlink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中华实用儿科临床杂志 2022;37(8):572-583</w:t>
            </w:r>
          </w:p>
        </w:tc>
        <w:tc>
          <w:tcPr>
            <w:tcW w:type="dxa" w:w="204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10.3760/cma.j.cn101070-20220313-00257</w:t>
            </w:r>
          </w:p>
          <w:p>
            <w:r>
              <w:rPr>
                <w:i/>
                <w:sz w:val="18"/>
              </w:rPr>
              <w:t>检索词：中国儿童 食物过敏 循证指南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中华医学期刊网 / 医脉通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7</w:t>
            </w:r>
          </w:p>
        </w:tc>
        <w:tc>
          <w:tcPr>
            <w:tcW w:type="dxa" w:w="2608"/>
          </w:tcPr>
          <w:p>
            <w:pPr>
              <w:spacing w:after="0"/>
            </w:pPr>
            <w:hyperlink r:id="rId15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过敏原特异性IgE检测结果临床解读的中国专家共识</w:t>
              </w:r>
            </w:hyperlink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中华检验医学杂志（年份以检索为准）</w:t>
            </w:r>
          </w:p>
        </w:tc>
        <w:tc>
          <w:tcPr>
            <w:tcW w:type="dxa" w:w="204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  <w:p>
            <w:r>
              <w:rPr>
                <w:i/>
                <w:sz w:val="18"/>
              </w:rPr>
              <w:t>检索词：过敏原特异性IgE 检测 临床解读 专家共识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万方 / 知网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8</w:t>
            </w:r>
          </w:p>
        </w:tc>
        <w:tc>
          <w:tcPr>
            <w:tcW w:type="dxa" w:w="2608"/>
          </w:tcPr>
          <w:p>
            <w:pPr>
              <w:spacing w:after="0"/>
            </w:pPr>
            <w:hyperlink r:id="rId16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抗过敏药物合理应用专家共识(2025版)</w:t>
              </w:r>
            </w:hyperlink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中华医学会变态反应学分会（2025.5 发布，官方刊出以检索为准）</w:t>
            </w:r>
          </w:p>
        </w:tc>
        <w:tc>
          <w:tcPr>
            <w:tcW w:type="dxa" w:w="204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  <w:p>
            <w:r>
              <w:rPr>
                <w:i/>
                <w:sz w:val="18"/>
              </w:rPr>
              <w:t>检索词：抗过敏药物 合理应用 专家共识 2025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医脉通（文档站有VIP版）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9</w:t>
            </w:r>
          </w:p>
        </w:tc>
        <w:tc>
          <w:tcPr>
            <w:tcW w:type="dxa" w:w="2608"/>
          </w:tcPr>
          <w:p>
            <w:pPr>
              <w:spacing w:after="0"/>
            </w:pPr>
            <w:hyperlink r:id="rId17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特殊健康状态儿童预防接种专家共识(2024版)</w:t>
              </w:r>
            </w:hyperlink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中国疫苗和免疫 2024;30(2):112-119</w:t>
            </w:r>
          </w:p>
        </w:tc>
        <w:tc>
          <w:tcPr>
            <w:tcW w:type="dxa" w:w="204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  <w:p>
            <w:r>
              <w:rPr>
                <w:i/>
                <w:sz w:val="18"/>
              </w:rPr>
              <w:t>检索词：特殊健康状态儿童 预防接种 专家共识 2024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万方 / 知网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10</w:t>
            </w:r>
          </w:p>
        </w:tc>
        <w:tc>
          <w:tcPr>
            <w:tcW w:type="dxa" w:w="2608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婴幼儿过渡期膳食意义共识（2024.9 讨论会）</w:t>
            </w:r>
          </w:p>
        </w:tc>
        <w:tc>
          <w:tcPr>
            <w:tcW w:type="dxa" w:w="2268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—（研讨会成果，无正式期刊PDF）</w:t>
            </w:r>
          </w:p>
        </w:tc>
        <w:tc>
          <w:tcPr>
            <w:tcW w:type="dxa" w:w="204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—</w:t>
            </w:r>
          </w:p>
          <w:p>
            <w:r>
              <w:rPr>
                <w:i/>
                <w:sz w:val="18"/>
              </w:rPr>
              <w:t>说明：仅有新闻报道，无需付费下载（跳过）</w:t>
            </w:r>
          </w:p>
        </w:tc>
        <w:tc>
          <w:tcPr>
            <w:tcW w:type="dxa" w:w="170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跳过</w:t>
            </w:r>
          </w:p>
        </w:tc>
      </w:tr>
    </w:tbl>
    <w:p>
      <w:r>
        <w:rPr>
          <w:rFonts w:ascii="PingFang SC" w:hAnsi="PingFang SC" w:eastAsia="PingFang SC"/>
          <w:b w:val="0"/>
          <w:color w:val="993300"/>
          <w:sz w:val="18"/>
        </w:rPr>
        <w:t>注：第 8 篇《抗过敏药物合理应用专家共识(2025版)》在 book118.com / renrendoc.com 等文档站有 VIP 版本（非官方渠道，仅供速览）；官方刊出后建议以医脉通或中华医学期刊网版本为准。</w:t>
      </w:r>
    </w:p>
    <w:p>
      <w:r>
        <w:rPr>
          <w:rFonts w:ascii="PingFang SC" w:hAnsi="PingFang SC" w:eastAsia="PingFang SC"/>
          <w:b/>
          <w:color w:val="2F6FED"/>
          <w:sz w:val="26"/>
        </w:rPr>
        <w:t>四、国际付费墙文献（附录，4 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948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文献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出处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获取途径</w:t>
            </w:r>
          </w:p>
        </w:tc>
        <w:tc>
          <w:tcPr>
            <w:tcW w:type="dxa" w:w="907"/>
          </w:tcPr>
          <w:p>
            <w:r/>
            <w:r>
              <w:rPr>
                <w:rFonts w:ascii="PingFang SC" w:hAnsi="PingFang SC" w:eastAsia="PingFang SC"/>
                <w:b/>
                <w:sz w:val="20"/>
              </w:rPr>
              <w:t>链接</w:t>
            </w:r>
          </w:p>
        </w:tc>
      </w:tr>
      <w:tr>
        <w:tc>
          <w:tcPr>
            <w:tcW w:type="dxa" w:w="2948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AAAAI/ACAAI/CSACI 2020 一级预防共识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JACI In Practice 2020;8(1):22-24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DOI 10.1016/j.jaip.2019.08.050</w:t>
            </w:r>
          </w:p>
        </w:tc>
        <w:tc>
          <w:tcPr>
            <w:tcW w:type="dxa" w:w="907"/>
          </w:tcPr>
          <w:p>
            <w:hyperlink r:id="rId18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直达</w:t>
              </w:r>
            </w:hyperlink>
          </w:p>
        </w:tc>
      </w:tr>
      <w:tr>
        <w:tc>
          <w:tcPr>
            <w:tcW w:type="dxa" w:w="2948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AAP 2025.06 湿疹皮肤管理临床报告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Pediatrics 2025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DOI 10.1542/peds.2025-071812</w:t>
            </w:r>
          </w:p>
        </w:tc>
        <w:tc>
          <w:tcPr>
            <w:tcW w:type="dxa" w:w="907"/>
          </w:tcPr>
          <w:p>
            <w:hyperlink r:id="rId19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直达</w:t>
              </w:r>
            </w:hyperlink>
          </w:p>
        </w:tc>
      </w:tr>
      <w:tr>
        <w:tc>
          <w:tcPr>
            <w:tcW w:type="dxa" w:w="2948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AAP 2023 食物过敏预防更新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Pediatrics 2023;152(5):e2023062836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publications.aap.org（需订阅）</w:t>
            </w:r>
          </w:p>
        </w:tc>
        <w:tc>
          <w:tcPr>
            <w:tcW w:type="dxa" w:w="907"/>
          </w:tcPr>
          <w:p>
            <w:hyperlink r:id="rId20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直达</w:t>
              </w:r>
            </w:hyperlink>
          </w:p>
        </w:tc>
      </w:tr>
      <w:tr>
        <w:tc>
          <w:tcPr>
            <w:tcW w:type="dxa" w:w="2948"/>
          </w:tcPr>
          <w:p>
            <w:r/>
            <w:r>
              <w:rPr>
                <w:rFonts w:ascii="PingFang SC" w:hAnsi="PingFang SC" w:eastAsia="PingFang SC"/>
                <w:b w:val="0"/>
                <w:sz w:val="19"/>
              </w:rPr>
              <w:t>LEAP 2015 / PETIT 2017 / EAT / BEEP</w:t>
            </w:r>
          </w:p>
        </w:tc>
        <w:tc>
          <w:tcPr>
            <w:tcW w:type="dxa" w:w="2835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NEJM 2015;372:803-13 等</w:t>
            </w:r>
          </w:p>
        </w:tc>
        <w:tc>
          <w:tcPr>
            <w:tcW w:type="dxa" w:w="2381"/>
          </w:tcPr>
          <w:p>
            <w:r/>
            <w:r>
              <w:rPr>
                <w:rFonts w:ascii="PingFang SC" w:hAnsi="PingFang SC" w:eastAsia="PingFang SC"/>
                <w:b w:val="0"/>
                <w:sz w:val="18"/>
              </w:rPr>
              <w:t>PubMed 摘要免费；全文需订阅或机构代理</w:t>
            </w:r>
          </w:p>
        </w:tc>
        <w:tc>
          <w:tcPr>
            <w:tcW w:type="dxa" w:w="907"/>
          </w:tcPr>
          <w:p>
            <w:hyperlink r:id="rId21">
              <w:r>
                <w:rPr>
                  <w:rFonts w:ascii="PingFang SC" w:eastAsia="PingFang SC"/>
                  <w:color w:val="0563C1"/>
                  <w:u w:val="single"/>
                  <w:sz w:val="19"/>
                </w:rPr>
                <w:t>直达</w:t>
              </w:r>
            </w:hyperlink>
          </w:p>
        </w:tc>
      </w:tr>
    </w:tbl>
    <w:p>
      <w:r>
        <w:rPr>
          <w:rFonts w:ascii="PingFang SC" w:hAnsi="PingFang SC" w:eastAsia="PingFang SC"/>
          <w:b/>
          <w:color w:val="2F6FED"/>
          <w:sz w:val="26"/>
        </w:rPr>
        <w:t>五、下载步骤（通用）</w:t>
      </w:r>
    </w:p>
    <w:p>
      <w:r>
        <w:rPr>
          <w:rFonts w:ascii="PingFang SC" w:hAnsi="PingFang SC" w:eastAsia="PingFang SC"/>
          <w:b/>
          <w:sz w:val="20"/>
        </w:rPr>
        <w:t>中华医学期刊网（国内 1-6 篇）：</w:t>
      </w:r>
    </w:p>
    <w:p>
      <w:r>
        <w:rPr>
          <w:rFonts w:ascii="PingFang SC" w:hAnsi="PingFang SC" w:eastAsia="PingFang SC"/>
          <w:b w:val="0"/>
          <w:sz w:val="20"/>
        </w:rPr>
        <w:t>1. 打开 rs.yiigle.com，右上角登录（机构账号选择"机构登录"）</w:t>
      </w:r>
    </w:p>
    <w:p>
      <w:r>
        <w:rPr>
          <w:rFonts w:ascii="PingFang SC" w:hAnsi="PingFang SC" w:eastAsia="PingFang SC"/>
          <w:b w:val="0"/>
          <w:sz w:val="20"/>
        </w:rPr>
        <w:t>2. 顶部搜索框粘贴上表 DOI 或检索词 → 定位文章</w:t>
      </w:r>
    </w:p>
    <w:p>
      <w:r>
        <w:rPr>
          <w:rFonts w:ascii="PingFang SC" w:hAnsi="PingFang SC" w:eastAsia="PingFang SC"/>
          <w:b w:val="0"/>
          <w:sz w:val="20"/>
        </w:rPr>
        <w:t>3. 文章页右侧点"PDF 下载"（未登录会弹登录框）</w:t>
      </w:r>
    </w:p>
    <w:p>
      <w:r>
        <w:rPr>
          <w:rFonts w:ascii="PingFang SC" w:hAnsi="PingFang SC" w:eastAsia="PingFang SC"/>
          <w:b/>
          <w:sz w:val="20"/>
        </w:rPr>
        <w:t>万方/知网（国内 7、9 篇及备选）：</w:t>
      </w:r>
    </w:p>
    <w:p>
      <w:r>
        <w:rPr>
          <w:rFonts w:ascii="PingFang SC" w:hAnsi="PingFang SC" w:eastAsia="PingFang SC"/>
          <w:b w:val="0"/>
          <w:sz w:val="20"/>
        </w:rPr>
        <w:t>1. 打开 wanfangdata.com.cn 或 cnki.net，使用机构/IP 登录（高校图书馆常用）</w:t>
      </w:r>
    </w:p>
    <w:p>
      <w:r>
        <w:rPr>
          <w:rFonts w:ascii="PingFang SC" w:hAnsi="PingFang SC" w:eastAsia="PingFang SC"/>
          <w:b w:val="0"/>
          <w:sz w:val="20"/>
        </w:rPr>
        <w:t>2. 用"高级检索"按标题关键词检索（知网支持 DOI 检索）</w:t>
      </w:r>
    </w:p>
    <w:p>
      <w:r>
        <w:rPr>
          <w:rFonts w:ascii="PingFang SC" w:hAnsi="PingFang SC" w:eastAsia="PingFang SC"/>
          <w:b w:val="0"/>
          <w:sz w:val="20"/>
        </w:rPr>
        <w:t>3. 结果页点击"下载"（PDF 或 CAJ，CAJ 需知网阅读器）</w:t>
      </w:r>
    </w:p>
    <w:p>
      <w:r>
        <w:rPr>
          <w:rFonts w:ascii="PingFang SC" w:hAnsi="PingFang SC" w:eastAsia="PingFang SC"/>
          <w:b/>
          <w:sz w:val="20"/>
        </w:rPr>
        <w:t>医脉通（国内 6、8 篇速查）：</w:t>
      </w:r>
    </w:p>
    <w:p>
      <w:r>
        <w:rPr>
          <w:rFonts w:ascii="PingFang SC" w:hAnsi="PingFang SC" w:eastAsia="PingFang SC"/>
          <w:b w:val="0"/>
          <w:sz w:val="20"/>
        </w:rPr>
        <w:t>1. 打开 guide.medlive.cn，顶部搜索文献标题</w:t>
      </w:r>
    </w:p>
    <w:p>
      <w:r>
        <w:rPr>
          <w:rFonts w:ascii="PingFang SC" w:hAnsi="PingFang SC" w:eastAsia="PingFang SC"/>
          <w:b w:val="0"/>
          <w:sz w:val="20"/>
        </w:rPr>
        <w:t>2. 指南条目页通常含全文或专家解读，部分免费</w:t>
      </w:r>
    </w:p>
    <w:p>
      <w:r>
        <w:rPr>
          <w:rFonts w:ascii="PingFang SC" w:hAnsi="PingFang SC" w:eastAsia="PingFang SC"/>
          <w:b w:val="0"/>
          <w:sz w:val="20"/>
        </w:rPr>
        <w:t>国际付费墙文献：需机构订阅账号（高校/医院图书馆）或机构代理访问 PubMed / 期刊官网，按 DOI 直达文章页下载。</w:t>
      </w:r>
    </w:p>
    <w:p>
      <w:r>
        <w:rPr>
          <w:rFonts w:ascii="PingFang SC" w:hAnsi="PingFang SC" w:eastAsia="PingFang SC"/>
          <w:b/>
          <w:color w:val="2F6FED"/>
          <w:sz w:val="26"/>
        </w:rPr>
        <w:t>六、归档规范</w:t>
      </w:r>
    </w:p>
    <w:p>
      <w:r>
        <w:rPr>
          <w:rFonts w:ascii="PingFang SC" w:hAnsi="PingFang SC" w:eastAsia="PingFang SC"/>
          <w:b w:val="0"/>
          <w:sz w:val="20"/>
        </w:rPr>
        <w:t>下载后按「机构_年份_主题.pdf」命名放入对应目录：</w:t>
      </w:r>
    </w:p>
    <w:p>
      <w:r>
        <w:rPr>
          <w:rFonts w:ascii="PingFang SC" w:hAnsi="PingFang SC" w:eastAsia="PingFang SC"/>
          <w:b w:val="0"/>
          <w:sz w:val="20"/>
        </w:rPr>
        <w:t>国内文献 → docs/敏宝知识库/源文件/国内/</w:t>
      </w:r>
    </w:p>
    <w:p>
      <w:r>
        <w:rPr>
          <w:rFonts w:ascii="PingFang SC" w:hAnsi="PingFang SC" w:eastAsia="PingFang SC"/>
          <w:b w:val="0"/>
          <w:sz w:val="20"/>
        </w:rPr>
        <w:t>国际文献 → docs/敏宝知识库/源文件/国际/</w:t>
      </w:r>
    </w:p>
    <w:p>
      <w:r>
        <w:rPr>
          <w:rFonts w:ascii="PingFang SC" w:hAnsi="PingFang SC" w:eastAsia="PingFang SC"/>
          <w:b w:val="0"/>
          <w:sz w:val="20"/>
        </w:rPr>
        <w:t>并同步更新《源文件获取状态清单.md》，将对应条目状态标记为已下载。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iigle.com/search?key=%E6%96%B0%E7%94%9F%E5%84%BF%E7%89%9B%E5%A5%B6%E8%9B%8B%E7%99%BD%E8%BF%87%E6%95%8F%E8%AF%8A%E6%96%AD%E4%B8%8E%E7%AE%A1%E7%90%86%E4%B8%93%E5%AE%B6%E5%85%B1%E8%AF%86" TargetMode="External"/><Relationship Id="rId10" Type="http://schemas.openxmlformats.org/officeDocument/2006/relationships/hyperlink" Target="https://www.yiigle.com/search?key=%E5%84%BF%E7%AB%A5IgE%E4%BB%8B%E5%AF%BC%E9%A3%9F%E7%89%A9%E8%BF%87%E6%95%8F%E8%AF%8A%E6%96%AD%E5%92%8C%E7%AE%A1%E7%90%86%E4%B8%93%E5%AE%B6%E5%85%B1%E8%AF%86" TargetMode="External"/><Relationship Id="rId11" Type="http://schemas.openxmlformats.org/officeDocument/2006/relationships/hyperlink" Target="https://www.yiigle.com/search?key=%E5%84%BF%E7%AB%A5%E5%B0%8F%E9%BA%A6%E8%BF%87%E6%95%8F%E5%BE%AA%E8%AF%81%E6%8C%87%E5%8D%97" TargetMode="External"/><Relationship Id="rId12" Type="http://schemas.openxmlformats.org/officeDocument/2006/relationships/hyperlink" Target="https://www.yiigle.com/search?key=%E5%A9%B4%E5%84%BF%E9%A3%9F%E7%89%A9%E8%BF%87%E6%95%8F%E6%89%80%E8%87%B4%E5%96%82%E5%85%BB%E5%9B%B0%E9%9A%BE%E4%BC%B4%E8%90%A5%E5%85%BB%E4%B8%8D%E8%89%AF%E5%B9%B2%E9%A2%84%E4%B8%93%E5%AE%B6%E5%85%B1%E8%AF%86" TargetMode="External"/><Relationship Id="rId13" Type="http://schemas.openxmlformats.org/officeDocument/2006/relationships/hyperlink" Target="https://www.yiigle.com/search?key=%E7%89%B9%E5%BA%94%E6%80%A7%E7%9A%AE%E7%82%8E%E6%B2%BB%E7%96%97%E8%8D%AF%E7%89%A9%E5%BA%94%E7%94%A8%E7%AE%A1%E7%90%86%E4%B8%93%E5%AE%B6%E5%85%B1%E8%AF%86" TargetMode="External"/><Relationship Id="rId14" Type="http://schemas.openxmlformats.org/officeDocument/2006/relationships/hyperlink" Target="https://www.yiigle.com/search?key=%E4%B8%AD%E5%9B%BD%E5%84%BF%E7%AB%A5%E9%A3%9F%E7%89%A9%E8%BF%87%E6%95%8F%E5%BE%AA%E8%AF%81%E6%8C%87%E5%8D%97" TargetMode="External"/><Relationship Id="rId15" Type="http://schemas.openxmlformats.org/officeDocument/2006/relationships/hyperlink" Target="https://s.wanfangdata.com.cn/paper?q=%E8%BF%87%E6%95%8F%E5%8E%9F%E7%89%B9%E5%BC%82%E6%80%A7IgE%E6%A3%80%E6%B5%8B%E7%BB%93%E6%9E%9C%E4%B8%B4%E5%BA%8A%E8%A7%A3%E8%AF%BB%E7%9A%84%E4%B8%AD%E5%9B%BD%E4%B8%93%E5%AE%B6%E5%85%B1%E8%AF%86" TargetMode="External"/><Relationship Id="rId16" Type="http://schemas.openxmlformats.org/officeDocument/2006/relationships/hyperlink" Target="https://guide.medlive.cn/search?q=%E6%8A%97%E8%BF%87%E6%95%8F%E8%8D%AF%E7%89%A9%E5%90%88%E7%90%86%E5%BA%94%E7%94%A8%E4%B8%93%E5%AE%B6%E5%85%B1%E8%AF%86" TargetMode="External"/><Relationship Id="rId17" Type="http://schemas.openxmlformats.org/officeDocument/2006/relationships/hyperlink" Target="https://s.wanfangdata.com.cn/paper?q=%E7%89%B9%E6%AE%8A%E5%81%A5%E5%BA%B7%E7%8A%B6%E6%80%81%E5%84%BF%E7%AB%A5%E9%A2%84%E9%98%B2%E6%8E%A5%E7%A7%8D%E4%B8%93%E5%AE%B6%E5%85%B1%E8%AF%86" TargetMode="External"/><Relationship Id="rId18" Type="http://schemas.openxmlformats.org/officeDocument/2006/relationships/hyperlink" Target="https://doi.org/10.1016/j.jaip.2019.08.050" TargetMode="External"/><Relationship Id="rId19" Type="http://schemas.openxmlformats.org/officeDocument/2006/relationships/hyperlink" Target="https://doi.org/10.1542/peds.2025-071812" TargetMode="External"/><Relationship Id="rId20" Type="http://schemas.openxmlformats.org/officeDocument/2006/relationships/hyperlink" Target="https://publications.aap.org/pediatrics/article/152/5/e2023062836" TargetMode="External"/><Relationship Id="rId21" Type="http://schemas.openxmlformats.org/officeDocument/2006/relationships/hyperlink" Target="https://pubmed.ncbi.nlm.nih.gov/2570582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