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image29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EN-HomePower 2000 Plus User Manual V0.5</w:t>
      </w:r>
    </w:p>
    <w:bookmarkStart w:id="65" w:name="en-homepower-2000-plus-user-manual-v0.5"/>
    <w:p>
      <w:pPr>
        <w:pStyle w:val="1"/>
      </w:pPr>
      <w:r>
        <w:t xml:space="preserve">EN-HomePower 2000 Plus User Manual V0.5</w:t>
      </w:r>
    </w:p>
    <w:bookmarkEnd w:id="65"/>
    <w:bookmarkStart w:id="67" w:name="important-safety-information"/>
    <w:p>
      <w:pPr>
        <w:pStyle w:val="1"/>
      </w:pPr>
      <w:r>
        <w:t xml:space="preserve">IMPORTANT SAFETY INFORMATION</w:t>
      </w:r>
    </w:p>
    <w:p>
      <w:pPr>
        <w:pStyle w:val="FirstParagraph"/>
      </w:pPr>
      <w:r>
        <w:rPr>
          <w:b/>
          <w:bCs/>
        </w:rPr>
        <w:t xml:space="preserve">INSTRUCTIONS PERTAINING TO RISK OF FIRE, ELECTRIC SHOCK, OR INJURY TO PERSONS</w:t>
      </w:r>
    </w:p>
    <w:p>
      <w:pPr>
        <w:pStyle w:val="BodyText"/>
      </w:pPr>
      <w:r>
        <w:t xml:space="preserve">Always follow these basic precautions when using this product.</w:t>
      </w:r>
    </w:p>
    <w:p>
      <w:pPr>
        <w:pStyle w:val="Compact"/>
        <w:numPr>
          <w:ilvl w:val="0"/>
          <w:numId w:val="1001"/>
        </w:numPr>
      </w:pPr>
      <w:r>
        <w:t xml:space="preserve">Read all the instructions before using the product.</w:t>
      </w:r>
    </w:p>
    <w:p>
      <w:pPr>
        <w:pStyle w:val="Compact"/>
        <w:numPr>
          <w:ilvl w:val="0"/>
          <w:numId w:val="1001"/>
        </w:numPr>
      </w:pPr>
      <w:r>
        <w:t xml:space="preserve">Do not allow children to play on the product. Close supervision of children is necessary when the product is used near children.</w:t>
      </w:r>
    </w:p>
    <w:p>
      <w:pPr>
        <w:pStyle w:val="Compact"/>
        <w:numPr>
          <w:ilvl w:val="0"/>
          <w:numId w:val="1001"/>
        </w:numPr>
      </w:pPr>
      <w:r>
        <w:t xml:space="preserve">Avoid placing hands or fingers inside the product.</w:t>
      </w:r>
    </w:p>
    <w:p>
      <w:pPr>
        <w:pStyle w:val="Compact"/>
        <w:numPr>
          <w:ilvl w:val="0"/>
          <w:numId w:val="1001"/>
        </w:numPr>
      </w:pPr>
      <w:r>
        <w:t xml:space="preserve">Stop using the product immediately if it has been physically damaged or modified. Improper use may cause unpredictable behavior, leading to fire, explosion, or injury.</w:t>
      </w:r>
    </w:p>
    <w:p>
      <w:pPr>
        <w:pStyle w:val="Compact"/>
        <w:numPr>
          <w:ilvl w:val="0"/>
          <w:numId w:val="1001"/>
        </w:numPr>
      </w:pPr>
      <w:r>
        <w:t xml:space="preserve">If the product overheats, emits unusual odors or smoke, leaks, or burns, stop using it immediately and contact customer support.</w:t>
      </w:r>
    </w:p>
    <w:p>
      <w:pPr>
        <w:pStyle w:val="Compact"/>
        <w:numPr>
          <w:ilvl w:val="0"/>
          <w:numId w:val="1001"/>
        </w:numPr>
      </w:pPr>
      <w:r>
        <w:t xml:space="preserve">Never attempt to open, repair, or modify the product. Any tampering may result in electric shock, fire, or battery damage.</w:t>
      </w:r>
    </w:p>
    <w:p>
      <w:pPr>
        <w:pStyle w:val="Compact"/>
        <w:numPr>
          <w:ilvl w:val="0"/>
          <w:numId w:val="1001"/>
        </w:numPr>
      </w:pPr>
      <w:r>
        <w:t xml:space="preserve">Be aware that liquid ejected from the product may cause irritation or burns. Avoid contact with leaking liquid and seek medical help if it contacts your eyes.</w:t>
      </w:r>
    </w:p>
    <w:p>
      <w:pPr>
        <w:pStyle w:val="Compact"/>
        <w:numPr>
          <w:ilvl w:val="0"/>
          <w:numId w:val="1001"/>
        </w:numPr>
      </w:pPr>
      <w:r>
        <w:t xml:space="preserve">Do not expose the product to fire or excessive temperatures. Doing so may result in an explosion if the temperature exceeds the rated limit.</w:t>
      </w:r>
    </w:p>
    <w:p>
      <w:pPr>
        <w:pStyle w:val="Compact"/>
        <w:numPr>
          <w:ilvl w:val="0"/>
          <w:numId w:val="1001"/>
        </w:numPr>
      </w:pPr>
      <w:r>
        <w:t xml:space="preserve">Any use of unrecommended or non-supplied materials or parts may result in a risk of fire, electric shock, or personal injury.</w:t>
      </w:r>
    </w:p>
    <w:p>
      <w:pPr>
        <w:pStyle w:val="Compact"/>
        <w:numPr>
          <w:ilvl w:val="0"/>
          <w:numId w:val="1001"/>
        </w:numPr>
      </w:pPr>
      <w:r>
        <w:t xml:space="preserve">Do not leave the battery charging unattended for long periods. Always monitor the charging process to ensure safe operation.</w:t>
      </w:r>
    </w:p>
    <w:p>
      <w:pPr>
        <w:pStyle w:val="Compact"/>
        <w:numPr>
          <w:ilvl w:val="0"/>
          <w:numId w:val="1001"/>
        </w:numPr>
      </w:pPr>
      <w:r>
        <w:t xml:space="preserve">To reduce the risk of electric shock, unplug the product from any power source before attempting any technical service or troubleshooting.</w:t>
      </w:r>
    </w:p>
    <w:bookmarkStart w:id="66" w:name="operating-instructions"/>
    <w:p>
      <w:pPr>
        <w:pStyle w:val="2"/>
      </w:pPr>
      <w:r>
        <w:t xml:space="preserve">OPERATING INSTRUCTIONS</w:t>
      </w:r>
    </w:p>
    <w:p>
      <w:pPr>
        <w:pStyle w:val="FirstParagraph"/>
      </w:pPr>
      <w:r>
        <w:rPr>
          <w:b/>
          <w:bCs/>
        </w:rPr>
        <w:t xml:space="preserve">SAVE THESE INSTRUCTIONS</w:t>
      </w:r>
    </w:p>
    <w:p>
      <w:pPr>
        <w:pStyle w:val="Compact"/>
        <w:numPr>
          <w:ilvl w:val="0"/>
          <w:numId w:val="1002"/>
        </w:numPr>
      </w:pPr>
      <w:r>
        <w:t xml:space="preserve">Stop using the product immediately if it shows signs of damage. Discontinue use and contact customer support for assistance.</w:t>
      </w:r>
    </w:p>
    <w:p>
      <w:pPr>
        <w:pStyle w:val="Compact"/>
        <w:numPr>
          <w:ilvl w:val="0"/>
          <w:numId w:val="1002"/>
        </w:numPr>
      </w:pPr>
      <w:r>
        <w:t xml:space="preserve">Do not charge the battery in extremely hot or cold environments and strictly adhere to the specified operating temperature ranges.</w:t>
      </w:r>
    </w:p>
    <w:p>
      <w:pPr>
        <w:pStyle w:val="Compact"/>
        <w:numPr>
          <w:ilvl w:val="0"/>
          <w:numId w:val="1002"/>
        </w:numPr>
      </w:pPr>
      <w:r>
        <w:t xml:space="preserve">Charging temperature: -4°F to 113°F (-20°C to 45°C).</w:t>
      </w:r>
    </w:p>
    <w:p>
      <w:pPr>
        <w:pStyle w:val="Compact"/>
        <w:numPr>
          <w:ilvl w:val="0"/>
          <w:numId w:val="1002"/>
        </w:numPr>
      </w:pPr>
      <w:r>
        <w:t xml:space="preserve">Discharging temperature: -4°F to 113°F (-20°C to 45°C).</w:t>
      </w:r>
    </w:p>
    <w:p>
      <w:pPr>
        <w:pStyle w:val="Compact"/>
        <w:numPr>
          <w:ilvl w:val="0"/>
          <w:numId w:val="1002"/>
        </w:numPr>
      </w:pPr>
      <w:r>
        <w:t xml:space="preserve">To ensure proper air circulation, keep the product vents uncovered.</w:t>
      </w:r>
    </w:p>
    <w:p>
      <w:pPr>
        <w:pStyle w:val="Compact"/>
        <w:numPr>
          <w:ilvl w:val="0"/>
          <w:numId w:val="1002"/>
        </w:numPr>
      </w:pPr>
      <w:r>
        <w:t xml:space="preserve">Charging in damp or poorly ventilated spaces may cause safety hazards.</w:t>
      </w:r>
    </w:p>
    <w:p>
      <w:pPr>
        <w:pStyle w:val="Compact"/>
        <w:numPr>
          <w:ilvl w:val="0"/>
          <w:numId w:val="1002"/>
        </w:numPr>
      </w:pPr>
      <w:r>
        <w:t xml:space="preserve">Water can cause short circuits or damage to the charger, leading to safety risks.</w:t>
      </w:r>
    </w:p>
    <w:p>
      <w:pPr>
        <w:pStyle w:val="Compact"/>
        <w:numPr>
          <w:ilvl w:val="0"/>
          <w:numId w:val="1002"/>
        </w:numPr>
      </w:pPr>
      <w:r>
        <w:t xml:space="preserve">Unplug the power cord from a power outlet during a storm.</w:t>
      </w:r>
    </w:p>
    <w:p>
      <w:pPr>
        <w:pStyle w:val="Compact"/>
        <w:numPr>
          <w:ilvl w:val="0"/>
          <w:numId w:val="1002"/>
        </w:numPr>
      </w:pPr>
      <w:r>
        <w:t xml:space="preserve">Immediately turn off the product if it has fallen, been dropped, or exposed to vibrations.</w:t>
      </w:r>
    </w:p>
    <w:p>
      <w:pPr>
        <w:pStyle w:val="Compact"/>
        <w:numPr>
          <w:ilvl w:val="0"/>
          <w:numId w:val="1002"/>
        </w:numPr>
      </w:pPr>
      <w:r>
        <w:t xml:space="preserve">Ensure the device(s) are powered off before connecting them to the product.</w:t>
      </w:r>
    </w:p>
    <w:p>
      <w:pPr>
        <w:pStyle w:val="Compact"/>
        <w:numPr>
          <w:ilvl w:val="0"/>
          <w:numId w:val="1002"/>
        </w:numPr>
      </w:pPr>
      <w:r>
        <w:t xml:space="preserve">Do not charge the product using a damaged or broken charging cord or plug.</w:t>
      </w:r>
    </w:p>
    <w:p>
      <w:pPr>
        <w:pStyle w:val="Compact"/>
        <w:numPr>
          <w:ilvl w:val="0"/>
          <w:numId w:val="1002"/>
        </w:numPr>
      </w:pPr>
      <w:r>
        <w:t xml:space="preserve">Do not use the product to charge any device with a damaged or broken cable or plug.</w:t>
      </w:r>
    </w:p>
    <w:p>
      <w:pPr>
        <w:pStyle w:val="Compact"/>
        <w:numPr>
          <w:ilvl w:val="0"/>
          <w:numId w:val="1002"/>
        </w:numPr>
      </w:pPr>
      <w:r>
        <w:t xml:space="preserve">Always unplug the charging cord by pulling the plug, not the cord, to reduce the risk of damage.</w:t>
      </w:r>
    </w:p>
    <w:p>
      <w:pPr>
        <w:pStyle w:val="Compact"/>
        <w:numPr>
          <w:ilvl w:val="0"/>
          <w:numId w:val="1002"/>
        </w:numPr>
      </w:pPr>
      <w:r>
        <w:t xml:space="preserve">Ensure the product is properly secured when transporting it in a moving vehicle.</w:t>
      </w:r>
    </w:p>
    <w:p>
      <w:pPr>
        <w:pStyle w:val="Compact"/>
        <w:numPr>
          <w:ilvl w:val="0"/>
          <w:numId w:val="1002"/>
        </w:numPr>
      </w:pPr>
      <w:r>
        <w:t xml:space="preserve">DO NOT place the unit upside down or on its side during use or storage.</w:t>
      </w:r>
    </w:p>
    <w:p>
      <w:pPr>
        <w:pStyle w:val="Compact"/>
        <w:numPr>
          <w:ilvl w:val="0"/>
          <w:numId w:val="1002"/>
        </w:numPr>
      </w:pPr>
      <w:r>
        <w:t xml:space="preserve">DO NOT place the product on the floor or at a height less than 18 inches (457 mm) above the floor during operation in a workshop or repair facility.</w:t>
      </w:r>
    </w:p>
    <w:p>
      <w:pPr>
        <w:pStyle w:val="Compact"/>
        <w:numPr>
          <w:ilvl w:val="0"/>
          <w:numId w:val="1002"/>
        </w:numPr>
      </w:pPr>
      <w:r>
        <w:t xml:space="preserve">DO NOT use the product's accessories with other devices or equipment.</w:t>
      </w:r>
    </w:p>
    <w:p>
      <w:pPr>
        <w:pStyle w:val="Compact"/>
        <w:numPr>
          <w:ilvl w:val="0"/>
          <w:numId w:val="1002"/>
        </w:numPr>
      </w:pPr>
      <w:r>
        <w:t xml:space="preserve">Solar charge time depends on weather conditions. Place your solar panel where it will get as much direct sunlight as possible.</w:t>
      </w:r>
    </w:p>
    <w:bookmarkEnd w:id="66"/>
    <w:bookmarkEnd w:id="67"/>
    <w:bookmarkStart w:id="68" w:name="danger"/>
    <w:p>
      <w:pPr>
        <w:pStyle w:val="2"/>
      </w:pPr>
      <w:r>
        <w:t xml:space="preserve">Danger</w:t>
      </w:r>
    </w:p>
    <w:p>
      <w:pPr>
        <w:numPr>
          <w:ilvl w:val="0"/>
          <w:numId w:val="1003"/>
        </w:numPr>
      </w:pPr>
      <w:r>
        <w:t xml:space="preserve">This device is intended for indoor use only (please place this device in a similar indoor environment when using it outdoors, e.g., home RVs, tents, cabins, etc.).</w:t>
      </w:r>
    </w:p>
    <w:p>
      <w:pPr>
        <w:numPr>
          <w:ilvl w:val="0"/>
          <w:numId w:val="1003"/>
        </w:numPr>
      </w:pPr>
      <w:r>
        <w:t xml:space="preserve">This device is not waterproof or dustproof. Keep away from rain and humid environments during use.</w:t>
      </w:r>
    </w:p>
    <w:bookmarkEnd w:id="68"/>
    <w:bookmarkStart w:id="69" w:name="user-maintenance-instructions"/>
    <w:p>
      <w:pPr>
        <w:pStyle w:val="2"/>
      </w:pPr>
      <w:r>
        <w:t xml:space="preserve">User Maintenance Instructions</w:t>
      </w:r>
    </w:p>
    <w:p>
      <w:pPr>
        <w:pStyle w:val="FirstParagraph"/>
      </w:pPr>
      <w:r>
        <w:t xml:space="preserve">During the lifecycle of energy storage products, a certain degree of capacity and energy degradation is expected.</w:t>
      </w:r>
      <w:r>
        <w:t xml:space="preserve"> </w:t>
      </w:r>
      <w:r>
        <w:t xml:space="preserve">As the number of charge and discharge cycles increases and storage time extends, this degradation will gradually intensify,</w:t>
      </w:r>
      <w:r>
        <w:t xml:space="preserve"> </w:t>
      </w:r>
      <w:r>
        <w:t xml:space="preserve">which is a normal phenomenon consistent with the natural aging of battery cells.</w:t>
      </w:r>
    </w:p>
    <w:bookmarkEnd w:id="69"/>
    <w:bookmarkStart w:id="79" w:name="signal-words"/>
    <w:p>
      <w:pPr>
        <w:pStyle w:val="2"/>
      </w:pPr>
      <w:r>
        <w:t xml:space="preserve">Signal Words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6177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t xml:space="preserve">Symbol</w:t>
            </w:r>
          </w:p>
        </w:tc>
        <w:tc>
          <w:tcPr/>
          <w:p>
            <w:pPr>
              <w:pStyle w:val="BodyTex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WARNING symbol placeholder." title="" id="71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WARNING</w:t>
            </w:r>
          </w:p>
        </w:tc>
        <w:tc>
          <w:tcPr/>
          <w:p>
            <w:pPr>
              <w:pStyle w:val="BodyText"/>
            </w:pPr>
            <w:r>
              <w:t xml:space="preserve">Hazardous practices that may result in severe injury, death, and/or property damage.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CAUTION symbol placeholder.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CAUTION</w:t>
            </w:r>
          </w:p>
        </w:tc>
        <w:tc>
          <w:tcPr/>
          <w:p>
            <w:pPr>
              <w:pStyle w:val="BodyText"/>
            </w:pPr>
            <w:r>
              <w:t xml:space="preserve">Hazardous practices that may result in personal injury and/or property damage.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NOTE symbol placeholder." title="" id="75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</w:t>
            </w:r>
          </w:p>
        </w:tc>
        <w:tc>
          <w:tcPr/>
          <w:p>
            <w:pPr>
              <w:pStyle w:val="BodyText"/>
            </w:pPr>
            <w:r>
              <w:t xml:space="preserve">Hazardous practices that may result in equipment damage, data loss, performance deterioration, or unanticipated results.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TIP symbol placeholder.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BodyText"/>
            </w:pPr>
            <w:r>
              <w:t xml:space="preserve">Supplements the important information or operation tips in the text.</w:t>
            </w:r>
          </w:p>
        </w:tc>
      </w:tr>
    </w:tbl>
    <w:bookmarkEnd w:id="79"/>
    <w:bookmarkStart w:id="102" w:name="symbols"/>
    <w:p>
      <w:pPr>
        <w:pStyle w:val="2"/>
      </w:pPr>
      <w:r>
        <w:t xml:space="preserve">Symbols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009"/>
        <w:gridCol w:w="950"/>
        <w:gridCol w:w="3009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t xml:space="preserve">Symbol</w:t>
            </w:r>
          </w:p>
        </w:tc>
        <w:tc>
          <w:tcPr/>
          <w:p>
            <w:pPr>
              <w:pStyle w:val="BodyText"/>
            </w:pPr>
            <w:r>
              <w:t xml:space="preserve">Meaning</w:t>
            </w:r>
          </w:p>
        </w:tc>
        <w:tc>
          <w:tcPr/>
          <w:p>
            <w:pPr>
              <w:pStyle w:val="BodyText"/>
            </w:pPr>
            <w:r>
              <w:t xml:space="preserve">Symbol</w:t>
            </w:r>
          </w:p>
        </w:tc>
        <w:tc>
          <w:tcPr/>
          <w:p>
            <w:pPr>
              <w:pStyle w:val="BodyTex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Warning and Caution Symbols placeholder." title="" id="80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Warning and Caution Symbols: Must read to alert individuals to potential hazards or risks.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Do not dismantle symbol placeholder.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Do not dismantle the product.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Read manual symbol placeholder." title="" id="84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Read the user manual before operation.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Keep away from fire symbol placeholder." title="" id="86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Keep the product away from fire.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Risk of electric shock symbol placeholder." title="" id="88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Risk of electric shock.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Keep away from children symbol placeholder." title="" id="90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Keep away from children.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Battery charging symbol placeholder." title="" id="92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Battery charging.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Li-ion symbol placeholder." title="" id="94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This symbol indicates that a lithium-ion (Li-ion) battery is inside the product and should be disposed of or recycled properly.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Explosive material symbol placeholder." title="" id="96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Explosive material.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WEEE disposal symbol placeholder." title="" id="98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This symbol indicates that the product shall not be disposed of as household waste, and should be delivered to a designated collection facility for recycling.</w:t>
            </w:r>
            <w:r>
              <w:t xml:space="preserve"> </w:t>
            </w:r>
            <w:r>
              <w:t xml:space="preserve">Proper disposal and recycling can help protect the environment. For more information about the disposal and recycling of this product, contact your local community, disposal service, or dealer.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381000" cy="298654"/>
                  <wp:effectExtent b="0" l="0" r="0" t="0"/>
                  <wp:docPr descr="Heavy object symbol placeholder.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_static/manual_en/01_meaning_of_symbols/fi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98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BodyText"/>
            </w:pPr>
            <w:r>
              <w:t xml:space="preserve">Heavy object.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Replace</w:t>
      </w:r>
      <w:r>
        <w:t xml:space="preserve"> </w:t>
      </w:r>
      <w:r>
        <w:t xml:space="preserve">docs/_static/manual_en/01_meaning_of_symbols/fig.png</w:t>
      </w:r>
      <w:r>
        <w:t xml:space="preserve"> </w:t>
      </w:r>
      <w:r>
        <w:t xml:space="preserve">with the real design export,</w:t>
      </w:r>
      <w:r>
        <w:t xml:space="preserve"> </w:t>
      </w:r>
      <w:r>
        <w:t xml:space="preserve">and keep the same filename to display it directly in the build output.</w:t>
      </w:r>
    </w:p>
    <w:bookmarkEnd w:id="102"/>
    <w:bookmarkStart w:id="103" w:name="included-items"/>
    <w:p>
      <w:pPr>
        <w:pStyle w:val="2"/>
      </w:pPr>
      <w:r>
        <w:t xml:space="preserve">Included Items</w:t>
      </w:r>
    </w:p>
    <w:p>
      <w:pPr>
        <w:numPr>
          <w:ilvl w:val="0"/>
          <w:numId w:val="1004"/>
        </w:numPr>
      </w:pPr>
      <w:r>
        <w:t xml:space="preserve">Jackery HomePower 2000 Plus v2</w:t>
      </w:r>
    </w:p>
    <w:p>
      <w:pPr>
        <w:numPr>
          <w:ilvl w:val="0"/>
          <w:numId w:val="1004"/>
        </w:numPr>
      </w:pPr>
      <w:r>
        <w:t xml:space="preserve">AC charging cable</w:t>
      </w:r>
    </w:p>
    <w:p>
      <w:pPr>
        <w:numPr>
          <w:ilvl w:val="0"/>
          <w:numId w:val="1004"/>
        </w:numPr>
      </w:pPr>
      <w:r>
        <w:t xml:space="preserve">User manual</w:t>
      </w:r>
    </w:p>
    <w:p>
      <w:pPr>
        <w:pStyle w:val="FirstParagraph"/>
      </w:pPr>
      <w:r>
        <w:t xml:space="preserve">Tip</w:t>
      </w:r>
    </w:p>
    <w:p>
      <w:pPr>
        <w:pStyle w:val="BodyText"/>
      </w:pPr>
      <w:r>
        <w:t xml:space="preserve">The car charging cable is not included but is available for purchase separately on the website.</w:t>
      </w:r>
      <w:r>
        <w:t xml:space="preserve"> </w:t>
      </w:r>
      <w:r>
        <w:t xml:space="preserve">For assistance, please contact customer service.</w:t>
      </w:r>
    </w:p>
    <w:bookmarkEnd w:id="103"/>
    <w:bookmarkStart w:id="104" w:name="fcc-compliance-part-15"/>
    <w:p>
      <w:pPr>
        <w:pStyle w:val="2"/>
      </w:pPr>
      <w:r>
        <w:t xml:space="preserve">FCC Compliance (Part 15)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t xml:space="preserve">This equipment has been tested and found to comply with the limits for a Class B digital device,</w:t>
      </w:r>
      <w:r>
        <w:t xml:space="preserve"> </w:t>
      </w:r>
      <w:r>
        <w:t xml:space="preserve">pursuant to Part 15 of the FCC Rules.</w:t>
      </w:r>
    </w:p>
    <w:p>
      <w:pPr>
        <w:pStyle w:val="BodyText"/>
      </w:pPr>
      <w:r>
        <w:t xml:space="preserve">This device complies with Part 15 of the FCC Rules. Operation is subject to the following two conditions:</w:t>
      </w:r>
    </w:p>
    <w:p>
      <w:pPr>
        <w:numPr>
          <w:ilvl w:val="0"/>
          <w:numId w:val="1005"/>
        </w:numPr>
      </w:pPr>
      <w:r>
        <w:t xml:space="preserve">This device may not cause harmful interference, and</w:t>
      </w:r>
    </w:p>
    <w:p>
      <w:pPr>
        <w:numPr>
          <w:ilvl w:val="0"/>
          <w:numId w:val="1005"/>
        </w:numPr>
      </w:pPr>
      <w:r>
        <w:t xml:space="preserve">This device must accept any interference received, including interference that may cause undesired operation.</w:t>
      </w:r>
    </w:p>
    <w:p>
      <w:pPr>
        <w:pStyle w:val="FirstParagraph"/>
      </w:pPr>
      <w:r>
        <w:t xml:space="preserve">These limits are designed to provide reasonable protection against harmful interference in a residential installation.</w:t>
      </w:r>
      <w:r>
        <w:t xml:space="preserve"> </w:t>
      </w:r>
      <w:r>
        <w:t xml:space="preserve">This equipment generates, uses and can radiate radio frequency</w:t>
      </w:r>
    </w:p>
    <w:bookmarkEnd w:id="104"/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This page contains a visual diagram of the product interface including:</w:t>
      </w:r>
    </w:p>
    <w:p>
      <w:pPr>
        <w:numPr>
          <w:ilvl w:val="0"/>
          <w:numId w:val="1006"/>
        </w:numPr>
      </w:pPr>
      <w:r>
        <w:t xml:space="preserve">AC Output</w:t>
      </w:r>
    </w:p>
    <w:p>
      <w:pPr>
        <w:numPr>
          <w:ilvl w:val="0"/>
          <w:numId w:val="1006"/>
        </w:numPr>
      </w:pPr>
      <w:r>
        <w:t xml:space="preserve">DC Output</w:t>
      </w:r>
    </w:p>
    <w:p>
      <w:pPr>
        <w:numPr>
          <w:ilvl w:val="0"/>
          <w:numId w:val="1006"/>
        </w:numPr>
      </w:pPr>
      <w:r>
        <w:t xml:space="preserve">USB Ports</w:t>
      </w:r>
    </w:p>
    <w:p>
      <w:pPr>
        <w:numPr>
          <w:ilvl w:val="0"/>
          <w:numId w:val="1006"/>
        </w:numPr>
      </w:pPr>
      <w:r>
        <w:t xml:space="preserve">LCD Display</w:t>
      </w:r>
    </w:p>
    <w:p>
      <w:pPr>
        <w:numPr>
          <w:ilvl w:val="0"/>
          <w:numId w:val="1006"/>
        </w:numPr>
      </w:pPr>
      <w:r>
        <w:t xml:space="preserve">Power Button</w:t>
      </w:r>
    </w:p>
    <w:p>
      <w:pPr>
        <w:numPr>
          <w:ilvl w:val="0"/>
          <w:numId w:val="1006"/>
        </w:numPr>
      </w:pPr>
      <w:r>
        <w:t xml:space="preserve">Input Ports</w:t>
      </w:r>
    </w:p>
    <w:p>
      <w:pPr>
        <w:pStyle w:val="FirstParagraph"/>
      </w:pPr>
      <w:r>
        <w:t xml:space="preserve">The detailed interface layout is provided as a visual diagram in the official manual.</w:t>
      </w:r>
    </w:p>
    <w:p>
      <w:pPr>
        <w:pStyle w:val="BodyText"/>
      </w:pPr>
      <w:r>
        <w:t xml:space="preserve">For the draft version of the documentation, this page is reserved as a placeholder.</w:t>
      </w:r>
      <w:r>
        <w:t xml:space="preserve"> </w:t>
      </w:r>
      <w:r>
        <w:t xml:space="preserve">A full visual diagram will be inserted in the final publication stage.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TODO: Insert design-provided overview image or PDF page.</w:t>
      </w:r>
    </w:p>
    <w:p>
      <w:pPr>
        <w:pStyle w:val="BodyText"/>
      </w:pPr>
      <w:r>
        <w:t xml:space="preserve">The LCD display shows the current working status of the Jackery HomePower 2000 Plus v2.</w:t>
      </w:r>
    </w:p>
    <w:p>
      <w:pPr>
        <w:pStyle w:val="BodyText"/>
      </w:pPr>
      <w:r>
        <w:t xml:space="preserve">Displayed information typically includes:</w:t>
      </w:r>
    </w:p>
    <w:p>
      <w:pPr>
        <w:numPr>
          <w:ilvl w:val="0"/>
          <w:numId w:val="1007"/>
        </w:numPr>
      </w:pPr>
      <w:r>
        <w:t xml:space="preserve">Battery level</w:t>
      </w:r>
    </w:p>
    <w:p>
      <w:pPr>
        <w:numPr>
          <w:ilvl w:val="0"/>
          <w:numId w:val="1007"/>
        </w:numPr>
      </w:pPr>
      <w:r>
        <w:t xml:space="preserve">Input power</w:t>
      </w:r>
    </w:p>
    <w:p>
      <w:pPr>
        <w:numPr>
          <w:ilvl w:val="0"/>
          <w:numId w:val="1007"/>
        </w:numPr>
      </w:pPr>
      <w:r>
        <w:t xml:space="preserve">Output power</w:t>
      </w:r>
    </w:p>
    <w:p>
      <w:pPr>
        <w:numPr>
          <w:ilvl w:val="0"/>
          <w:numId w:val="1007"/>
        </w:numPr>
      </w:pPr>
      <w:r>
        <w:t xml:space="preserve">Charging status</w:t>
      </w:r>
    </w:p>
    <w:p>
      <w:pPr>
        <w:numPr>
          <w:ilvl w:val="0"/>
          <w:numId w:val="1007"/>
        </w:numPr>
      </w:pPr>
      <w:r>
        <w:t xml:space="preserve">Error indicators</w:t>
      </w:r>
    </w:p>
    <w:p>
      <w:pPr>
        <w:numPr>
          <w:ilvl w:val="0"/>
          <w:numId w:val="1007"/>
        </w:numPr>
      </w:pPr>
      <w:r>
        <w:t xml:space="preserve">UPS mode indicator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t xml:space="preserve">The detailed LCD icon explanations are presented with a numbered diagram</w:t>
      </w:r>
      <w:r>
        <w:t xml:space="preserve"> </w:t>
      </w:r>
      <w:r>
        <w:t xml:space="preserve">in the official manual.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TODO: Insert LCD indicator diagram provided by the design team.</w:t>
      </w:r>
    </w:p>
    <w:p>
      <w:pPr>
        <w:pStyle w:val="BodyText"/>
      </w:pPr>
      <w:r>
        <w:t xml:space="preserve">This section describes the basic operation procedures of the Jackery HomePower 2000 Plus v2.</w:t>
      </w:r>
    </w:p>
    <w:bookmarkStart w:id="105" w:name="power-on-off"/>
    <w:p>
      <w:pPr>
        <w:pStyle w:val="2"/>
      </w:pPr>
      <w:r>
        <w:t xml:space="preserve">Power On / Off</w:t>
      </w:r>
    </w:p>
    <w:p>
      <w:pPr>
        <w:numPr>
          <w:ilvl w:val="0"/>
          <w:numId w:val="1008"/>
        </w:numPr>
      </w:pPr>
      <w:r>
        <w:t xml:space="preserve">Press the power button to turn on the unit.</w:t>
      </w:r>
    </w:p>
    <w:p>
      <w:pPr>
        <w:numPr>
          <w:ilvl w:val="0"/>
          <w:numId w:val="1008"/>
        </w:numPr>
      </w:pPr>
      <w:r>
        <w:t xml:space="preserve">The LCD screen will light up and display system status.</w:t>
      </w:r>
    </w:p>
    <w:p>
      <w:pPr>
        <w:numPr>
          <w:ilvl w:val="0"/>
          <w:numId w:val="1008"/>
        </w:numPr>
      </w:pPr>
      <w:r>
        <w:t xml:space="preserve">Press the power button again to turn off the system.</w:t>
      </w:r>
    </w:p>
    <w:bookmarkEnd w:id="105"/>
    <w:bookmarkStart w:id="106" w:name="ac-output"/>
    <w:p>
      <w:pPr>
        <w:pStyle w:val="2"/>
      </w:pPr>
      <w:r>
        <w:t xml:space="preserve">AC Output</w:t>
      </w:r>
    </w:p>
    <w:p>
      <w:pPr>
        <w:numPr>
          <w:ilvl w:val="0"/>
          <w:numId w:val="1009"/>
        </w:numPr>
      </w:pPr>
      <w:r>
        <w:t xml:space="preserve">Press the AC button to enable AC output.</w:t>
      </w:r>
    </w:p>
    <w:p>
      <w:pPr>
        <w:numPr>
          <w:ilvl w:val="0"/>
          <w:numId w:val="1009"/>
        </w:numPr>
      </w:pPr>
      <w:r>
        <w:t xml:space="preserve">The AC indicator will appear on the display.</w:t>
      </w:r>
    </w:p>
    <w:p>
      <w:pPr>
        <w:numPr>
          <w:ilvl w:val="0"/>
          <w:numId w:val="1009"/>
        </w:numPr>
      </w:pPr>
      <w:r>
        <w:t xml:space="preserve">Connect your device to the AC output ports.</w:t>
      </w:r>
    </w:p>
    <w:bookmarkEnd w:id="106"/>
    <w:bookmarkStart w:id="107" w:name="usb-output"/>
    <w:p>
      <w:pPr>
        <w:pStyle w:val="2"/>
      </w:pPr>
      <w:r>
        <w:t xml:space="preserve">USB Output</w:t>
      </w:r>
    </w:p>
    <w:p>
      <w:pPr>
        <w:pStyle w:val="FirstParagraph"/>
      </w:pPr>
      <w:r>
        <w:t xml:space="preserve">USB ports provide direct DC output for compatible devices such as smartphones,</w:t>
      </w:r>
      <w:r>
        <w:t xml:space="preserve"> </w:t>
      </w:r>
      <w:r>
        <w:t xml:space="preserve">tablets and cameras.</w:t>
      </w:r>
    </w:p>
    <w:bookmarkEnd w:id="107"/>
    <w:bookmarkStart w:id="108" w:name="dc-output"/>
    <w:p>
      <w:pPr>
        <w:pStyle w:val="2"/>
      </w:pPr>
      <w:r>
        <w:t xml:space="preserve">DC Output</w:t>
      </w:r>
    </w:p>
    <w:p>
      <w:pPr>
        <w:pStyle w:val="FirstParagraph"/>
      </w:pPr>
      <w:r>
        <w:t xml:space="preserve">The DC output ports can be used for powering compatible 12V devices.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Detailed interface diagrams and operating illustrations are provided in</w:t>
      </w:r>
      <w:r>
        <w:t xml:space="preserve"> </w:t>
      </w:r>
      <w:r>
        <w:t xml:space="preserve">the visual pages of the final manual.</w:t>
      </w:r>
    </w:p>
    <w:bookmarkEnd w:id="108"/>
    <w:p>
      <w:pPr>
        <w:pStyle w:val="BodyText"/>
      </w:pPr>
      <w:r>
        <w:t xml:space="preserve">Jackery HomePower 2000 Plus v2 supports Uninterruptible Power Supply (UPS) functionality.</w:t>
      </w:r>
    </w:p>
    <w:p>
      <w:pPr>
        <w:pStyle w:val="BodyText"/>
      </w:pPr>
      <w:r>
        <w:t xml:space="preserve">When the unit is connected to an AC power source, it can supply power to</w:t>
      </w:r>
      <w:r>
        <w:t xml:space="preserve"> </w:t>
      </w:r>
      <w:r>
        <w:t xml:space="preserve">connected devices while simultaneously charging its internal battery.</w:t>
      </w:r>
    </w:p>
    <w:p>
      <w:pPr>
        <w:pStyle w:val="BodyText"/>
      </w:pPr>
      <w:r>
        <w:t xml:space="preserve">In the event of a power outage:</w:t>
      </w:r>
    </w:p>
    <w:p>
      <w:pPr>
        <w:numPr>
          <w:ilvl w:val="0"/>
          <w:numId w:val="1010"/>
        </w:numPr>
      </w:pPr>
      <w:r>
        <w:t xml:space="preserve">The system automatically switches to battery power.</w:t>
      </w:r>
    </w:p>
    <w:p>
      <w:pPr>
        <w:numPr>
          <w:ilvl w:val="0"/>
          <w:numId w:val="1010"/>
        </w:numPr>
      </w:pPr>
      <w:r>
        <w:t xml:space="preserve">Connected devices continue to receive power without interruption.</w:t>
      </w:r>
    </w:p>
    <w:bookmarkStart w:id="109" w:name="typical-use-cases"/>
    <w:p>
      <w:pPr>
        <w:pStyle w:val="2"/>
      </w:pPr>
      <w:r>
        <w:t xml:space="preserve">Typical Use Cases</w:t>
      </w:r>
    </w:p>
    <w:p>
      <w:pPr>
        <w:pStyle w:val="FirstParagraph"/>
      </w:pPr>
      <w:r>
        <w:t xml:space="preserve">UPS mode is suitable for powering devices that require continuous power supply, such as:</w:t>
      </w:r>
    </w:p>
    <w:p>
      <w:pPr>
        <w:numPr>
          <w:ilvl w:val="0"/>
          <w:numId w:val="1011"/>
        </w:numPr>
      </w:pPr>
      <w:r>
        <w:t xml:space="preserve">Desktop computers</w:t>
      </w:r>
    </w:p>
    <w:p>
      <w:pPr>
        <w:numPr>
          <w:ilvl w:val="0"/>
          <w:numId w:val="1011"/>
        </w:numPr>
      </w:pPr>
      <w:r>
        <w:t xml:space="preserve">Network routers</w:t>
      </w:r>
    </w:p>
    <w:p>
      <w:pPr>
        <w:numPr>
          <w:ilvl w:val="0"/>
          <w:numId w:val="1011"/>
        </w:numPr>
      </w:pPr>
      <w:r>
        <w:t xml:space="preserve">Security systems</w:t>
      </w:r>
    </w:p>
    <w:p>
      <w:pPr>
        <w:numPr>
          <w:ilvl w:val="0"/>
          <w:numId w:val="1011"/>
        </w:numPr>
      </w:pPr>
      <w:r>
        <w:t xml:space="preserve">Home office equipment</w:t>
      </w:r>
    </w:p>
    <w:p>
      <w:pPr>
        <w:pStyle w:val="FirstParagraph"/>
      </w:pPr>
      <w:r>
        <w:t xml:space="preserve">Caution!</w:t>
      </w:r>
    </w:p>
    <w:p>
      <w:pPr>
        <w:pStyle w:val="BodyText"/>
      </w:pPr>
      <w:r>
        <w:t xml:space="preserve">Ensure the total load does not exceed the rated output power of the unit.</w:t>
      </w:r>
    </w:p>
    <w:bookmarkEnd w:id="109"/>
    <w:p>
      <w:pPr>
        <w:pStyle w:val="BodyText"/>
      </w:pPr>
      <w:r>
        <w:t xml:space="preserve">Jackery HomePower 2000 Plus v2 supports expansion with compatible external battery packs.</w:t>
      </w:r>
    </w:p>
    <w:bookmarkStart w:id="110" w:name="connecting-battery-packs"/>
    <w:p>
      <w:pPr>
        <w:pStyle w:val="2"/>
      </w:pPr>
      <w:r>
        <w:t xml:space="preserve">Connecting Battery Packs</w:t>
      </w:r>
    </w:p>
    <w:p>
      <w:pPr>
        <w:numPr>
          <w:ilvl w:val="0"/>
          <w:numId w:val="1012"/>
        </w:numPr>
      </w:pPr>
      <w:r>
        <w:t xml:space="preserve">Ensure the power station is turned off.</w:t>
      </w:r>
    </w:p>
    <w:p>
      <w:pPr>
        <w:numPr>
          <w:ilvl w:val="0"/>
          <w:numId w:val="1012"/>
        </w:numPr>
      </w:pPr>
      <w:r>
        <w:t xml:space="preserve">Connect the battery expansion cable to the expansion port.</w:t>
      </w:r>
    </w:p>
    <w:p>
      <w:pPr>
        <w:numPr>
          <w:ilvl w:val="0"/>
          <w:numId w:val="1012"/>
        </w:numPr>
      </w:pPr>
      <w:r>
        <w:t xml:space="preserve">Secure the connection properly.</w:t>
      </w:r>
    </w:p>
    <w:bookmarkEnd w:id="110"/>
    <w:bookmarkStart w:id="111" w:name="benefits"/>
    <w:p>
      <w:pPr>
        <w:pStyle w:val="2"/>
      </w:pPr>
      <w:r>
        <w:t xml:space="preserve">Benefits</w:t>
      </w:r>
    </w:p>
    <w:p>
      <w:pPr>
        <w:pStyle w:val="FirstParagraph"/>
      </w:pPr>
      <w:r>
        <w:t xml:space="preserve">Adding expansion battery packs can provide:</w:t>
      </w:r>
    </w:p>
    <w:p>
      <w:pPr>
        <w:numPr>
          <w:ilvl w:val="0"/>
          <w:numId w:val="1013"/>
        </w:numPr>
      </w:pPr>
      <w:r>
        <w:t xml:space="preserve">Increased energy storage capacity</w:t>
      </w:r>
    </w:p>
    <w:p>
      <w:pPr>
        <w:numPr>
          <w:ilvl w:val="0"/>
          <w:numId w:val="1013"/>
        </w:numPr>
      </w:pPr>
      <w:r>
        <w:t xml:space="preserve">Extended operating time</w:t>
      </w:r>
    </w:p>
    <w:p>
      <w:pPr>
        <w:numPr>
          <w:ilvl w:val="0"/>
          <w:numId w:val="1013"/>
        </w:numPr>
      </w:pPr>
      <w:r>
        <w:t xml:space="preserve">Improved flexibility for different power demands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t xml:space="preserve">Refer to the compatible battery pack models for supported configurations.</w:t>
      </w:r>
    </w:p>
    <w:bookmarkEnd w:id="111"/>
    <w:p>
      <w:pPr>
        <w:pStyle w:val="BodyText"/>
      </w:pPr>
      <w:r>
        <w:t xml:space="preserve">Jackery HomePower 2000 Plus v2 supports multiple charging methods.</w:t>
      </w:r>
    </w:p>
    <w:bookmarkStart w:id="112" w:name="ac-charging"/>
    <w:p>
      <w:pPr>
        <w:pStyle w:val="2"/>
      </w:pPr>
      <w:r>
        <w:t xml:space="preserve">AC Charging</w:t>
      </w:r>
    </w:p>
    <w:p>
      <w:pPr>
        <w:pStyle w:val="FirstParagraph"/>
      </w:pPr>
      <w:r>
        <w:t xml:space="preserve">Connect the AC charging cable to a wall outlet and plug the other end into the</w:t>
      </w:r>
      <w:r>
        <w:t xml:space="preserve"> </w:t>
      </w:r>
      <w:r>
        <w:t xml:space="preserve">AC input port of the power station.</w:t>
      </w:r>
    </w:p>
    <w:bookmarkEnd w:id="112"/>
    <w:bookmarkStart w:id="113" w:name="solar-charging"/>
    <w:p>
      <w:pPr>
        <w:pStyle w:val="2"/>
      </w:pPr>
      <w:r>
        <w:t xml:space="preserve">Solar Charging</w:t>
      </w:r>
    </w:p>
    <w:p>
      <w:pPr>
        <w:pStyle w:val="FirstParagraph"/>
      </w:pPr>
      <w:r>
        <w:t xml:space="preserve">The power station can be charged using compatible solar panels.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Ensure the solar panel voltage and current are within the supported range.</w:t>
      </w:r>
    </w:p>
    <w:bookmarkEnd w:id="113"/>
    <w:bookmarkStart w:id="114" w:name="car-charging"/>
    <w:p>
      <w:pPr>
        <w:pStyle w:val="2"/>
      </w:pPr>
      <w:r>
        <w:t xml:space="preserve">Car Charging</w:t>
      </w:r>
    </w:p>
    <w:p>
      <w:pPr>
        <w:pStyle w:val="FirstParagraph"/>
      </w:pPr>
      <w:r>
        <w:t xml:space="preserve">The power station can also be charged through a vehicle's 12V car outlet.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Car charging may take longer compared with AC charging.</w:t>
      </w:r>
    </w:p>
    <w:bookmarkEnd w:id="114"/>
    <w:p>
      <w:pPr>
        <w:pStyle w:val="BodyText"/>
      </w:pPr>
      <w:r>
        <w:t xml:space="preserve">Proper storage and maintenance can help prolong the lifespan of Jackery HomePower 2000 Plus v2.</w:t>
      </w:r>
    </w:p>
    <w:bookmarkStart w:id="115" w:name="storage-guidelines"/>
    <w:p>
      <w:pPr>
        <w:pStyle w:val="2"/>
      </w:pPr>
      <w:r>
        <w:t xml:space="preserve">Storage Guidelines</w:t>
      </w:r>
    </w:p>
    <w:p>
      <w:pPr>
        <w:numPr>
          <w:ilvl w:val="0"/>
          <w:numId w:val="1014"/>
        </w:numPr>
      </w:pPr>
      <w:r>
        <w:t xml:space="preserve">Store the product in a dry and cool environment.</w:t>
      </w:r>
    </w:p>
    <w:p>
      <w:pPr>
        <w:numPr>
          <w:ilvl w:val="0"/>
          <w:numId w:val="1014"/>
        </w:numPr>
      </w:pPr>
      <w:r>
        <w:t xml:space="preserve">Avoid exposure to direct sunlight.</w:t>
      </w:r>
    </w:p>
    <w:p>
      <w:pPr>
        <w:numPr>
          <w:ilvl w:val="0"/>
          <w:numId w:val="1014"/>
        </w:numPr>
      </w:pPr>
      <w:r>
        <w:t xml:space="preserve">Keep the device away from water and high humidity.</w:t>
      </w:r>
    </w:p>
    <w:bookmarkEnd w:id="115"/>
    <w:bookmarkStart w:id="116" w:name="battery-maintenance"/>
    <w:p>
      <w:pPr>
        <w:pStyle w:val="2"/>
      </w:pPr>
      <w:r>
        <w:t xml:space="preserve">Battery Maintenance</w:t>
      </w:r>
    </w:p>
    <w:p>
      <w:pPr>
        <w:pStyle w:val="FirstParagraph"/>
      </w:pPr>
      <w:r>
        <w:t xml:space="preserve">If the power station will not be used for an extended period:</w:t>
      </w:r>
    </w:p>
    <w:p>
      <w:pPr>
        <w:numPr>
          <w:ilvl w:val="0"/>
          <w:numId w:val="1015"/>
        </w:numPr>
      </w:pPr>
      <w:r>
        <w:t xml:space="preserve">Charge the battery to approximately 60–80%.</w:t>
      </w:r>
    </w:p>
    <w:p>
      <w:pPr>
        <w:numPr>
          <w:ilvl w:val="0"/>
          <w:numId w:val="1015"/>
        </w:numPr>
      </w:pPr>
      <w:r>
        <w:t xml:space="preserve">Recharge the battery every 3–6 months.</w:t>
      </w:r>
    </w:p>
    <w:p>
      <w:pPr>
        <w:pStyle w:val="FirstParagraph"/>
      </w:pPr>
      <w:r>
        <w:t xml:space="preserve">Caution!</w:t>
      </w:r>
    </w:p>
    <w:p>
      <w:pPr>
        <w:pStyle w:val="BodyText"/>
      </w:pPr>
      <w:r>
        <w:t xml:space="preserve">Failure to maintain battery charge may result in battery degradation.</w:t>
      </w:r>
    </w:p>
    <w:bookmarkEnd w:id="116"/>
    <w:p>
      <w:pPr>
        <w:pStyle w:val="BodyText"/>
      </w:pPr>
      <w:r>
        <w:t xml:space="preserve">If the power station does not operate as expected, refer to the following guidelines.</w:t>
      </w:r>
    </w:p>
    <w:bookmarkStart w:id="117" w:name="device-not-powering-on"/>
    <w:p>
      <w:pPr>
        <w:pStyle w:val="2"/>
      </w:pPr>
      <w:r>
        <w:t xml:space="preserve">Device Not Powering On</w:t>
      </w:r>
    </w:p>
    <w:p>
      <w:pPr>
        <w:pStyle w:val="FirstParagraph"/>
      </w:pPr>
      <w:r>
        <w:t xml:space="preserve">Possible causes:</w:t>
      </w:r>
    </w:p>
    <w:p>
      <w:pPr>
        <w:numPr>
          <w:ilvl w:val="0"/>
          <w:numId w:val="1016"/>
        </w:numPr>
      </w:pPr>
      <w:r>
        <w:t xml:space="preserve">Battery is completely discharged</w:t>
      </w:r>
    </w:p>
    <w:p>
      <w:pPr>
        <w:numPr>
          <w:ilvl w:val="0"/>
          <w:numId w:val="1016"/>
        </w:numPr>
      </w:pPr>
      <w:r>
        <w:t xml:space="preserve">Power button not pressed properly</w:t>
      </w:r>
    </w:p>
    <w:p>
      <w:pPr>
        <w:pStyle w:val="FirstParagraph"/>
      </w:pPr>
      <w:r>
        <w:t xml:space="preserve">Solution:</w:t>
      </w:r>
    </w:p>
    <w:p>
      <w:pPr>
        <w:numPr>
          <w:ilvl w:val="0"/>
          <w:numId w:val="1017"/>
        </w:numPr>
      </w:pPr>
      <w:r>
        <w:t xml:space="preserve">Recharge the device</w:t>
      </w:r>
    </w:p>
    <w:p>
      <w:pPr>
        <w:numPr>
          <w:ilvl w:val="0"/>
          <w:numId w:val="1017"/>
        </w:numPr>
      </w:pPr>
      <w:r>
        <w:t xml:space="preserve">Press the power button again</w:t>
      </w:r>
    </w:p>
    <w:bookmarkEnd w:id="117"/>
    <w:bookmarkStart w:id="118" w:name="no-output-power"/>
    <w:p>
      <w:pPr>
        <w:pStyle w:val="2"/>
      </w:pPr>
      <w:r>
        <w:t xml:space="preserve">No Output Power</w:t>
      </w:r>
    </w:p>
    <w:p>
      <w:pPr>
        <w:pStyle w:val="FirstParagraph"/>
      </w:pPr>
      <w:r>
        <w:t xml:space="preserve">Possible causes:</w:t>
      </w:r>
    </w:p>
    <w:p>
      <w:pPr>
        <w:numPr>
          <w:ilvl w:val="0"/>
          <w:numId w:val="1018"/>
        </w:numPr>
      </w:pPr>
      <w:r>
        <w:t xml:space="preserve">Output port disabled</w:t>
      </w:r>
    </w:p>
    <w:p>
      <w:pPr>
        <w:numPr>
          <w:ilvl w:val="0"/>
          <w:numId w:val="1018"/>
        </w:numPr>
      </w:pPr>
      <w:r>
        <w:t xml:space="preserve">Overload protection activated</w:t>
      </w:r>
    </w:p>
    <w:p>
      <w:pPr>
        <w:pStyle w:val="FirstParagraph"/>
      </w:pPr>
      <w:r>
        <w:t xml:space="preserve">Solution:</w:t>
      </w:r>
    </w:p>
    <w:p>
      <w:pPr>
        <w:numPr>
          <w:ilvl w:val="0"/>
          <w:numId w:val="1019"/>
        </w:numPr>
      </w:pPr>
      <w:r>
        <w:t xml:space="preserve">Check the output settings</w:t>
      </w:r>
    </w:p>
    <w:p>
      <w:pPr>
        <w:numPr>
          <w:ilvl w:val="0"/>
          <w:numId w:val="1019"/>
        </w:numPr>
      </w:pPr>
      <w:r>
        <w:t xml:space="preserve">Remove excessive loads</w:t>
      </w:r>
    </w:p>
    <w:bookmarkEnd w:id="118"/>
    <w:bookmarkStart w:id="119" w:name="charging-issues"/>
    <w:p>
      <w:pPr>
        <w:pStyle w:val="2"/>
      </w:pPr>
      <w:r>
        <w:t xml:space="preserve">Charging Issues</w:t>
      </w:r>
    </w:p>
    <w:p>
      <w:pPr>
        <w:pStyle w:val="FirstParagraph"/>
      </w:pPr>
      <w:r>
        <w:t xml:space="preserve">Possible causes:</w:t>
      </w:r>
    </w:p>
    <w:p>
      <w:pPr>
        <w:numPr>
          <w:ilvl w:val="0"/>
          <w:numId w:val="1020"/>
        </w:numPr>
      </w:pPr>
      <w:r>
        <w:t xml:space="preserve">Incorrect charging cable</w:t>
      </w:r>
    </w:p>
    <w:p>
      <w:pPr>
        <w:numPr>
          <w:ilvl w:val="0"/>
          <w:numId w:val="1020"/>
        </w:numPr>
      </w:pPr>
      <w:r>
        <w:t xml:space="preserve">Power source unavailable</w:t>
      </w:r>
    </w:p>
    <w:p>
      <w:pPr>
        <w:pStyle w:val="FirstParagraph"/>
      </w:pPr>
      <w:r>
        <w:t xml:space="preserve">Solution:</w:t>
      </w:r>
    </w:p>
    <w:p>
      <w:pPr>
        <w:numPr>
          <w:ilvl w:val="0"/>
          <w:numId w:val="1021"/>
        </w:numPr>
      </w:pPr>
      <w:r>
        <w:t xml:space="preserve">Verify cable connections</w:t>
      </w:r>
    </w:p>
    <w:p>
      <w:pPr>
        <w:numPr>
          <w:ilvl w:val="0"/>
          <w:numId w:val="1021"/>
        </w:numPr>
      </w:pPr>
      <w:r>
        <w:t xml:space="preserve">Check power supply source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t xml:space="preserve">If the issue persists, contact customer support.</w:t>
      </w:r>
    </w:p>
    <w:bookmarkEnd w:id="119"/>
    <w:bookmarkStart w:id="124" w:name="specifications"/>
    <w:p>
      <w:pPr>
        <w:pStyle w:val="1"/>
      </w:pPr>
      <w:r>
        <w:t xml:space="preserve">SPECIFICATIONS</w:t>
      </w:r>
    </w:p>
    <w:bookmarkStart w:id="120" w:name="general-info"/>
    <w:p>
      <w:pPr>
        <w:pStyle w:val="2"/>
      </w:pPr>
      <w:r>
        <w:t xml:space="preserve">GENERAL INFO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Product Name</w:t>
            </w:r>
          </w:p>
        </w:tc>
        <w:tc>
          <w:tcPr/>
          <w:p>
            <w:pPr>
              <w:pStyle w:val="Compact"/>
            </w:pPr>
            <w:r>
              <w:t xml:space="preserve">Jackery HomePower 2000 Plus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No.</w:t>
            </w:r>
          </w:p>
        </w:tc>
        <w:tc>
          <w:tcPr/>
          <w:p>
            <w:pPr>
              <w:pStyle w:val="Compact"/>
            </w:pPr>
            <w:r>
              <w:t xml:space="preserve">JHP-2000A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2048 Wh (40Ah/51.2V DC)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Chemistry</w:t>
            </w:r>
          </w:p>
        </w:tc>
        <w:tc>
          <w:tcPr/>
          <w:p>
            <w:pPr>
              <w:pStyle w:val="Compact"/>
            </w:pPr>
            <w:r>
              <w:t xml:space="preserve">LiFePO₄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About 40.56 lbs / 18.4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14.4 × 10.0 × 10.8 in / 36.5 × 25.5 × 27.5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Life</w:t>
            </w:r>
          </w:p>
        </w:tc>
        <w:tc>
          <w:tcPr/>
          <w:p>
            <w:pPr>
              <w:pStyle w:val="Compact"/>
            </w:pPr>
            <w:r>
              <w:t xml:space="preserve">6000 cycles to 70%+ capacity</w:t>
            </w:r>
          </w:p>
        </w:tc>
      </w:tr>
    </w:tbl>
    <w:bookmarkEnd w:id="120"/>
    <w:bookmarkStart w:id="121" w:name="input-ports"/>
    <w:p>
      <w:pPr>
        <w:pStyle w:val="2"/>
      </w:pPr>
      <w:r>
        <w:t xml:space="preserve">INPUT PORTS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× AC Input</w:t>
            </w:r>
          </w:p>
        </w:tc>
        <w:tc>
          <w:tcPr/>
          <w:p>
            <w:pPr>
              <w:pStyle w:val="Compact"/>
            </w:pPr>
            <w:r>
              <w:t xml:space="preserve">Charge Mode: 100V–120V~60Hz, 15A Max, 1750W Max</w:t>
            </w:r>
            <w:r>
              <w:br/>
            </w:r>
            <w:r>
              <w:t xml:space="preserve">Bypass Mode¹: 100V–120V~60Hz, 12A Max, 1440W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× DC8020 Ports</w:t>
            </w:r>
          </w:p>
        </w:tc>
        <w:tc>
          <w:tcPr/>
          <w:p>
            <w:pPr>
              <w:pStyle w:val="Compact"/>
            </w:pPr>
            <w:r>
              <w:t xml:space="preserve">16V–60V⎓: 12A Max, Double to 21A / 800W Max</w:t>
            </w:r>
            <w:r>
              <w:br/>
            </w:r>
            <w:r>
              <w:t xml:space="preserve">11V–16V⎓: 8A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× DC Expansion Port</w:t>
            </w:r>
          </w:p>
        </w:tc>
        <w:tc>
          <w:tcPr/>
          <w:p>
            <w:pPr>
              <w:pStyle w:val="Compact"/>
            </w:pPr>
            <w:r>
              <w:t xml:space="preserve">36.8V–57.6V⎓ 75A Max</w:t>
            </w:r>
          </w:p>
        </w:tc>
      </w:tr>
    </w:tbl>
    <w:bookmarkEnd w:id="121"/>
    <w:bookmarkStart w:id="122" w:name="output-ports"/>
    <w:p>
      <w:pPr>
        <w:pStyle w:val="2"/>
      </w:pPr>
      <w:r>
        <w:t xml:space="preserve">OUTPUT PORTS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 × AC Output</w:t>
            </w:r>
          </w:p>
        </w:tc>
        <w:tc>
          <w:tcPr/>
          <w:p>
            <w:pPr>
              <w:pStyle w:val="Compact"/>
            </w:pPr>
            <w:r>
              <w:t xml:space="preserve">120V~60Hz, 20A Max, 2400W Rated, 4800W Surge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Total Output</w:t>
            </w:r>
          </w:p>
        </w:tc>
        <w:tc>
          <w:tcPr/>
          <w:p>
            <w:pPr>
              <w:pStyle w:val="Compact"/>
            </w:pPr>
            <w:r>
              <w:t xml:space="preserve">2400W Rated, 4800W Surge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Output in Bypass Mode¹</w:t>
            </w:r>
          </w:p>
        </w:tc>
        <w:tc>
          <w:tcPr/>
          <w:p>
            <w:pPr>
              <w:pStyle w:val="Compact"/>
            </w:pPr>
            <w:r>
              <w:t xml:space="preserve">100V–120V~60Hz, 12A Max, 1440W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× USB-A Output</w:t>
            </w:r>
          </w:p>
        </w:tc>
        <w:tc>
          <w:tcPr/>
          <w:p>
            <w:pPr>
              <w:pStyle w:val="Compact"/>
            </w:pPr>
            <w:r>
              <w:t xml:space="preserve">18W Max, 5V⎓3A, 6V⎓2A, 9V⎓2A, 9-12V⎓1.5A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× USB-C Output</w:t>
            </w:r>
          </w:p>
        </w:tc>
        <w:tc>
          <w:tcPr/>
          <w:p>
            <w:pPr>
              <w:pStyle w:val="Compact"/>
            </w:pPr>
            <w:r>
              <w:t xml:space="preserve">30W Max, 5V⎓3A, 9V⎓3A, 12V⎓2.5A, 15V⎓2A, 20V⎓1.5A</w:t>
            </w:r>
            <w:r>
              <w:br/>
            </w:r>
            <w:r>
              <w:t xml:space="preserve">140W Max, 5V⎓3A, 9V⎓3A, 12V⎓3A, 15V⎓3A, 20V⎓5A, 28V⎓5A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× DC 12V Port</w:t>
            </w:r>
          </w:p>
        </w:tc>
        <w:tc>
          <w:tcPr/>
          <w:p>
            <w:pPr>
              <w:pStyle w:val="Compact"/>
            </w:pPr>
            <w:r>
              <w:t xml:space="preserve">12V⎓10A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× DC Expansion Port</w:t>
            </w:r>
          </w:p>
        </w:tc>
        <w:tc>
          <w:tcPr/>
          <w:p>
            <w:pPr>
              <w:pStyle w:val="Compact"/>
            </w:pPr>
            <w:r>
              <w:t xml:space="preserve">36.8V–57.6V⎓ 75A Max</w:t>
            </w:r>
          </w:p>
        </w:tc>
      </w:tr>
    </w:tbl>
    <w:bookmarkEnd w:id="122"/>
    <w:bookmarkStart w:id="123" w:name="environmental-operating-temperature"/>
    <w:p>
      <w:pPr>
        <w:pStyle w:val="2"/>
      </w:pPr>
      <w:r>
        <w:t xml:space="preserve">ENVIRONMENTAL OPERATING TEMPERATURE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Charge Temperature</w:t>
            </w:r>
          </w:p>
        </w:tc>
        <w:tc>
          <w:tcPr/>
          <w:p>
            <w:pPr>
              <w:pStyle w:val="Compact"/>
            </w:pPr>
            <w:r>
              <w:t xml:space="preserve">−4°F to 113°F / −20°C to 45°C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 Temperature</w:t>
            </w:r>
          </w:p>
        </w:tc>
        <w:tc>
          <w:tcPr/>
          <w:p>
            <w:pPr>
              <w:pStyle w:val="Compact"/>
            </w:pPr>
            <w:r>
              <w:t xml:space="preserve">−4°F to 113°F / −20°C to 45°C</w:t>
            </w:r>
          </w:p>
        </w:tc>
      </w:tr>
    </w:tbl>
    <w:p>
      <w:pPr>
        <w:pStyle w:val="BodyText"/>
      </w:pPr>
      <w:r>
        <w:t xml:space="preserve">※ USB Type-C® and USB-C® are registered trademarks of USB Implementers Forum.</w:t>
      </w:r>
    </w:p>
    <w:p>
      <w:pPr>
        <w:pStyle w:val="BodyText"/>
      </w:pPr>
      <w:r>
        <w:t xml:space="preserve">①The product can charge the battery from the AC wall outlet while delivering power through the AC output ports.</w:t>
      </w:r>
    </w:p>
    <w:p>
      <w:pPr>
        <w:pStyle w:val="BodyText"/>
      </w:pPr>
      <w:r>
        <w:t xml:space="preserve">②Indicates that two or more AC output ports work together.</w:t>
      </w:r>
    </w:p>
    <w:bookmarkEnd w:id="123"/>
    <w:bookmarkEnd w:id="124"/>
    <w:p>
      <w:pPr>
        <w:pStyle w:val="BodyText"/>
      </w:pPr>
      <w:r>
        <w:t xml:space="preserve">Jackery HomePower 2000 Plus v2 is covered by a limited warranty provided by the manufacturer.</w:t>
      </w:r>
    </w:p>
    <w:bookmarkStart w:id="125" w:name="warranty-coverage"/>
    <w:p>
      <w:pPr>
        <w:pStyle w:val="2"/>
      </w:pPr>
      <w:r>
        <w:t xml:space="preserve">Warranty Coverage</w:t>
      </w:r>
    </w:p>
    <w:p>
      <w:pPr>
        <w:pStyle w:val="FirstParagraph"/>
      </w:pPr>
      <w:r>
        <w:t xml:space="preserve">The warranty covers defects in materials and workmanship under normal use.</w:t>
      </w:r>
    </w:p>
    <w:bookmarkEnd w:id="125"/>
    <w:bookmarkStart w:id="126" w:name="warranty-period"/>
    <w:p>
      <w:pPr>
        <w:pStyle w:val="2"/>
      </w:pPr>
      <w:r>
        <w:t xml:space="preserve">Warranty Period</w:t>
      </w:r>
    </w:p>
    <w:p>
      <w:pPr>
        <w:pStyle w:val="FirstParagraph"/>
      </w:pPr>
      <w:r>
        <w:t xml:space="preserve">The warranty period begins on the date of purchase.</w:t>
      </w:r>
    </w:p>
    <w:bookmarkEnd w:id="126"/>
    <w:bookmarkStart w:id="127" w:name="exclusions"/>
    <w:p>
      <w:pPr>
        <w:pStyle w:val="2"/>
      </w:pPr>
      <w:r>
        <w:t xml:space="preserve">Exclusions</w:t>
      </w:r>
    </w:p>
    <w:p>
      <w:pPr>
        <w:pStyle w:val="FirstParagraph"/>
      </w:pPr>
      <w:r>
        <w:t xml:space="preserve">The warranty does not cover:</w:t>
      </w:r>
    </w:p>
    <w:p>
      <w:pPr>
        <w:numPr>
          <w:ilvl w:val="0"/>
          <w:numId w:val="1022"/>
        </w:numPr>
      </w:pPr>
      <w:r>
        <w:t xml:space="preserve">Damage caused by misuse</w:t>
      </w:r>
    </w:p>
    <w:p>
      <w:pPr>
        <w:numPr>
          <w:ilvl w:val="0"/>
          <w:numId w:val="1022"/>
        </w:numPr>
      </w:pPr>
      <w:r>
        <w:t xml:space="preserve">Unauthorized modifications</w:t>
      </w:r>
    </w:p>
    <w:p>
      <w:pPr>
        <w:numPr>
          <w:ilvl w:val="0"/>
          <w:numId w:val="1022"/>
        </w:numPr>
      </w:pPr>
      <w:r>
        <w:t xml:space="preserve">Accidental damage</w:t>
      </w:r>
    </w:p>
    <w:p>
      <w:pPr>
        <w:numPr>
          <w:ilvl w:val="0"/>
          <w:numId w:val="1022"/>
        </w:numPr>
      </w:pPr>
      <w:r>
        <w:t xml:space="preserve">Improper storage conditions</w:t>
      </w:r>
    </w:p>
    <w:bookmarkEnd w:id="127"/>
    <w:bookmarkStart w:id="128" w:name="customer-support"/>
    <w:p>
      <w:pPr>
        <w:pStyle w:val="2"/>
      </w:pPr>
      <w:r>
        <w:t xml:space="preserve">Customer Support</w:t>
      </w:r>
    </w:p>
    <w:p>
      <w:pPr>
        <w:pStyle w:val="FirstParagraph"/>
      </w:pPr>
      <w:r>
        <w:t xml:space="preserve">For warranty service or technical support, contact the official support channel.</w:t>
      </w:r>
    </w:p>
    <w:bookmarkEnd w:id="128"/>
    <w:p>
      <w:pPr>
        <w:pStyle w:val="BodyText"/>
      </w:pPr>
      <w:r>
        <w:t xml:space="preserve">Jackery HomePower 2000 Plus v2 can be monitored and controlled using the official mobile application.</w:t>
      </w:r>
    </w:p>
    <w:bookmarkStart w:id="129" w:name="basic-features"/>
    <w:p>
      <w:pPr>
        <w:pStyle w:val="2"/>
      </w:pPr>
      <w:r>
        <w:t xml:space="preserve">Basic Features</w:t>
      </w:r>
    </w:p>
    <w:p>
      <w:pPr>
        <w:numPr>
          <w:ilvl w:val="0"/>
          <w:numId w:val="1023"/>
        </w:numPr>
      </w:pPr>
      <w:r>
        <w:t xml:space="preserve">Real-time power monitoring</w:t>
      </w:r>
    </w:p>
    <w:p>
      <w:pPr>
        <w:numPr>
          <w:ilvl w:val="0"/>
          <w:numId w:val="1023"/>
        </w:numPr>
      </w:pPr>
      <w:r>
        <w:t xml:space="preserve">Input and output status display</w:t>
      </w:r>
    </w:p>
    <w:p>
      <w:pPr>
        <w:numPr>
          <w:ilvl w:val="0"/>
          <w:numId w:val="1023"/>
        </w:numPr>
      </w:pPr>
      <w:r>
        <w:t xml:space="preserve">Battery level monitoring</w:t>
      </w:r>
    </w:p>
    <w:p>
      <w:pPr>
        <w:numPr>
          <w:ilvl w:val="0"/>
          <w:numId w:val="1023"/>
        </w:numPr>
      </w:pPr>
      <w:r>
        <w:t xml:space="preserve">Firmware updates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t xml:space="preserve">The official manual provides detailed step-by-step screenshots</w:t>
      </w:r>
      <w:r>
        <w:t xml:space="preserve"> </w:t>
      </w:r>
      <w:r>
        <w:t xml:space="preserve">for connecting the device to the mobile application.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TODO: Insert app connection screenshots and pairing instructions.</w:t>
      </w:r>
    </w:p>
    <w:bookmarkEnd w:id="129"/>
    <w:sectPr w:rsidR="00A12A52">
      <w:pgSz w:h="16905" w:w="13380"/>
      <w:pgMar w:bottom="720" w:footer="991" w:gutter="0" w:header="850" w:left="1080" w:right="1080" w:top="72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5DB4F59"/>
    <w:multiLevelType w:val="multilevel"/>
    <w:tmpl w:val="81064446"/>
    <w:lvl w:ilvl="0">
      <w:start w:val="1"/>
      <w:numFmt w:val="bullet"/>
      <w:lvlText w:val="●"/>
      <w:lvlJc w:val="left"/>
      <w:pPr>
        <w:ind w:hanging="420" w:left="4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A8E1394"/>
    <w:multiLevelType w:val="multilevel"/>
    <w:tmpl w:val="B0E245A4"/>
    <w:lvl w:ilvl="0">
      <w:start w:val="1"/>
      <w:numFmt w:val="bullet"/>
      <w:lvlText w:val="●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">
    <w:nsid w:val="0C0F4CFF"/>
    <w:multiLevelType w:val="multilevel"/>
    <w:tmpl w:val="3E6E8E8E"/>
    <w:lvl w:ilvl="0">
      <w:start w:val="1"/>
      <w:numFmt w:val="bullet"/>
      <w:lvlText w:val="●"/>
      <w:lvlJc w:val="left"/>
      <w:pPr>
        <w:ind w:hanging="420" w:left="4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">
    <w:nsid w:val="0F585105"/>
    <w:multiLevelType w:val="multilevel"/>
    <w:tmpl w:val="C2DAA5D6"/>
    <w:lvl w:ilvl="0">
      <w:start w:val="1"/>
      <w:numFmt w:val="bullet"/>
      <w:lvlText w:val="●"/>
      <w:lvlJc w:val="left"/>
      <w:pPr>
        <w:ind w:hanging="420" w:left="4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0FE15BE2"/>
    <w:multiLevelType w:val="multilevel"/>
    <w:tmpl w:val="91225A36"/>
    <w:lvl w:ilvl="0">
      <w:start w:val="1"/>
      <w:numFmt w:val="bullet"/>
      <w:lvlText w:val="●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5">
    <w:nsid w:val="15692330"/>
    <w:multiLevelType w:val="multilevel"/>
    <w:tmpl w:val="3C4474C0"/>
    <w:lvl w:ilvl="0">
      <w:start w:val="1"/>
      <w:numFmt w:val="decimal"/>
      <w:lvlText w:val="%1.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6">
    <w:nsid w:val="24493B7E"/>
    <w:multiLevelType w:val="multilevel"/>
    <w:tmpl w:val="4128F424"/>
    <w:lvl w:ilvl="0">
      <w:start w:val="1"/>
      <w:numFmt w:val="bullet"/>
      <w:lvlText w:val="●"/>
      <w:lvlJc w:val="left"/>
      <w:pPr>
        <w:ind w:hanging="420" w:left="4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7">
    <w:nsid w:val="245F77A6"/>
    <w:multiLevelType w:val="multilevel"/>
    <w:tmpl w:val="E370BFA0"/>
    <w:lvl w:ilvl="0">
      <w:start w:val="1"/>
      <w:numFmt w:val="bullet"/>
      <w:lvlText w:val="●"/>
      <w:lvlJc w:val="left"/>
      <w:pPr>
        <w:ind w:hanging="420" w:left="4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8">
    <w:nsid w:val="268C78F0"/>
    <w:multiLevelType w:val="multilevel"/>
    <w:tmpl w:val="D77643BE"/>
    <w:lvl w:ilvl="0">
      <w:start w:val="1"/>
      <w:numFmt w:val="bullet"/>
      <w:lvlText w:val="●"/>
      <w:lvlJc w:val="left"/>
      <w:pPr>
        <w:ind w:hanging="420" w:left="420"/>
      </w:pPr>
    </w:lvl>
    <w:lvl w:ilvl="1">
      <w:start w:val="1"/>
      <w:numFmt w:val="bullet"/>
      <w:lvlText w:val="○"/>
      <w:lvlJc w:val="left"/>
      <w:pPr>
        <w:ind w:hanging="420" w:left="84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9">
    <w:nsid w:val="29D80DE1"/>
    <w:multiLevelType w:val="multilevel"/>
    <w:tmpl w:val="4CBA0424"/>
    <w:lvl w:ilvl="0">
      <w:start w:val="1"/>
      <w:numFmt w:val="decimal"/>
      <w:lvlText w:val="%1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29DD2C9A"/>
    <w:multiLevelType w:val="multilevel"/>
    <w:tmpl w:val="B79C5B30"/>
    <w:lvl w:ilvl="0">
      <w:start w:val="1"/>
      <w:numFmt w:val="bullet"/>
      <w:lvlText w:val="●"/>
      <w:lvlJc w:val="left"/>
      <w:pPr>
        <w:ind w:hanging="420" w:left="4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1">
    <w:nsid w:val="2E036C1C"/>
    <w:multiLevelType w:val="multilevel"/>
    <w:tmpl w:val="6A3E4FA0"/>
    <w:lvl w:ilvl="0">
      <w:start w:val="1"/>
      <w:numFmt w:val="bullet"/>
      <w:lvlText w:val="●"/>
      <w:lvlJc w:val="left"/>
      <w:pPr>
        <w:ind w:hanging="420" w:left="480"/>
      </w:pPr>
    </w:lvl>
    <w:lvl w:ilvl="1">
      <w:start w:val="1"/>
      <w:numFmt w:val="bullet"/>
      <w:lvlText w:val="○"/>
      <w:lvlJc w:val="left"/>
      <w:pPr>
        <w:ind w:hanging="420" w:left="90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2">
    <w:nsid w:val="38D86DB1"/>
    <w:multiLevelType w:val="multilevel"/>
    <w:tmpl w:val="D17C19C4"/>
    <w:lvl w:ilvl="0">
      <w:start w:val="1"/>
      <w:numFmt w:val="bullet"/>
      <w:lvlText w:val="●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3">
    <w:nsid w:val="3E550881"/>
    <w:multiLevelType w:val="multilevel"/>
    <w:tmpl w:val="D8DCF7DC"/>
    <w:lvl w:ilvl="0">
      <w:start w:val="1"/>
      <w:numFmt w:val="bullet"/>
      <w:lvlText w:val="●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4">
    <w:nsid w:val="41587CE5"/>
    <w:multiLevelType w:val="multilevel"/>
    <w:tmpl w:val="7E76E0AA"/>
    <w:lvl w:ilvl="0">
      <w:start w:val="1"/>
      <w:numFmt w:val="bullet"/>
      <w:lvlText w:val="●"/>
      <w:lvlJc w:val="left"/>
      <w:pPr>
        <w:ind w:hanging="420" w:left="4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5">
    <w:nsid w:val="42092675"/>
    <w:multiLevelType w:val="multilevel"/>
    <w:tmpl w:val="2F147854"/>
    <w:lvl w:ilvl="0">
      <w:start w:val="1"/>
      <w:numFmt w:val="decimal"/>
      <w:lvlText w:val="%1.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6">
    <w:nsid w:val="465C7493"/>
    <w:multiLevelType w:val="multilevel"/>
    <w:tmpl w:val="EB62CEAA"/>
    <w:lvl w:ilvl="0">
      <w:start w:val="1"/>
      <w:numFmt w:val="bullet"/>
      <w:lvlText w:val="●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7">
    <w:nsid w:val="53A63E74"/>
    <w:multiLevelType w:val="multilevel"/>
    <w:tmpl w:val="715EAF4E"/>
    <w:lvl w:ilvl="0">
      <w:start w:val="1"/>
      <w:numFmt w:val="bullet"/>
      <w:lvlText w:val="●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8">
    <w:nsid w:val="54DB2C9F"/>
    <w:multiLevelType w:val="multilevel"/>
    <w:tmpl w:val="3AC27718"/>
    <w:lvl w:ilvl="0">
      <w:start w:val="1"/>
      <w:numFmt w:val="bullet"/>
      <w:lvlText w:val="●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9">
    <w:nsid w:val="561417B4"/>
    <w:multiLevelType w:val="multilevel"/>
    <w:tmpl w:val="24228548"/>
    <w:lvl w:ilvl="0">
      <w:start w:val="1"/>
      <w:numFmt w:val="decimal"/>
      <w:lvlText w:val="%1."/>
      <w:lvlJc w:val="left"/>
      <w:pPr>
        <w:ind w:hanging="420" w:left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690255272" w:numId="1">
    <w:abstractNumId w:val="12"/>
  </w:num>
  <w:num w16cid:durableId="240413795" w:numId="2">
    <w:abstractNumId w:val="6"/>
  </w:num>
  <w:num w16cid:durableId="1738161720" w:numId="3">
    <w:abstractNumId w:val="5"/>
  </w:num>
  <w:num w16cid:durableId="1641230929" w:numId="4">
    <w:abstractNumId w:val="16"/>
  </w:num>
  <w:num w16cid:durableId="1495102399" w:numId="5">
    <w:abstractNumId w:val="3"/>
  </w:num>
  <w:num w16cid:durableId="1652173359" w:numId="6">
    <w:abstractNumId w:val="0"/>
  </w:num>
  <w:num w16cid:durableId="1855874264" w:numId="7">
    <w:abstractNumId w:val="4"/>
  </w:num>
  <w:num w16cid:durableId="388842622" w:numId="8">
    <w:abstractNumId w:val="10"/>
  </w:num>
  <w:num w16cid:durableId="1833715751" w:numId="9">
    <w:abstractNumId w:val="9"/>
  </w:num>
  <w:num w16cid:durableId="1564877070" w:numId="10">
    <w:abstractNumId w:val="15"/>
  </w:num>
  <w:num w16cid:durableId="161050810" w:numId="11">
    <w:abstractNumId w:val="13"/>
  </w:num>
  <w:num w16cid:durableId="61367882" w:numId="12">
    <w:abstractNumId w:val="7"/>
  </w:num>
  <w:num w16cid:durableId="372193709" w:numId="13">
    <w:abstractNumId w:val="14"/>
  </w:num>
  <w:num w16cid:durableId="852299907" w:numId="14">
    <w:abstractNumId w:val="19"/>
  </w:num>
  <w:num w16cid:durableId="485049856" w:numId="15">
    <w:abstractNumId w:val="8"/>
  </w:num>
  <w:num w16cid:durableId="521548897" w:numId="16">
    <w:abstractNumId w:val="1"/>
  </w:num>
  <w:num w16cid:durableId="1222055158" w:numId="17">
    <w:abstractNumId w:val="18"/>
  </w:num>
  <w:num w16cid:durableId="979311080" w:numId="18">
    <w:abstractNumId w:val="11"/>
  </w:num>
  <w:num w16cid:durableId="1187057332" w:numId="19">
    <w:abstractNumId w:val="2"/>
  </w:num>
  <w:num w16cid:durableId="1993830497" w:numId="20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4"/>
  <w:displayBackgroundShape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A52"/>
    <w:rsid w:val="00200873"/>
    <w:rsid w:val="00A12A52"/>
    <w:rsid w:val="00C53554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lang w:bidi="ar-SA" w:eastAsia="zh-CN" w:val="en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pPr>
      <w:widowControl w:val="0"/>
    </w:pPr>
  </w:style>
  <w:style w:styleId="1" w:type="paragraph">
    <w:name w:val="heading 1"/>
    <w:uiPriority w:val="9"/>
    <w:qFormat/>
    <w:pPr>
      <w:keepNext/>
      <w:keepLines/>
      <w:spacing w:after="210" w:before="348"/>
      <w:outlineLvl w:val="0"/>
    </w:pPr>
    <w:rPr>
      <w:b/>
      <w:sz w:val="34"/>
    </w:rPr>
  </w:style>
  <w:style w:styleId="2" w:type="paragraph">
    <w:name w:val="heading 2"/>
    <w:uiPriority w:val="9"/>
    <w:unhideWhenUsed/>
    <w:qFormat/>
    <w:pPr>
      <w:keepNext/>
      <w:keepLines/>
      <w:spacing w:after="190" w:before="348"/>
      <w:outlineLvl w:val="1"/>
    </w:pPr>
    <w:rPr>
      <w:b/>
      <w:sz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styleId="a3" w:type="table">
    <w:name w:val="Table Grid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CellMar>
        <w:top w:type="dxa" w:w="0"/>
        <w:left w:type="dxa" w:w="0"/>
        <w:bottom w:type="dxa" w:w="0"/>
        <w:right w:type="dxa" w:w="0"/>
      </w:tblCellMar>
    </w:tblPr>
  </w:style>
  <w:style w:customStyle="1" w:styleId="dingdocnormal" w:type="paragraph">
    <w:name w:val="dingdoc normal"/>
    <w:rPr>
      <w:sz w:val="24"/>
    </w:rPr>
  </w:style>
  <w:style w:customStyle="1" w:styleId="a4" w:type="table">
    <w:tblPr>
      <w:tblBorders>
        <w:top w:color="D6D6D6" w:space="0" w:sz="6" w:val="single"/>
        <w:left w:color="D6D6D6" w:space="0" w:sz="6" w:val="single"/>
        <w:bottom w:color="D6D6D6" w:space="0" w:sz="6" w:val="single"/>
        <w:right w:color="D6D6D6" w:space="0" w:sz="6" w:val="single"/>
        <w:insideH w:color="D6D6D6" w:space="0" w:sz="6" w:val="single"/>
        <w:insideV w:color="D6D6D6" w:space="0" w:sz="6" w:val="single"/>
      </w:tblBorders>
      <w:tblCellMar>
        <w:top w:type="dxa" w:w="0"/>
        <w:left w:type="dxa" w:w="0"/>
        <w:bottom w:type="dxa" w:w="0"/>
        <w:right w:type="dxa" w:w="0"/>
      </w:tblCellMar>
    </w:tblPr>
  </w:style>
  <w:style w:customStyle="1" w:styleId="a5" w:type="table">
    <w:basedOn w:val="a4"/>
    <w:tblPr>
      <w:tblCellMar>
        <w:top w:type="dxa" w:w="0"/>
        <w:left w:type="dxa" w:w="0"/>
        <w:bottom w:type="dxa" w:w="0"/>
        <w:right w:type="dxa" w:w="0"/>
      </w:tblCellMar>
    </w:tblPr>
    <w:tblStylePr w:type="firstRow">
      <w:tblPr/>
      <w:tcPr>
        <w:shd w:color="auto" w:fill="F5F6F7" w:val="clear"/>
      </w:tcPr>
    </w:tblStylePr>
    <w:tblStylePr w:type="firstCol">
      <w:tblPr/>
      <w:tcPr>
        <w:shd w:color="auto" w:fill="F5F6F7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64" Target="numbering.xml" /><Relationship Type="http://schemas.openxmlformats.org/officeDocument/2006/relationships/styles" Id="rId63" Target="styles.xml" /><Relationship Type="http://schemas.openxmlformats.org/officeDocument/2006/relationships/settings" Id="rId62" Target="settings.xml" /><Relationship Type="http://schemas.openxmlformats.org/officeDocument/2006/relationships/webSettings" Id="rId61" Target="webSettings.xml" /><Relationship Type="http://schemas.openxmlformats.org/officeDocument/2006/relationships/fontTable" Id="rId60" Target="fontTable.xml" /><Relationship Type="http://schemas.openxmlformats.org/officeDocument/2006/relationships/theme" Id="rId59" Target="theme/theme1.xml" /><Relationship Type="http://schemas.openxmlformats.org/officeDocument/2006/relationships/footnotes" Id="rId58" Target="footnotes.xml" /><Relationship Type="http://schemas.openxmlformats.org/officeDocument/2006/relationships/comments" Id="rId57" Target="comments.xml" /><Relationship Id="rId13" Target="media/image9.png" Type="http://schemas.openxmlformats.org/officeDocument/2006/relationships/image" /><Relationship Id="rId18" Target="media/image14.png" Type="http://schemas.openxmlformats.org/officeDocument/2006/relationships/image" /><Relationship Id="rId26" Target="media/image22.png" Type="http://schemas.openxmlformats.org/officeDocument/2006/relationships/image" /><Relationship Id="rId39" Target="media/image35.png" Type="http://schemas.openxmlformats.org/officeDocument/2006/relationships/image" /><Relationship Id="rId21" Target="media/image17.png" Type="http://schemas.openxmlformats.org/officeDocument/2006/relationships/image" /><Relationship Id="rId34" Target="media/image30.png" Type="http://schemas.openxmlformats.org/officeDocument/2006/relationships/image" /><Relationship Id="rId42" Target="media/image38.png" Type="http://schemas.openxmlformats.org/officeDocument/2006/relationships/image" /><Relationship Id="rId47" Target="media/image43.png" Type="http://schemas.openxmlformats.org/officeDocument/2006/relationships/image" /><Relationship Id="rId50" Target="media/image46.png" Type="http://schemas.openxmlformats.org/officeDocument/2006/relationships/image" /><Relationship Id="rId55" Target="media/image51.png" Type="http://schemas.openxmlformats.org/officeDocument/2006/relationships/image" /><Relationship Id="rId7" Target="media/image3.png" Type="http://schemas.openxmlformats.org/officeDocument/2006/relationships/image" /><Relationship Id="rId16" Target="media/image12.png" Type="http://schemas.openxmlformats.org/officeDocument/2006/relationships/image" /><Relationship Id="rId29" Target="media/image25.png" Type="http://schemas.openxmlformats.org/officeDocument/2006/relationships/image" /><Relationship Id="rId11" Target="media/image7.png" Type="http://schemas.openxmlformats.org/officeDocument/2006/relationships/image" /><Relationship Id="rId24" Target="media/image20.png" Type="http://schemas.openxmlformats.org/officeDocument/2006/relationships/image" /><Relationship Id="rId32" Target="media/image28.png" Type="http://schemas.openxmlformats.org/officeDocument/2006/relationships/image" /><Relationship Id="rId37" Target="media/image33.png" Type="http://schemas.openxmlformats.org/officeDocument/2006/relationships/image" /><Relationship Id="rId40" Target="media/image36.png" Type="http://schemas.openxmlformats.org/officeDocument/2006/relationships/image" /><Relationship Id="rId45" Target="media/image41.png" Type="http://schemas.openxmlformats.org/officeDocument/2006/relationships/image" /><Relationship Id="rId53" Target="media/image49.png" Type="http://schemas.openxmlformats.org/officeDocument/2006/relationships/image" /><Relationship Id="rId5" Target="media/image1.png" Type="http://schemas.openxmlformats.org/officeDocument/2006/relationships/image" /><Relationship Id="rId19" Target="media/image15.png" Type="http://schemas.openxmlformats.org/officeDocument/2006/relationships/image" /><Relationship Id="rId9" Target="media/image5.png" Type="http://schemas.openxmlformats.org/officeDocument/2006/relationships/image" /><Relationship Id="rId14" Target="media/image10.png" Type="http://schemas.openxmlformats.org/officeDocument/2006/relationships/image" /><Relationship Id="rId22" Target="media/image18.png" Type="http://schemas.openxmlformats.org/officeDocument/2006/relationships/image" /><Relationship Id="rId27" Target="media/image23.png" Type="http://schemas.openxmlformats.org/officeDocument/2006/relationships/image" /><Relationship Id="rId30" Target="media/image26.png" Type="http://schemas.openxmlformats.org/officeDocument/2006/relationships/image" /><Relationship Id="rId35" Target="media/image31.png" Type="http://schemas.openxmlformats.org/officeDocument/2006/relationships/image" /><Relationship Id="rId43" Target="media/image39.png" Type="http://schemas.openxmlformats.org/officeDocument/2006/relationships/image" /><Relationship Id="rId48" Target="media/image44.png" Type="http://schemas.openxmlformats.org/officeDocument/2006/relationships/image" /><Relationship Id="rId56" Target="media/image52.png" Type="http://schemas.openxmlformats.org/officeDocument/2006/relationships/image" /><Relationship Id="rId8" Target="media/image4.png" Type="http://schemas.openxmlformats.org/officeDocument/2006/relationships/image" /><Relationship Id="rId51" Target="media/image47.png" Type="http://schemas.openxmlformats.org/officeDocument/2006/relationships/image" /><Relationship Id="rId12" Target="media/image8.png" Type="http://schemas.openxmlformats.org/officeDocument/2006/relationships/image" /><Relationship Id="rId17" Target="media/image13.png" Type="http://schemas.openxmlformats.org/officeDocument/2006/relationships/image" /><Relationship Id="rId25" Target="media/image21.png" Type="http://schemas.openxmlformats.org/officeDocument/2006/relationships/image" /><Relationship Id="rId33" Target="media/image29.png" Type="http://schemas.openxmlformats.org/officeDocument/2006/relationships/image" /><Relationship Id="rId38" Target="media/image34.png" Type="http://schemas.openxmlformats.org/officeDocument/2006/relationships/image" /><Relationship Id="rId46" Target="media/image42.png" Type="http://schemas.openxmlformats.org/officeDocument/2006/relationships/image" /><Relationship Id="rId20" Target="media/image16.png" Type="http://schemas.openxmlformats.org/officeDocument/2006/relationships/image" /><Relationship Id="rId41" Target="media/image37.png" Type="http://schemas.openxmlformats.org/officeDocument/2006/relationships/image" /><Relationship Id="rId54" Target="media/image50.png" Type="http://schemas.openxmlformats.org/officeDocument/2006/relationships/image" /><Relationship Id="rId6" Target="media/image2.png" Type="http://schemas.openxmlformats.org/officeDocument/2006/relationships/image" /><Relationship Id="rId15" Target="media/image11.png" Type="http://schemas.openxmlformats.org/officeDocument/2006/relationships/image" /><Relationship Id="rId23" Target="media/image19.png" Type="http://schemas.openxmlformats.org/officeDocument/2006/relationships/image" /><Relationship Id="rId28" Target="media/image24.png" Type="http://schemas.openxmlformats.org/officeDocument/2006/relationships/image" /><Relationship Id="rId36" Target="media/image32.png" Type="http://schemas.openxmlformats.org/officeDocument/2006/relationships/image" /><Relationship Id="rId49" Target="media/image45.png" Type="http://schemas.openxmlformats.org/officeDocument/2006/relationships/image" /><Relationship Id="rId10" Target="media/image6.png" Type="http://schemas.openxmlformats.org/officeDocument/2006/relationships/image" /><Relationship Id="rId31" Target="media/image27.png" Type="http://schemas.openxmlformats.org/officeDocument/2006/relationships/image" /><Relationship Id="rId44" Target="media/image40.png" Type="http://schemas.openxmlformats.org/officeDocument/2006/relationships/image" /><Relationship Id="rId52" Target="media/image48.png" Type="http://schemas.openxmlformats.org/officeDocument/2006/relationships/image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5138</Words>
  <Characters>29288</Characters>
  <Application>Microsoft Office Word</Application>
  <DocSecurity>0</DocSecurity>
  <Lines>244</Lines>
  <Paragraphs>68</Paragraphs>
  <ScaleCrop>false</ScaleCrop>
  <Company/>
  <LinksUpToDate>false</LinksUpToDate>
  <CharactersWithSpaces>34358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EN-HomePower 2000 Plus User Manual V0.5</dc:title>
  <dc:creator/>
  <dc:language>en</dc:language>
  <cp:keywords/>
  <dcterms:created xsi:type="dcterms:W3CDTF">2026-03-07T14:47:57Z</dcterms:created>
  <dcterms:modified xsi:type="dcterms:W3CDTF">2026-03-07T14:47:57Z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