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media/image11.svg" ContentType="image/svg+xml"/>
  <Override PartName="/word/media/image13.svg" ContentType="image/svg+xml"/>
  <Override PartName="/word/media/image15.svg" ContentType="image/svg+xml"/>
  <Override PartName="/word/media/image17.svg" ContentType="image/svg+xml"/>
  <Override PartName="/word/media/image3.svg" ContentType="image/svg+xml"/>
  <Override PartName="/word/media/image5.svg" ContentType="image/svg+xml"/>
  <Override PartName="/word/media/image7.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left"/>
        <w:rPr>
          <w:rFonts w:ascii="Times New Roman Bold" w:hAnsi="Times New Roman Bold" w:cs="Times New Roman Bold"/>
          <w:b/>
          <w:bCs w:val="0"/>
          <w:sz w:val="24"/>
        </w:rPr>
      </w:pPr>
      <w:bookmarkStart w:id="0" w:name="_GoBack"/>
      <w:bookmarkEnd w:id="0"/>
      <w:r>
        <w:rPr>
          <w:rFonts w:ascii="Times New Roman Bold" w:hAnsi="Times New Roman Bold" w:cs="Times New Roman Bold"/>
          <w:b/>
          <w:bCs w:val="0"/>
          <w:sz w:val="24"/>
        </w:rPr>
        <w:t xml:space="preserve">New-type Urbanization Policy, Urban Expansion, and Employment Quality in Chinese Cities: </w:t>
      </w:r>
      <w:r>
        <w:rPr>
          <w:rFonts w:ascii="Times New Roman Bold" w:hAnsi="Times New Roman Bold" w:eastAsia="宋体" w:cs="Times New Roman Bold"/>
          <w:b/>
          <w:bCs w:val="0"/>
          <w:kern w:val="0"/>
          <w:sz w:val="24"/>
          <w:szCs w:val="24"/>
          <w:lang w:val="en-US" w:eastAsia="zh-CN" w:bidi="ar"/>
        </w:rPr>
        <w:t>Evidence from a Quasi-natural Experiment in China</w:t>
      </w:r>
    </w:p>
    <w:p>
      <w:pPr>
        <w:rPr>
          <w:rFonts w:ascii="Times New Roman Regular" w:hAnsi="Times New Roman Regular" w:cs="Times New Roman Regular"/>
          <w:b/>
          <w:sz w:val="24"/>
        </w:rPr>
      </w:pPr>
    </w:p>
    <w:p>
      <w:pPr>
        <w:widowControl/>
        <w:jc w:val="left"/>
        <w:rPr>
          <w:rFonts w:ascii="Times New Roman Regular" w:hAnsi="Times New Roman Regular" w:cs="Times New Roman Regular"/>
          <w:sz w:val="24"/>
        </w:rPr>
      </w:pPr>
      <w:r>
        <w:rPr>
          <w:rFonts w:ascii="Times New Roman Regular" w:hAnsi="Times New Roman Regular" w:cs="Times New Roman Regular"/>
          <w:sz w:val="24"/>
        </w:rPr>
        <w:t>Bingchen Liᵃᵇ, Wenbo L</w:t>
      </w:r>
      <w:r>
        <w:rPr>
          <w:rFonts w:hint="eastAsia" w:ascii="Times New Roman Regular" w:hAnsi="Times New Roman Regular" w:cs="Times New Roman Regular"/>
          <w:sz w:val="24"/>
        </w:rPr>
        <w:t>v</w:t>
      </w:r>
      <w:r>
        <w:rPr>
          <w:rFonts w:ascii="Times New Roman Regular" w:hAnsi="Times New Roman Regular" w:cs="Times New Roman Regular"/>
          <w:i/>
          <w:iCs/>
          <w:sz w:val="24"/>
        </w:rPr>
        <w:t>ᵃ</w:t>
      </w:r>
      <w:r>
        <w:rPr>
          <w:rFonts w:ascii="Times New Roman Regular" w:hAnsi="Times New Roman Regular" w:cs="Times New Roman Regular"/>
          <w:sz w:val="24"/>
        </w:rPr>
        <w:t>, Hu Dingᶜ,</w:t>
      </w:r>
      <w:r>
        <w:rPr>
          <w:rFonts w:hint="eastAsia" w:ascii="Times New Roman Regular" w:hAnsi="Times New Roman Regular" w:cs="Times New Roman Regular"/>
          <w:sz w:val="24"/>
          <w:lang w:val="en-US" w:eastAsia="zh-CN"/>
        </w:rPr>
        <w:t xml:space="preserve"> </w:t>
      </w:r>
      <w:r>
        <w:rPr>
          <w:rFonts w:ascii="Times New Roman Regular" w:hAnsi="Times New Roman Regular" w:eastAsia="宋体" w:cs="Times New Roman Regular"/>
          <w:kern w:val="0"/>
          <w:sz w:val="24"/>
          <w:szCs w:val="24"/>
          <w:lang w:val="en-US" w:eastAsia="zh-CN" w:bidi="ar"/>
        </w:rPr>
        <w:t>Yongze Songᵈ</w:t>
      </w:r>
      <w:r>
        <w:rPr>
          <w:rFonts w:ascii="Times New Roman Regular" w:hAnsi="Times New Roman Regular" w:cs="Times New Roman Regular"/>
          <w:sz w:val="24"/>
        </w:rPr>
        <w:t xml:space="preserve"> Wufan Zhao</w:t>
      </w:r>
      <w:r>
        <w:rPr>
          <w:rFonts w:ascii="Times New Roman Regular" w:hAnsi="Times New Roman Regular" w:cs="Times New Roman Regular"/>
          <w:i/>
          <w:iCs/>
          <w:sz w:val="24"/>
        </w:rPr>
        <w:t>ᵃ</w:t>
      </w:r>
      <w:r>
        <w:rPr>
          <w:rFonts w:ascii="Times New Roman Regular" w:hAnsi="Times New Roman Regular" w:cs="Times New Roman Regular"/>
          <w:sz w:val="24"/>
        </w:rPr>
        <w:t>*,</w:t>
      </w:r>
    </w:p>
    <w:p>
      <w:pPr>
        <w:rPr>
          <w:rFonts w:ascii="Times New Roman Regular" w:hAnsi="Times New Roman Regular" w:cs="Times New Roman Regular"/>
          <w:sz w:val="24"/>
        </w:rPr>
      </w:pPr>
      <w:r>
        <w:rPr>
          <w:rFonts w:ascii="Times New Roman Regular" w:hAnsi="Times New Roman Regular" w:cs="Times New Roman Regular"/>
          <w:i/>
          <w:iCs/>
          <w:sz w:val="24"/>
        </w:rPr>
        <w:t>ᵃ Urban Governance and Design Thrust, Society Hub, The Hong Kong University of Science and Technology (Guangzhou)</w:t>
      </w:r>
      <w:r>
        <w:rPr>
          <w:rFonts w:hint="default" w:ascii="Times New Roman Regular" w:hAnsi="Times New Roman Regular" w:cs="Times New Roman Regular"/>
          <w:i/>
          <w:iCs/>
          <w:sz w:val="24"/>
        </w:rPr>
        <w:t xml:space="preserve"> 511453</w:t>
      </w:r>
      <w:r>
        <w:rPr>
          <w:rFonts w:ascii="Times New Roman Regular" w:hAnsi="Times New Roman Regular" w:cs="Times New Roman Regular"/>
          <w:i/>
          <w:iCs/>
          <w:sz w:val="24"/>
        </w:rPr>
        <w:t>, China.</w:t>
      </w:r>
    </w:p>
    <w:p>
      <w:pPr>
        <w:rPr>
          <w:rFonts w:ascii="Times New Roman Regular" w:hAnsi="Times New Roman Regular" w:cs="Times New Roman Regular"/>
          <w:i/>
          <w:iCs/>
          <w:sz w:val="24"/>
        </w:rPr>
      </w:pPr>
      <w:r>
        <w:rPr>
          <w:rFonts w:ascii="Times New Roman Regular" w:hAnsi="Times New Roman Regular" w:cs="Times New Roman Regular"/>
          <w:i/>
          <w:iCs/>
          <w:sz w:val="24"/>
        </w:rPr>
        <w:t>ᵇ Spatial Sciences Institute, University of Southern California, Los Angeles</w:t>
      </w:r>
      <w:r>
        <w:rPr>
          <w:rFonts w:hint="default" w:ascii="Times New Roman Regular" w:hAnsi="Times New Roman Regular" w:cs="Times New Roman Regular"/>
          <w:i/>
          <w:iCs/>
          <w:sz w:val="24"/>
        </w:rPr>
        <w:t xml:space="preserve"> 90018</w:t>
      </w:r>
      <w:r>
        <w:rPr>
          <w:rFonts w:ascii="Times New Roman Regular" w:hAnsi="Times New Roman Regular" w:cs="Times New Roman Regular"/>
          <w:i/>
          <w:iCs/>
          <w:sz w:val="24"/>
        </w:rPr>
        <w:t>, USA.</w:t>
      </w:r>
    </w:p>
    <w:p>
      <w:pPr>
        <w:rPr>
          <w:rFonts w:ascii="Times New Roman Regular" w:hAnsi="Times New Roman Regular" w:cs="Times New Roman Regular"/>
          <w:i/>
          <w:iCs/>
          <w:sz w:val="24"/>
        </w:rPr>
      </w:pPr>
      <w:r>
        <w:rPr>
          <w:rFonts w:ascii="Times New Roman Regular" w:hAnsi="Times New Roman Regular" w:cs="Times New Roman Regular"/>
          <w:i/>
          <w:iCs/>
          <w:sz w:val="24"/>
        </w:rPr>
        <w:t>ᶜ School of Geography, South China Normal University, Guangzhou 510631, China.</w:t>
      </w:r>
    </w:p>
    <w:p>
      <w:pPr>
        <w:keepNext w:val="0"/>
        <w:keepLines w:val="0"/>
        <w:widowControl/>
        <w:suppressLineNumbers w:val="0"/>
        <w:jc w:val="left"/>
        <w:rPr>
          <w:rFonts w:ascii="Times New Roman Regular" w:hAnsi="Times New Roman Regular" w:cs="Times New Roman Regular"/>
          <w:i/>
          <w:iCs/>
          <w:sz w:val="24"/>
        </w:rPr>
      </w:pPr>
      <w:r>
        <w:rPr>
          <w:rFonts w:ascii="Times New Roman Regular" w:hAnsi="Times New Roman Regular" w:eastAsia="宋体" w:cs="Times New Roman Regular"/>
          <w:i/>
          <w:iCs/>
          <w:kern w:val="0"/>
          <w:sz w:val="24"/>
          <w:szCs w:val="24"/>
          <w:lang w:val="en-US" w:eastAsia="zh-CN" w:bidi="ar"/>
        </w:rPr>
        <w:t xml:space="preserve">ᵈ </w:t>
      </w:r>
      <w:r>
        <w:rPr>
          <w:rStyle w:val="14"/>
          <w:rFonts w:ascii="Times New Roman Regular" w:hAnsi="Times New Roman Regular" w:eastAsia="宋体" w:cs="Times New Roman Regular"/>
          <w:i/>
          <w:iCs/>
          <w:kern w:val="0"/>
          <w:sz w:val="24"/>
          <w:szCs w:val="24"/>
          <w:lang w:val="en-US" w:eastAsia="zh-CN" w:bidi="ar"/>
        </w:rPr>
        <w:t>School of Design and the Built Environment, Curtin University, Perth</w:t>
      </w:r>
      <w:r>
        <w:rPr>
          <w:rStyle w:val="14"/>
          <w:rFonts w:hint="default" w:ascii="Times New Roman Regular" w:hAnsi="Times New Roman Regular" w:eastAsia="宋体" w:cs="Times New Roman Regular"/>
          <w:i/>
          <w:iCs/>
          <w:kern w:val="0"/>
          <w:sz w:val="24"/>
          <w:szCs w:val="24"/>
          <w:lang w:val="en-US" w:eastAsia="zh-CN" w:bidi="ar"/>
        </w:rPr>
        <w:t xml:space="preserve"> 6102</w:t>
      </w:r>
      <w:r>
        <w:rPr>
          <w:rStyle w:val="14"/>
          <w:rFonts w:ascii="Times New Roman Regular" w:hAnsi="Times New Roman Regular" w:eastAsia="宋体" w:cs="Times New Roman Regular"/>
          <w:i/>
          <w:iCs/>
          <w:kern w:val="0"/>
          <w:sz w:val="24"/>
          <w:szCs w:val="24"/>
          <w:lang w:val="en-US" w:eastAsia="zh-CN" w:bidi="ar"/>
        </w:rPr>
        <w:t>,</w:t>
      </w:r>
      <w:r>
        <w:rPr>
          <w:rStyle w:val="14"/>
          <w:rFonts w:hint="default" w:ascii="Times New Roman Regular" w:hAnsi="Times New Roman Regular" w:eastAsia="宋体" w:cs="Times New Roman Regular"/>
          <w:i/>
          <w:iCs/>
          <w:kern w:val="0"/>
          <w:sz w:val="24"/>
          <w:szCs w:val="24"/>
          <w:lang w:val="en-US" w:eastAsia="zh-CN" w:bidi="ar"/>
        </w:rPr>
        <w:t xml:space="preserve"> </w:t>
      </w:r>
      <w:r>
        <w:rPr>
          <w:rStyle w:val="14"/>
          <w:rFonts w:ascii="Times New Roman Regular" w:hAnsi="Times New Roman Regular" w:eastAsia="宋体" w:cs="Times New Roman Regular"/>
          <w:i/>
          <w:iCs/>
          <w:kern w:val="0"/>
          <w:sz w:val="24"/>
          <w:szCs w:val="24"/>
          <w:lang w:val="en-US" w:eastAsia="zh-CN" w:bidi="ar"/>
        </w:rPr>
        <w:t>Australia.</w:t>
      </w:r>
    </w:p>
    <w:p>
      <w:pPr>
        <w:rPr>
          <w:rFonts w:ascii="Times New Roman Regular" w:hAnsi="Times New Roman Regular" w:cs="Times New Roman Regular"/>
          <w:sz w:val="24"/>
        </w:rPr>
      </w:pPr>
    </w:p>
    <w:p>
      <w:pPr>
        <w:rPr>
          <w:rFonts w:ascii="Times New Roman Regular" w:hAnsi="Times New Roman Regular" w:cs="Times New Roman Regular"/>
          <w:sz w:val="24"/>
        </w:rPr>
      </w:pPr>
      <w:r>
        <w:rPr>
          <w:rFonts w:ascii="Times New Roman Regular" w:hAnsi="Times New Roman Regular" w:cs="Times New Roman Regular"/>
          <w:sz w:val="24"/>
        </w:rPr>
        <w:t>* Corresponding author: wufanzhao@hkust-gz.edu.cn (Wufan Zhao).</w:t>
      </w:r>
    </w:p>
    <w:p>
      <w:pPr>
        <w:rPr>
          <w:rFonts w:ascii="Times New Roman Regular" w:hAnsi="Times New Roman Regular" w:cs="Times New Roman Regular"/>
          <w:sz w:val="24"/>
        </w:rPr>
      </w:pPr>
    </w:p>
    <w:p>
      <w:pPr>
        <w:widowControl/>
        <w:rPr>
          <w:rFonts w:ascii="Times New Roman Regular" w:hAnsi="Times New Roman Regular" w:cs="Times New Roman Regular"/>
          <w:sz w:val="24"/>
        </w:rPr>
      </w:pPr>
      <w:r>
        <w:rPr>
          <w:rFonts w:ascii="Times New Roman Bold" w:hAnsi="Times New Roman Bold" w:cs="Times New Roman Bold"/>
          <w:b/>
          <w:bCs/>
          <w:sz w:val="24"/>
        </w:rPr>
        <w:t>Abstract:</w:t>
      </w:r>
      <w:r>
        <w:rPr>
          <w:rFonts w:ascii="Times New Roman Regular" w:hAnsi="Times New Roman Regular" w:cs="Times New Roman Regular"/>
          <w:b/>
          <w:bCs/>
          <w:sz w:val="24"/>
        </w:rPr>
        <w:t xml:space="preserve"> </w:t>
      </w:r>
      <w:r>
        <w:rPr>
          <w:rFonts w:ascii="Times New Roman Regular" w:hAnsi="Times New Roman Regular" w:cs="Times New Roman Regular"/>
          <w:sz w:val="24"/>
        </w:rPr>
        <w:t>Rapid urbanization has reshaped China’s labor markets, raising the question of whether policy-driven urban development can deliver not just more jobs, but better jobs. Our analysis shows that the New-type Urbanization Pilot Policy (NTUPP) has significantly enhanced employment quality in Chinese cities.</w:t>
      </w:r>
      <w:r>
        <w:rPr>
          <w:rFonts w:hint="eastAsia" w:ascii="Times New Roman Regular" w:hAnsi="Times New Roman Regular" w:cs="Times New Roman Regular"/>
          <w:sz w:val="24"/>
        </w:rPr>
        <w:t xml:space="preserve"> We</w:t>
      </w:r>
      <w:r>
        <w:rPr>
          <w:rFonts w:ascii="Times New Roman Regular" w:hAnsi="Times New Roman Regular" w:cs="Times New Roman Regular"/>
          <w:sz w:val="24"/>
        </w:rPr>
        <w:t xml:space="preserve"> employ panel data from 287 pr</w:t>
      </w:r>
      <w:r>
        <w:rPr>
          <w:rFonts w:hint="eastAsia" w:ascii="Times New Roman Regular" w:hAnsi="Times New Roman Regular" w:cs="Times New Roman Regular"/>
          <w:sz w:val="24"/>
        </w:rPr>
        <w:t>e</w:t>
      </w:r>
      <w:r>
        <w:rPr>
          <w:rFonts w:ascii="Times New Roman Regular" w:hAnsi="Times New Roman Regular" w:cs="Times New Roman Regular"/>
          <w:sz w:val="24"/>
        </w:rPr>
        <w:t xml:space="preserve">fecture-level cities in China from 2007 to 2022, </w:t>
      </w:r>
      <w:r>
        <w:rPr>
          <w:rFonts w:hint="eastAsia" w:ascii="Times New Roman Regular" w:hAnsi="Times New Roman Regular" w:cs="Times New Roman Regular"/>
          <w:sz w:val="24"/>
        </w:rPr>
        <w:t>using</w:t>
      </w:r>
      <w:r>
        <w:rPr>
          <w:rFonts w:ascii="Times New Roman Regular" w:hAnsi="Times New Roman Regular" w:cs="Times New Roman Regular"/>
          <w:sz w:val="24"/>
        </w:rPr>
        <w:t xml:space="preserve"> the implementation of New Type Urbanization Pilot Policy as a quasi-experiment to empirically examine the policy impact on employment quality in China.</w:t>
      </w:r>
      <w:r>
        <w:rPr>
          <w:rFonts w:hint="eastAsia" w:ascii="Times New Roman Regular" w:hAnsi="Times New Roman Regular" w:cs="Times New Roman Regular"/>
          <w:sz w:val="24"/>
        </w:rPr>
        <w:t xml:space="preserve"> The result </w:t>
      </w:r>
      <w:r>
        <w:rPr>
          <w:rFonts w:ascii="Times New Roman Regular" w:hAnsi="Times New Roman Regular" w:cs="Times New Roman Regular"/>
          <w:sz w:val="24"/>
        </w:rPr>
        <w:t>reveal that, c</w:t>
      </w:r>
      <w:r>
        <w:rPr>
          <w:rFonts w:hint="eastAsia" w:ascii="Times New Roman Regular" w:hAnsi="Times New Roman Regular" w:cs="Times New Roman Regular"/>
          <w:sz w:val="24"/>
        </w:rPr>
        <w:t>o</w:t>
      </w:r>
      <w:r>
        <w:rPr>
          <w:rFonts w:ascii="Times New Roman Regular" w:hAnsi="Times New Roman Regular" w:cs="Times New Roman Regular"/>
          <w:sz w:val="24"/>
        </w:rPr>
        <w:t xml:space="preserve">mpared with the control group, the employment quality in pilot cities increased by an average of about </w:t>
      </w:r>
      <w:r>
        <w:rPr>
          <w:rFonts w:hint="default" w:ascii="Times New Roman Regular" w:hAnsi="Times New Roman Regular" w:cs="Times New Roman Regular"/>
          <w:sz w:val="24"/>
          <w:lang w:val="en-US"/>
        </w:rPr>
        <w:t>9</w:t>
      </w:r>
      <w:r>
        <w:rPr>
          <w:rFonts w:ascii="Times New Roman Regular" w:hAnsi="Times New Roman Regular" w:cs="Times New Roman Regular"/>
          <w:sz w:val="24"/>
        </w:rPr>
        <w:t>.</w:t>
      </w:r>
      <w:r>
        <w:rPr>
          <w:rFonts w:hint="default" w:ascii="Times New Roman Regular" w:hAnsi="Times New Roman Regular" w:cs="Times New Roman Regular"/>
          <w:sz w:val="24"/>
          <w:lang w:val="en-US"/>
        </w:rPr>
        <w:t>41</w:t>
      </w:r>
      <w:r>
        <w:rPr>
          <w:rFonts w:ascii="Times New Roman Regular" w:hAnsi="Times New Roman Regular" w:cs="Times New Roman Regular"/>
          <w:sz w:val="24"/>
        </w:rPr>
        <w:t xml:space="preserve">%. </w:t>
      </w:r>
      <w:r>
        <w:rPr>
          <w:rFonts w:hint="eastAsia" w:ascii="Times New Roman Regular" w:hAnsi="Times New Roman Regular" w:cs="Times New Roman Regular"/>
          <w:sz w:val="24"/>
        </w:rPr>
        <w:t>Further analysis indicates that t</w:t>
      </w:r>
      <w:r>
        <w:rPr>
          <w:rFonts w:ascii="Times New Roman Regular" w:hAnsi="Times New Roman Regular" w:cs="Times New Roman Regular"/>
          <w:sz w:val="24"/>
        </w:rPr>
        <w:t xml:space="preserve">he policy’s effects are realized primarily through human capital accumulation and factor market development, with stronger improvements observed in cities characterized by compact spatial forms and vertical expansion, while excessive horizontal sprawl weakens the benefits. We further find that the policy’s effects are heterogeneous across cities, being more </w:t>
      </w:r>
      <w:r>
        <w:rPr>
          <w:rFonts w:hint="eastAsia" w:ascii="Times New Roman Regular" w:hAnsi="Times New Roman Regular" w:cs="Times New Roman Regular"/>
          <w:sz w:val="24"/>
          <w:u w:val="none"/>
        </w:rPr>
        <w:t>pronounced</w:t>
      </w:r>
      <w:r>
        <w:rPr>
          <w:rFonts w:ascii="Times New Roman Regular" w:hAnsi="Times New Roman Regular" w:cs="Times New Roman Regular"/>
          <w:sz w:val="24"/>
        </w:rPr>
        <w:t xml:space="preserve"> in eastern, southern, coastal, and transportation hub cities.</w:t>
      </w:r>
      <w:r>
        <w:rPr>
          <w:rFonts w:hint="default" w:ascii="Times New Roman Regular" w:hAnsi="Times New Roman Regular" w:cs="Times New Roman Regular"/>
          <w:sz w:val="24"/>
        </w:rPr>
        <w:t xml:space="preserve"> </w:t>
      </w:r>
      <w:r>
        <w:rPr>
          <w:rFonts w:ascii="Times New Roman Regular" w:hAnsi="Times New Roman Regular" w:cs="Times New Roman Regular"/>
          <w:sz w:val="24"/>
        </w:rPr>
        <w:t>Moreover, the policy generates positive spillover effects on neighboring cities.</w:t>
      </w:r>
      <w:r>
        <w:rPr>
          <w:rFonts w:hint="eastAsia" w:ascii="Times New Roman Regular" w:hAnsi="Times New Roman Regular" w:cs="Times New Roman Regular"/>
          <w:sz w:val="24"/>
        </w:rPr>
        <w:t xml:space="preserve"> </w:t>
      </w:r>
      <w:r>
        <w:rPr>
          <w:rFonts w:ascii="Times New Roman Regular" w:hAnsi="Times New Roman Regular" w:cs="Times New Roman Regular"/>
          <w:sz w:val="24"/>
        </w:rPr>
        <w:t xml:space="preserve">These findings underscore the effectiveness of the NTUPP in </w:t>
      </w:r>
      <w:r>
        <w:rPr>
          <w:rFonts w:hint="eastAsia" w:ascii="Times New Roman Regular" w:hAnsi="Times New Roman Regular" w:cs="Times New Roman Regular"/>
          <w:sz w:val="24"/>
        </w:rPr>
        <w:t>i</w:t>
      </w:r>
      <w:r>
        <w:rPr>
          <w:rFonts w:ascii="Times New Roman Regular" w:hAnsi="Times New Roman Regular" w:cs="Times New Roman Regular"/>
          <w:sz w:val="24"/>
        </w:rPr>
        <w:t>mproving employment quality and the critical role of urban spatial design in sustaining such effect.</w:t>
      </w:r>
    </w:p>
    <w:p>
      <w:pPr>
        <w:widowControl/>
        <w:rPr>
          <w:rFonts w:ascii="Times New Roman Regular" w:hAnsi="Times New Roman Regular" w:cs="Times New Roman Regular"/>
          <w:sz w:val="24"/>
        </w:rPr>
      </w:pPr>
    </w:p>
    <w:p>
      <w:pPr>
        <w:widowControl/>
        <w:rPr>
          <w:rFonts w:ascii="Times New Roman Regular" w:hAnsi="Times New Roman Regular" w:cs="Times New Roman Regular"/>
          <w:sz w:val="24"/>
        </w:rPr>
      </w:pPr>
      <w:r>
        <w:rPr>
          <w:rFonts w:ascii="Times New Roman Bold" w:hAnsi="Times New Roman Bold" w:cs="Times New Roman Bold"/>
          <w:b/>
          <w:bCs/>
          <w:sz w:val="24"/>
        </w:rPr>
        <w:t>Keywords:</w:t>
      </w:r>
      <w:r>
        <w:rPr>
          <w:rFonts w:ascii="Times New Roman Regular" w:hAnsi="Times New Roman Regular" w:cs="Times New Roman Regular"/>
          <w:b/>
          <w:bCs/>
          <w:sz w:val="24"/>
        </w:rPr>
        <w:t xml:space="preserve"> </w:t>
      </w:r>
      <w:r>
        <w:rPr>
          <w:rFonts w:ascii="Times New Roman Regular" w:hAnsi="Times New Roman Regular" w:eastAsia="宋体" w:cs="Times New Roman Regular"/>
          <w:kern w:val="0"/>
          <w:sz w:val="24"/>
          <w:lang w:bidi="ar"/>
        </w:rPr>
        <w:t>New-type Urbanization Pilot Policy; Employment Quality; Human Capital; Urban Spatial Form</w:t>
      </w:r>
    </w:p>
    <w:p>
      <w:pPr>
        <w:rPr>
          <w:rFonts w:ascii="Times New Roman Regular" w:hAnsi="Times New Roman Regular" w:cs="Times New Roman Regular"/>
          <w:b/>
          <w:bCs/>
          <w:sz w:val="24"/>
        </w:rPr>
      </w:pPr>
    </w:p>
    <w:p>
      <w:pPr>
        <w:spacing w:before="0" w:beforeLines="0" w:after="156" w:afterLines="50"/>
        <w:rPr>
          <w:rFonts w:ascii="Times New Roman Bold" w:hAnsi="Times New Roman Bold" w:cs="Times New Roman Bold"/>
          <w:b/>
          <w:bCs/>
          <w:sz w:val="24"/>
        </w:rPr>
      </w:pPr>
      <w:r>
        <w:rPr>
          <w:rFonts w:ascii="Times New Roman Bold" w:hAnsi="Times New Roman Bold" w:cs="Times New Roman Bold"/>
          <w:b/>
          <w:bCs/>
          <w:sz w:val="24"/>
        </w:rPr>
        <w:t>1</w:t>
      </w:r>
      <w:r>
        <w:rPr>
          <w:rFonts w:hint="eastAsia" w:ascii="Times New Roman Bold" w:hAnsi="Times New Roman Bold" w:cs="Times New Roman Bold"/>
          <w:b/>
          <w:bCs/>
          <w:sz w:val="24"/>
        </w:rPr>
        <w:t xml:space="preserve"> </w:t>
      </w:r>
      <w:r>
        <w:rPr>
          <w:rFonts w:ascii="Times New Roman Bold" w:hAnsi="Times New Roman Bold" w:cs="Times New Roman Bold"/>
          <w:b/>
          <w:bCs/>
          <w:sz w:val="24"/>
        </w:rPr>
        <w:t>Introduction</w:t>
      </w:r>
    </w:p>
    <w:p>
      <w:pPr>
        <w:spacing w:before="0" w:beforeLines="0" w:after="157" w:afterLines="50"/>
        <w:ind w:firstLine="240" w:firstLineChars="100"/>
        <w:rPr>
          <w:rFonts w:ascii="Times New Roman Regular" w:hAnsi="Times New Roman Regular" w:cs="Times New Roman Regular"/>
          <w:sz w:val="24"/>
        </w:rPr>
      </w:pPr>
      <w:r>
        <w:rPr>
          <w:rFonts w:ascii="Times New Roman Regular" w:hAnsi="Times New Roman Regular" w:cs="Times New Roman Regular"/>
          <w:sz w:val="24"/>
        </w:rPr>
        <w:t>Employment is a cornerstone of economic and social development. Beyond providing income and livelihood security, high-quality employment contributes to human capital accumulation</w:t>
      </w:r>
      <w:r>
        <w:rPr>
          <w:rFonts w:hint="eastAsia" w:ascii="Times New Roman Regular" w:hAnsi="Times New Roman Regular" w:cs="Times New Roman Regular"/>
          <w:sz w:val="24"/>
        </w:rPr>
        <w:t xml:space="preserve"> </w:t>
      </w:r>
      <w:r>
        <w:rPr>
          <w:rFonts w:ascii="Times New Roman Regular" w:hAnsi="Times New Roman Regular" w:cs="Times New Roman Regular"/>
          <w:sz w:val="24"/>
        </w:rPr>
        <w:t>(Van 2021), supports social mobility, and ensures that economic growth translates into broad-based welfare improvements</w:t>
      </w:r>
      <w:r>
        <w:rPr>
          <w:rFonts w:hint="eastAsia" w:ascii="Times New Roman Regular" w:hAnsi="Times New Roman Regular" w:cs="Times New Roman Regular"/>
          <w:sz w:val="24"/>
        </w:rPr>
        <w:t xml:space="preserve"> </w:t>
      </w:r>
      <w:r>
        <w:rPr>
          <w:rFonts w:ascii="Times New Roman Regular" w:hAnsi="Times New Roman Regular" w:cs="Times New Roman Regular"/>
          <w:sz w:val="24"/>
        </w:rPr>
        <w:t>(Peckham et.al, 2022). In developing and transitional economies, enhancing the quality of employment is particularly crucial, as it determines whether structural transformation generates inclusive and sustainable outcomes (Duernecker et</w:t>
      </w:r>
      <w:r>
        <w:rPr>
          <w:rFonts w:hint="default" w:ascii="Times New Roman Regular" w:hAnsi="Times New Roman Regular" w:cs="Times New Roman Regular"/>
          <w:sz w:val="24"/>
          <w:lang w:val="en-US"/>
        </w:rPr>
        <w:t xml:space="preserve"> </w:t>
      </w:r>
      <w:r>
        <w:rPr>
          <w:rFonts w:ascii="Times New Roman Regular" w:hAnsi="Times New Roman Regular" w:cs="Times New Roman Regular"/>
          <w:sz w:val="24"/>
        </w:rPr>
        <w:t>al</w:t>
      </w:r>
      <w:r>
        <w:rPr>
          <w:rFonts w:hint="default" w:ascii="Times New Roman Regular" w:hAnsi="Times New Roman Regular" w:cs="Times New Roman Regular"/>
          <w:sz w:val="24"/>
          <w:lang w:val="en-US"/>
        </w:rPr>
        <w:t>.</w:t>
      </w:r>
      <w:r>
        <w:rPr>
          <w:rFonts w:ascii="Times New Roman Regular" w:hAnsi="Times New Roman Regular" w:cs="Times New Roman Regular"/>
          <w:sz w:val="24"/>
        </w:rPr>
        <w:t>, 2022).</w:t>
      </w:r>
      <w:r>
        <w:rPr>
          <w:rFonts w:hint="default" w:ascii="Times New Roman Regular" w:hAnsi="Times New Roman Regular" w:cs="Times New Roman Regular"/>
          <w:sz w:val="24"/>
          <w:lang w:val="en-US"/>
        </w:rPr>
        <w:t xml:space="preserve"> </w:t>
      </w:r>
      <w:r>
        <w:rPr>
          <w:rFonts w:ascii="Times New Roman Regular" w:hAnsi="Times New Roman Regular" w:cs="Times New Roman Regular"/>
          <w:sz w:val="24"/>
        </w:rPr>
        <w:t xml:space="preserve">While Urbanization fundamentally reshapes labor markets. By concentrating population and economic activity, urbanization fosters agglomeration economies, improves matching efficiency, and accelerates the transition from agriculture to industry and services (Wang &amp; Zhang, 2023; Xu &amp; Jiao, 2021). </w:t>
      </w:r>
    </w:p>
    <w:p>
      <w:pPr>
        <w:spacing w:before="157" w:beforeLines="50" w:after="157" w:afterLines="50"/>
        <w:ind w:firstLine="240" w:firstLineChars="100"/>
        <w:rPr>
          <w:rFonts w:ascii="Times New Roman Regular" w:hAnsi="Times New Roman Regular" w:cs="Times New Roman Regular"/>
          <w:sz w:val="24"/>
        </w:rPr>
      </w:pPr>
      <w:r>
        <w:rPr>
          <w:rFonts w:ascii="Times New Roman Regular" w:hAnsi="Times New Roman Regular" w:cs="Times New Roman Regular"/>
          <w:sz w:val="24"/>
        </w:rPr>
        <w:t>Yet, the benefits of urbanization crucially depend on the spatial form of urban expansion. Horizontal sprawl, characterized by low-density built-up areas, often leads to inefficient land use, longer commuting distances, and fragmented public service provision</w:t>
      </w:r>
      <w:r>
        <w:rPr>
          <w:rFonts w:hint="eastAsia" w:ascii="Times New Roman Regular" w:hAnsi="Times New Roman Regular" w:cs="Times New Roman Regular"/>
          <w:sz w:val="24"/>
        </w:rPr>
        <w:t xml:space="preserve"> </w:t>
      </w:r>
      <w:r>
        <w:rPr>
          <w:rFonts w:ascii="Times New Roman Regular" w:hAnsi="Times New Roman Regular" w:cs="Times New Roman Regular"/>
          <w:sz w:val="24"/>
        </w:rPr>
        <w:t>(Yang &amp; Zhao 2022; An et</w:t>
      </w:r>
      <w:r>
        <w:rPr>
          <w:rFonts w:hint="default" w:ascii="Times New Roman Regular" w:hAnsi="Times New Roman Regular" w:cs="Times New Roman Regular"/>
          <w:sz w:val="24"/>
          <w:lang w:val="en-US"/>
        </w:rPr>
        <w:t xml:space="preserve"> </w:t>
      </w:r>
      <w:r>
        <w:rPr>
          <w:rFonts w:ascii="Times New Roman Regular" w:hAnsi="Times New Roman Regular" w:cs="Times New Roman Regular"/>
          <w:sz w:val="24"/>
        </w:rPr>
        <w:t>al</w:t>
      </w:r>
      <w:r>
        <w:rPr>
          <w:rFonts w:hint="default" w:ascii="Times New Roman Regular" w:hAnsi="Times New Roman Regular" w:cs="Times New Roman Regular"/>
          <w:sz w:val="24"/>
          <w:lang w:val="en-US"/>
        </w:rPr>
        <w:t>.</w:t>
      </w:r>
      <w:r>
        <w:rPr>
          <w:rFonts w:ascii="Times New Roman Regular" w:hAnsi="Times New Roman Regular" w:cs="Times New Roman Regular"/>
          <w:sz w:val="24"/>
        </w:rPr>
        <w:t xml:space="preserve"> 2025), thereby weakening the potential gains from agglomeration. In contrast, compact urban forms can reduce transaction costs, facilitate knowledge spillovers, and enhance land use efficiency</w:t>
      </w:r>
      <w:r>
        <w:rPr>
          <w:rFonts w:hint="eastAsia" w:ascii="Times New Roman Regular" w:hAnsi="Times New Roman Regular" w:cs="Times New Roman Regular"/>
          <w:sz w:val="24"/>
        </w:rPr>
        <w:t xml:space="preserve"> </w:t>
      </w:r>
      <w:r>
        <w:rPr>
          <w:rFonts w:ascii="Times New Roman Regular" w:hAnsi="Times New Roman Regular" w:cs="Times New Roman Regular"/>
          <w:sz w:val="24"/>
        </w:rPr>
        <w:t>(Yu et al 2024; Sun &amp; Xu 2025; Cheng &amp; Wang, 2021), thus generating more favorable labor market outcomes. At the same time, vertical expansion—reflected in taller buildings and higher-density development—can further intensify agglomeration economies by accommodating population growth within limited land, improving accessibility, and supporting the clustering of productive activities (</w:t>
      </w:r>
      <w:r>
        <w:rPr>
          <w:rFonts w:ascii="Times New Roman Regular" w:hAnsi="Times New Roman Regular" w:eastAsia="宋体" w:cs="Times New Roman Regular"/>
          <w:kern w:val="0"/>
          <w:sz w:val="24"/>
          <w:shd w:val="clear" w:color="auto" w:fill="FFFFFF"/>
          <w:lang w:bidi="ar"/>
        </w:rPr>
        <w:t>Duranton</w:t>
      </w:r>
      <w:r>
        <w:rPr>
          <w:rFonts w:ascii="Times New Roman Regular" w:hAnsi="Times New Roman Regular" w:cs="Times New Roman Regular"/>
          <w:sz w:val="24"/>
        </w:rPr>
        <w:t xml:space="preserve"> &amp; </w:t>
      </w:r>
      <w:r>
        <w:rPr>
          <w:rFonts w:ascii="Times New Roman Regular" w:hAnsi="Times New Roman Regular" w:eastAsia="宋体" w:cs="Times New Roman Regular"/>
          <w:kern w:val="0"/>
          <w:sz w:val="24"/>
          <w:shd w:val="clear" w:color="auto" w:fill="FFFFFF"/>
          <w:lang w:bidi="ar"/>
        </w:rPr>
        <w:t>Genovese</w:t>
      </w:r>
      <w:r>
        <w:rPr>
          <w:rFonts w:ascii="Times New Roman Regular" w:hAnsi="Times New Roman Regular" w:cs="Times New Roman Regular"/>
          <w:sz w:val="24"/>
        </w:rPr>
        <w:t>, 2020). These spatial dynamics highlight that urbanization is not only a process of quantitative population concentration but also one of qualitative spatial reconfiguration</w:t>
      </w:r>
      <w:r>
        <w:rPr>
          <w:rFonts w:hint="eastAsia" w:ascii="Times New Roman Regular" w:hAnsi="Times New Roman Regular" w:cs="Times New Roman Regular"/>
          <w:sz w:val="24"/>
        </w:rPr>
        <w:t xml:space="preserve"> </w:t>
      </w:r>
      <w:r>
        <w:rPr>
          <w:rFonts w:ascii="Times New Roman Regular" w:hAnsi="Times New Roman Regular" w:cs="Times New Roman Regular"/>
          <w:sz w:val="24"/>
        </w:rPr>
        <w:t>(</w:t>
      </w:r>
      <w:r>
        <w:rPr>
          <w:rFonts w:ascii="Times New Roman Regular" w:hAnsi="Times New Roman Regular" w:eastAsia="宋体" w:cs="Times New Roman Regular"/>
          <w:kern w:val="0"/>
          <w:sz w:val="24"/>
          <w:shd w:val="clear" w:color="auto" w:fill="FFFFFF"/>
          <w:lang w:bidi="ar"/>
        </w:rPr>
        <w:t>Genovese et</w:t>
      </w:r>
      <w:r>
        <w:rPr>
          <w:rFonts w:hint="default" w:ascii="Times New Roman Regular" w:hAnsi="Times New Roman Regular" w:eastAsia="宋体" w:cs="Times New Roman Regular"/>
          <w:kern w:val="0"/>
          <w:sz w:val="24"/>
          <w:shd w:val="clear" w:color="auto" w:fill="FFFFFF"/>
          <w:lang w:val="en-US" w:bidi="ar"/>
        </w:rPr>
        <w:t xml:space="preserve"> </w:t>
      </w:r>
      <w:r>
        <w:rPr>
          <w:rFonts w:ascii="Times New Roman Regular" w:hAnsi="Times New Roman Regular" w:eastAsia="宋体" w:cs="Times New Roman Regular"/>
          <w:kern w:val="0"/>
          <w:sz w:val="24"/>
          <w:shd w:val="clear" w:color="auto" w:fill="FFFFFF"/>
          <w:lang w:bidi="ar"/>
        </w:rPr>
        <w:t>al</w:t>
      </w:r>
      <w:r>
        <w:rPr>
          <w:rFonts w:hint="default" w:ascii="Times New Roman Regular" w:hAnsi="Times New Roman Regular" w:eastAsia="宋体" w:cs="Times New Roman Regular"/>
          <w:kern w:val="0"/>
          <w:sz w:val="24"/>
          <w:shd w:val="clear" w:color="auto" w:fill="FFFFFF"/>
          <w:lang w:val="en-US" w:bidi="ar"/>
        </w:rPr>
        <w:t>.</w:t>
      </w:r>
      <w:r>
        <w:rPr>
          <w:rFonts w:ascii="Times New Roman Regular" w:hAnsi="Times New Roman Regular" w:eastAsia="宋体" w:cs="Times New Roman Regular"/>
          <w:kern w:val="0"/>
          <w:sz w:val="24"/>
          <w:shd w:val="clear" w:color="auto" w:fill="FFFFFF"/>
          <w:lang w:bidi="ar"/>
        </w:rPr>
        <w:t xml:space="preserve"> 2023</w:t>
      </w:r>
      <w:r>
        <w:rPr>
          <w:rFonts w:ascii="Times New Roman Regular" w:hAnsi="Times New Roman Regular" w:cs="Times New Roman Regular"/>
          <w:sz w:val="24"/>
        </w:rPr>
        <w:t>), in which the morphology of cities shapes how agglomeration translates into employment opportunities and job quality. For China—the world’s largest and fastest case of urbanization—the critical policy question is therefore not merely whether urbanization creates jobs, but whether different forms of urban growth and spatial expansion lead to improvements in the quality of employment. Since the release of the National New-type Urbanization Plan (2014–2020), China has shifted from land and investment-led expansion toward a more human-centered urbanization strategy, emphasizing migrant integration, equal access to public services, and social welfare enhancement</w:t>
      </w:r>
      <w:r>
        <w:rPr>
          <w:rFonts w:hint="eastAsia" w:ascii="Times New Roman Regular" w:hAnsi="Times New Roman Regular" w:cs="Times New Roman Regular"/>
          <w:sz w:val="24"/>
        </w:rPr>
        <w:t xml:space="preserve"> </w:t>
      </w:r>
      <w:r>
        <w:rPr>
          <w:rFonts w:ascii="Times New Roman Regular" w:hAnsi="Times New Roman Regular" w:cs="Times New Roman Regular"/>
          <w:sz w:val="24"/>
        </w:rPr>
        <w:t>(</w:t>
      </w:r>
      <w:r>
        <w:rPr>
          <w:rFonts w:ascii="Times New Roman Regular" w:hAnsi="Times New Roman Regular" w:eastAsia="宋体" w:cs="Times New Roman Regular"/>
          <w:kern w:val="0"/>
          <w:sz w:val="24"/>
          <w:shd w:val="clear" w:color="auto" w:fill="FFFFFF"/>
          <w:lang w:bidi="ar"/>
        </w:rPr>
        <w:t>Li &amp; Song</w:t>
      </w:r>
      <w:r>
        <w:rPr>
          <w:rFonts w:ascii="Times New Roman Regular" w:hAnsi="Times New Roman Regular" w:cs="Times New Roman Regular"/>
          <w:sz w:val="24"/>
        </w:rPr>
        <w:t>, 2020). While recent research has examined how urbanization influences infrastructure, industrial upgrading, and regional growth (</w:t>
      </w:r>
      <w:r>
        <w:rPr>
          <w:rFonts w:ascii="Times New Roman Regular" w:hAnsi="Times New Roman Regular" w:eastAsia="宋体" w:cs="Times New Roman Regular"/>
          <w:kern w:val="0"/>
          <w:sz w:val="24"/>
          <w:shd w:val="clear" w:color="auto" w:fill="FFFFFF"/>
          <w:lang w:bidi="ar"/>
        </w:rPr>
        <w:t>Li et</w:t>
      </w:r>
      <w:r>
        <w:rPr>
          <w:rFonts w:hint="default" w:ascii="Times New Roman Regular" w:hAnsi="Times New Roman Regular" w:eastAsia="宋体" w:cs="Times New Roman Regular"/>
          <w:kern w:val="0"/>
          <w:sz w:val="24"/>
          <w:shd w:val="clear" w:color="auto" w:fill="FFFFFF"/>
          <w:lang w:val="en-US" w:bidi="ar"/>
        </w:rPr>
        <w:t xml:space="preserve"> </w:t>
      </w:r>
      <w:r>
        <w:rPr>
          <w:rFonts w:ascii="Times New Roman Regular" w:hAnsi="Times New Roman Regular" w:eastAsia="宋体" w:cs="Times New Roman Regular"/>
          <w:kern w:val="0"/>
          <w:sz w:val="24"/>
          <w:shd w:val="clear" w:color="auto" w:fill="FFFFFF"/>
          <w:lang w:bidi="ar"/>
        </w:rPr>
        <w:t>al</w:t>
      </w:r>
      <w:r>
        <w:rPr>
          <w:rFonts w:hint="default" w:ascii="Times New Roman Regular" w:hAnsi="Times New Roman Regular" w:eastAsia="宋体" w:cs="Times New Roman Regular"/>
          <w:kern w:val="0"/>
          <w:sz w:val="24"/>
          <w:shd w:val="clear" w:color="auto" w:fill="FFFFFF"/>
          <w:lang w:val="en-US" w:bidi="ar"/>
        </w:rPr>
        <w:t>.</w:t>
      </w:r>
      <w:r>
        <w:rPr>
          <w:rFonts w:ascii="Times New Roman Regular" w:hAnsi="Times New Roman Regular" w:cs="Times New Roman Regular"/>
          <w:sz w:val="24"/>
        </w:rPr>
        <w:t xml:space="preserve">, 2024; </w:t>
      </w:r>
      <w:r>
        <w:rPr>
          <w:rFonts w:ascii="Times New Roman Regular" w:hAnsi="Times New Roman Regular" w:eastAsia="宋体" w:cs="Times New Roman Regular"/>
          <w:kern w:val="0"/>
          <w:sz w:val="24"/>
          <w:shd w:val="clear" w:color="auto" w:fill="FFFFFF"/>
          <w:lang w:bidi="ar"/>
        </w:rPr>
        <w:t>Gong &amp; Xu 2024; Deng et</w:t>
      </w:r>
      <w:r>
        <w:rPr>
          <w:rFonts w:hint="default" w:ascii="Times New Roman Regular" w:hAnsi="Times New Roman Regular" w:eastAsia="宋体" w:cs="Times New Roman Regular"/>
          <w:kern w:val="0"/>
          <w:sz w:val="24"/>
          <w:shd w:val="clear" w:color="auto" w:fill="FFFFFF"/>
          <w:lang w:val="en-US" w:bidi="ar"/>
        </w:rPr>
        <w:t xml:space="preserve"> </w:t>
      </w:r>
      <w:r>
        <w:rPr>
          <w:rFonts w:ascii="Times New Roman Regular" w:hAnsi="Times New Roman Regular" w:eastAsia="宋体" w:cs="Times New Roman Regular"/>
          <w:kern w:val="0"/>
          <w:sz w:val="24"/>
          <w:shd w:val="clear" w:color="auto" w:fill="FFFFFF"/>
          <w:lang w:bidi="ar"/>
        </w:rPr>
        <w:t>al</w:t>
      </w:r>
      <w:r>
        <w:rPr>
          <w:rFonts w:hint="default" w:ascii="Times New Roman Regular" w:hAnsi="Times New Roman Regular" w:eastAsia="宋体" w:cs="Times New Roman Regular"/>
          <w:kern w:val="0"/>
          <w:sz w:val="24"/>
          <w:shd w:val="clear" w:color="auto" w:fill="FFFFFF"/>
          <w:lang w:val="en-US" w:bidi="ar"/>
        </w:rPr>
        <w:t>.</w:t>
      </w:r>
      <w:r>
        <w:rPr>
          <w:rFonts w:ascii="Times New Roman Regular" w:hAnsi="Times New Roman Regular" w:eastAsia="宋体" w:cs="Times New Roman Regular"/>
          <w:kern w:val="0"/>
          <w:sz w:val="24"/>
          <w:shd w:val="clear" w:color="auto" w:fill="FFFFFF"/>
          <w:lang w:bidi="ar"/>
        </w:rPr>
        <w:t>,2023</w:t>
      </w:r>
      <w:r>
        <w:rPr>
          <w:rFonts w:ascii="Times New Roman Regular" w:hAnsi="Times New Roman Regular" w:cs="Times New Roman Regular"/>
          <w:sz w:val="24"/>
        </w:rPr>
        <w:t>), systematic evidence on its effects on employment quality remains scarce. Existing studies tend to focus either on employment quantity or rely on provincial-level aggregates, leaving limited understanding of how institutional reforms affect labor markets at the city level, where heterogeneity is most pronounced.</w:t>
      </w:r>
    </w:p>
    <w:p>
      <w:pPr>
        <w:widowControl/>
        <w:spacing w:before="157" w:beforeLines="50" w:after="157" w:afterLines="50"/>
        <w:ind w:firstLine="240" w:firstLineChars="100"/>
        <w:rPr>
          <w:rFonts w:hint="eastAsia" w:ascii="Times New Roman Regular" w:hAnsi="Times New Roman Regular" w:eastAsia="宋体" w:cs="Times New Roman Regular"/>
          <w:kern w:val="0"/>
          <w:sz w:val="24"/>
          <w:lang w:bidi="ar"/>
        </w:rPr>
      </w:pPr>
      <w:r>
        <w:rPr>
          <w:rFonts w:ascii="Times New Roman Regular" w:hAnsi="Times New Roman Regular" w:eastAsia="宋体" w:cs="Times New Roman Regular"/>
          <w:kern w:val="0"/>
          <w:sz w:val="24"/>
          <w:lang w:bidi="ar"/>
        </w:rPr>
        <w:t xml:space="preserve">This study examines whether the New-type Urbanization Pilot Policy (NUPP) has enhanced employment quality in Chinese cities, focusing on the mechanisms of human capital accumulation and industrial upgrading, as well as the moderating role of urban spatial form and compactness. </w:t>
      </w:r>
      <w:r>
        <w:rPr>
          <w:rFonts w:hint="eastAsia" w:ascii="Times New Roman Regular" w:hAnsi="Times New Roman Regular" w:eastAsia="宋体" w:cs="Times New Roman Regular"/>
          <w:kern w:val="0"/>
          <w:sz w:val="24"/>
          <w:lang w:bidi="ar"/>
        </w:rPr>
        <w:t xml:space="preserve"> </w:t>
      </w:r>
      <w:r>
        <w:rPr>
          <w:rFonts w:ascii="Times New Roman Regular" w:hAnsi="Times New Roman Regular" w:eastAsia="宋体" w:cs="Times New Roman Regular"/>
          <w:kern w:val="0"/>
          <w:sz w:val="24"/>
          <w:lang w:bidi="ar"/>
        </w:rPr>
        <w:t xml:space="preserve">This paper makes for potential contributions. </w:t>
      </w:r>
      <w:r>
        <w:rPr>
          <w:rFonts w:hint="eastAsia" w:ascii="Times New Roman Regular" w:hAnsi="Times New Roman Regular" w:eastAsia="宋体" w:cs="Times New Roman Regular"/>
          <w:kern w:val="0"/>
          <w:sz w:val="24"/>
          <w:lang w:bidi="ar"/>
        </w:rPr>
        <w:t>First</w:t>
      </w:r>
      <w:r>
        <w:rPr>
          <w:rFonts w:ascii="Times New Roman Regular" w:hAnsi="Times New Roman Regular" w:eastAsia="宋体" w:cs="Times New Roman Regular"/>
          <w:kern w:val="0"/>
          <w:sz w:val="24"/>
          <w:lang w:bidi="ar"/>
        </w:rPr>
        <w:t>, we construct a novel city-level multidimensional index of employment quality and exploiting the staggered rollout of the NTUPP as quasi-natural experiment, provide the causal evidence that the policy significantly improves employment quality in pilot cities.</w:t>
      </w:r>
      <w:r>
        <w:rPr>
          <w:rFonts w:hint="eastAsia" w:ascii="Times New Roman Regular" w:hAnsi="Times New Roman Regular" w:eastAsia="宋体" w:cs="Times New Roman Regular"/>
          <w:kern w:val="0"/>
          <w:sz w:val="24"/>
          <w:lang w:bidi="ar"/>
        </w:rPr>
        <w:t xml:space="preserve"> Second</w:t>
      </w:r>
      <w:r>
        <w:rPr>
          <w:rFonts w:ascii="Times New Roman Regular" w:hAnsi="Times New Roman Regular" w:eastAsia="宋体" w:cs="Times New Roman Regular"/>
          <w:kern w:val="0"/>
          <w:sz w:val="24"/>
          <w:lang w:bidi="ar"/>
        </w:rPr>
        <w:t>, we integrate a new remote-sensing dataset on building heights (CBHD30) to derive measures of building surface fraction (BSF) and mean building height (MBH), which capture both horizontal and vertical dimensions of urban expansion, and incorporate these measures into the empirical analysis to investigate how urban morphology moderates the policy’s impact on employment quality.</w:t>
      </w:r>
      <w:r>
        <w:rPr>
          <w:rFonts w:hint="eastAsia" w:ascii="Times New Roman Regular" w:hAnsi="Times New Roman Regular" w:eastAsia="宋体" w:cs="Times New Roman Regular"/>
          <w:kern w:val="0"/>
          <w:sz w:val="24"/>
          <w:lang w:bidi="ar"/>
        </w:rPr>
        <w:t xml:space="preserve"> Third, we examine the heterogeneity of the policy’s effects across different types of cities and further identify spatial spillover effects on neighboring areas.</w:t>
      </w:r>
    </w:p>
    <w:p>
      <w:pPr>
        <w:widowControl/>
        <w:spacing w:before="0" w:beforeLines="-2147483648" w:after="157" w:afterLines="50"/>
        <w:ind w:firstLine="480" w:firstLineChars="200"/>
        <w:jc w:val="both"/>
        <w:rPr>
          <w:rFonts w:hint="default" w:ascii="Times New Roman Regular" w:hAnsi="Times New Roman Regular" w:cs="Times New Roman Regular" w:eastAsiaTheme="minorEastAsia"/>
          <w:kern w:val="2"/>
          <w:sz w:val="24"/>
          <w:szCs w:val="24"/>
          <w:lang w:val="en-US" w:eastAsia="zh-CN" w:bidi="ar"/>
        </w:rPr>
      </w:pPr>
      <w:r>
        <w:rPr>
          <w:rFonts w:hint="default" w:ascii="Times New Roman Regular" w:hAnsi="Times New Roman Regular" w:cs="Times New Roman Regular" w:eastAsiaTheme="minorEastAsia"/>
          <w:kern w:val="2"/>
          <w:sz w:val="24"/>
          <w:lang w:val="en-US" w:eastAsia="zh-CN" w:bidi="ar"/>
        </w:rPr>
        <w:t xml:space="preserve">This Papper provide three contributions to existed literature. i) </w:t>
      </w:r>
      <w:r>
        <w:rPr>
          <w:rFonts w:ascii="Times New Roman Regular" w:hAnsi="Times New Roman Regular" w:cs="Times New Roman Regular" w:eastAsiaTheme="minorEastAsia"/>
          <w:kern w:val="2"/>
          <w:sz w:val="24"/>
          <w:szCs w:val="24"/>
          <w:lang w:val="en-US" w:eastAsia="zh-CN" w:bidi="ar"/>
        </w:rPr>
        <w:t>Empirically, we identify the promotional effect of the NUPP on employment quality at the city level.</w:t>
      </w:r>
      <w:r>
        <w:rPr>
          <w:rFonts w:hint="default" w:ascii="Times New Roman Regular" w:hAnsi="Times New Roman Regular" w:cs="Times New Roman Regular"/>
          <w:kern w:val="2"/>
          <w:sz w:val="24"/>
          <w:szCs w:val="24"/>
          <w:lang w:val="en-US" w:eastAsia="zh-CN" w:bidi="ar"/>
        </w:rPr>
        <w:t xml:space="preserve"> </w:t>
      </w:r>
      <w:r>
        <w:rPr>
          <w:rFonts w:hint="default" w:ascii="Times New Roman Regular" w:hAnsi="Times New Roman Regular" w:cs="Times New Roman Regular" w:eastAsiaTheme="minorEastAsia"/>
          <w:kern w:val="2"/>
          <w:sz w:val="24"/>
          <w:lang w:val="en-US" w:eastAsia="zh-CN" w:bidi="ar"/>
        </w:rPr>
        <w:t xml:space="preserve">ii) </w:t>
      </w:r>
      <w:r>
        <w:rPr>
          <w:rFonts w:ascii="Times New Roman Regular" w:hAnsi="Times New Roman Regular" w:cs="Times New Roman Regular" w:eastAsiaTheme="minorEastAsia"/>
          <w:kern w:val="2"/>
          <w:sz w:val="24"/>
          <w:szCs w:val="24"/>
          <w:lang w:val="en-US" w:eastAsia="zh-CN" w:bidi="ar"/>
        </w:rPr>
        <w:t>Substantively, we introduce novel 3D measures of the built environment into the analysis, allowing us to assess how horizontal and vertical urban forms condition the policy impact.</w:t>
      </w:r>
      <w:r>
        <w:rPr>
          <w:rFonts w:hint="default" w:ascii="Times New Roman Regular" w:hAnsi="Times New Roman Regular" w:cs="Times New Roman Regular" w:eastAsiaTheme="minorEastAsia"/>
          <w:kern w:val="2"/>
          <w:sz w:val="24"/>
          <w:lang w:val="en-US" w:eastAsia="zh-CN" w:bidi="ar"/>
        </w:rPr>
        <w:t xml:space="preserve">. iii) </w:t>
      </w:r>
      <w:r>
        <w:rPr>
          <w:rFonts w:ascii="Times New Roman Regular" w:hAnsi="Times New Roman Regular" w:cs="Times New Roman Regular" w:eastAsiaTheme="minorEastAsia"/>
          <w:kern w:val="2"/>
          <w:sz w:val="24"/>
          <w:szCs w:val="24"/>
          <w:lang w:val="en-US" w:eastAsia="zh-CN" w:bidi="ar"/>
        </w:rPr>
        <w:t>Extending beyond direct effects, we document spatial spillovers of the N</w:t>
      </w:r>
      <w:r>
        <w:rPr>
          <w:rFonts w:hint="default" w:ascii="Times New Roman Regular" w:hAnsi="Times New Roman Regular" w:cs="Times New Roman Regular" w:eastAsiaTheme="minorEastAsia"/>
          <w:kern w:val="2"/>
          <w:sz w:val="24"/>
          <w:szCs w:val="24"/>
          <w:lang w:val="en-US" w:eastAsia="zh-CN" w:bidi="ar"/>
        </w:rPr>
        <w:t>T</w:t>
      </w:r>
      <w:r>
        <w:rPr>
          <w:rFonts w:ascii="Times New Roman Regular" w:hAnsi="Times New Roman Regular" w:cs="Times New Roman Regular" w:eastAsiaTheme="minorEastAsia"/>
          <w:kern w:val="2"/>
          <w:sz w:val="24"/>
          <w:szCs w:val="24"/>
          <w:lang w:val="en-US" w:eastAsia="zh-CN" w:bidi="ar"/>
        </w:rPr>
        <w:t xml:space="preserve">UPP , </w:t>
      </w:r>
      <w:r>
        <w:rPr>
          <w:rFonts w:hint="default" w:ascii="Times New Roman Regular" w:hAnsi="Times New Roman Regular" w:cs="Times New Roman Regular" w:eastAsiaTheme="minorEastAsia"/>
          <w:kern w:val="2"/>
          <w:sz w:val="24"/>
          <w:szCs w:val="24"/>
          <w:lang w:val="en-US" w:eastAsia="zh-CN" w:bidi="ar"/>
        </w:rPr>
        <w:t xml:space="preserve">which </w:t>
      </w:r>
      <w:r>
        <w:rPr>
          <w:rFonts w:ascii="Times New Roman Regular" w:hAnsi="Times New Roman Regular" w:cs="Times New Roman Regular" w:eastAsiaTheme="minorEastAsia"/>
          <w:kern w:val="2"/>
          <w:sz w:val="24"/>
          <w:szCs w:val="24"/>
          <w:lang w:val="en-US" w:eastAsia="zh-CN" w:bidi="ar"/>
        </w:rPr>
        <w:t>highlighting its broader regional implications.</w:t>
      </w:r>
    </w:p>
    <w:p>
      <w:pPr>
        <w:widowControl/>
        <w:numPr>
          <w:ilvl w:val="0"/>
          <w:numId w:val="1"/>
        </w:numPr>
        <w:spacing w:before="0" w:beforeLines="0" w:after="157" w:afterLines="50"/>
        <w:jc w:val="left"/>
        <w:rPr>
          <w:rFonts w:ascii="Times New Roman Bold" w:hAnsi="Times New Roman Bold" w:cs="Times New Roman Bold"/>
          <w:b/>
          <w:bCs/>
          <w:sz w:val="24"/>
        </w:rPr>
      </w:pPr>
      <w:r>
        <w:rPr>
          <w:rFonts w:ascii="Times New Roman Bold" w:hAnsi="Times New Roman Bold" w:eastAsia="CharisSIL-Bold" w:cs="Times New Roman Bold"/>
          <w:b/>
          <w:bCs w:val="0"/>
          <w:color w:val="000000"/>
          <w:kern w:val="0"/>
          <w:sz w:val="24"/>
          <w:szCs w:val="24"/>
          <w:lang w:val="en-US" w:eastAsia="zh-CN" w:bidi="ar"/>
        </w:rPr>
        <w:t>Background and theoretical mechanisms</w:t>
      </w:r>
    </w:p>
    <w:p>
      <w:pPr>
        <w:widowControl/>
        <w:numPr>
          <w:ilvl w:val="-1"/>
          <w:numId w:val="0"/>
        </w:numPr>
        <w:spacing w:before="0" w:beforeLines="0" w:after="157" w:afterLines="50"/>
        <w:jc w:val="left"/>
        <w:rPr>
          <w:rFonts w:ascii="Times New Roman Bold" w:hAnsi="Times New Roman Bold" w:cs="Times New Roman Bold"/>
          <w:b/>
          <w:bCs/>
          <w:sz w:val="24"/>
        </w:rPr>
      </w:pPr>
      <w:r>
        <w:rPr>
          <w:rFonts w:hint="default" w:ascii="Times New Roman Bold" w:hAnsi="Times New Roman Bold" w:cs="Times New Roman Bold"/>
          <w:b/>
          <w:bCs/>
          <w:sz w:val="24"/>
          <w:lang w:val="en-US"/>
        </w:rPr>
        <w:t>2</w:t>
      </w:r>
      <w:r>
        <w:rPr>
          <w:rFonts w:ascii="Times New Roman Bold" w:hAnsi="Times New Roman Bold" w:cs="Times New Roman Bold"/>
          <w:b/>
          <w:bCs/>
          <w:sz w:val="24"/>
        </w:rPr>
        <w:t xml:space="preserve">.1 Urbanization and </w:t>
      </w:r>
      <w:r>
        <w:rPr>
          <w:rFonts w:hint="eastAsia" w:ascii="Times New Roman Bold" w:hAnsi="Times New Roman Bold" w:cs="Times New Roman Bold"/>
          <w:b/>
          <w:bCs/>
          <w:sz w:val="24"/>
          <w:lang w:val="en-US" w:eastAsia="zh-CN"/>
        </w:rPr>
        <w:t>e</w:t>
      </w:r>
      <w:r>
        <w:rPr>
          <w:rFonts w:ascii="Times New Roman Bold" w:hAnsi="Times New Roman Bold" w:cs="Times New Roman Bold"/>
          <w:b/>
          <w:bCs/>
          <w:sz w:val="24"/>
        </w:rPr>
        <w:t>mployment</w:t>
      </w:r>
    </w:p>
    <w:p>
      <w:pPr>
        <w:spacing w:before="0" w:beforeLines="0" w:after="157" w:afterLines="50"/>
        <w:ind w:firstLine="240" w:firstLineChars="100"/>
        <w:rPr>
          <w:rFonts w:ascii="Times New Roman Regular" w:hAnsi="Times New Roman Regular" w:cs="Times New Roman Regular"/>
          <w:b/>
          <w:bCs/>
          <w:sz w:val="24"/>
        </w:rPr>
      </w:pPr>
      <w:r>
        <w:rPr>
          <w:rFonts w:ascii="Times New Roman Regular" w:hAnsi="Times New Roman Regular" w:cs="Times New Roman Regular"/>
          <w:sz w:val="24"/>
        </w:rPr>
        <w:t xml:space="preserve">In 2014, the Chinese government launched the New-type Urbanization Policy (NTUPP) with the aim of promoting sustainable urban growth, improving employment quality, and fostering inclusive development. Compared with traditional urbanization strategies, the NTUPP emphasizes not only spatial expansion but also the improvement of human capital, industrial upgrading, and market development. The policy provides institutional support </w:t>
      </w:r>
      <w:r>
        <w:rPr>
          <w:rFonts w:hint="eastAsia" w:ascii="Times New Roman Regular" w:hAnsi="Times New Roman Regular" w:cs="Times New Roman Regular"/>
          <w:sz w:val="24"/>
        </w:rPr>
        <w:t>f</w:t>
      </w:r>
      <w:r>
        <w:rPr>
          <w:rFonts w:ascii="Times New Roman Regular" w:hAnsi="Times New Roman Regular" w:cs="Times New Roman Regular"/>
          <w:sz w:val="24"/>
        </w:rPr>
        <w:t>or enhancing employment quality through coordinated land use, infrastructure investment, and labor market reforms.</w:t>
      </w:r>
    </w:p>
    <w:p>
      <w:pPr>
        <w:spacing w:before="0" w:beforeLines="0" w:after="157" w:afterLines="50"/>
        <w:ind w:firstLine="240" w:firstLineChars="100"/>
        <w:rPr>
          <w:rFonts w:ascii="Times New Roman Regular" w:hAnsi="Times New Roman Regular" w:cs="Times New Roman Regular"/>
          <w:sz w:val="24"/>
        </w:rPr>
      </w:pPr>
      <w:r>
        <w:rPr>
          <w:rFonts w:ascii="Times New Roman Regular" w:hAnsi="Times New Roman Regular" w:cs="Times New Roman Regular"/>
          <w:sz w:val="24"/>
        </w:rPr>
        <w:t>A growing body of research has examined the multifaceted relationship between urbanization and employment outcomes. Cross-country studies highlight that urbanization can reduce vulnerable employment and enhance labor market performance when supported by structural transformation (Chen et al., 2023), while regional evidence suggests heterogeneous effects depending on trade, foreign investment, and gender dynamics (Nica et al., 2023). Within China, urbanization quality is closely tied to city size and industrial structure (Xu &amp; Jiao, 2021), and factors such as industrial agglomeration (Wu et al., 2022) and macroeconomic growth (Guo et al., 2022) have been identified as key drivers of urban expansion and labor market upgrading. At the same time, scholars emphasize the potential downsides of rapid urbanization, including poverty suburbanization and limited job accessibility (Delmelle et al., 2021), environmental pressures (Abbasi et al., 2021), and spatial disparities in urban growth across different national contexts (Pilehvar, 2021; Park, 2023). Overall, while prior studies underline the role of urbanization in shaping employment outcomes, most have paid less attention to the quality dimension of employment and its institutional underpinnings.</w:t>
      </w:r>
    </w:p>
    <w:p>
      <w:pPr>
        <w:spacing w:before="0" w:beforeLines="0" w:after="157" w:afterLines="50"/>
        <w:ind w:firstLine="240" w:firstLineChars="100"/>
        <w:rPr>
          <w:rFonts w:ascii="Times New Roman Regular" w:hAnsi="Times New Roman Regular" w:cs="Times New Roman Regular"/>
          <w:sz w:val="24"/>
        </w:rPr>
      </w:pPr>
      <w:r>
        <w:rPr>
          <w:rFonts w:ascii="Times New Roman Regular" w:hAnsi="Times New Roman Regular" w:cs="Times New Roman Regular"/>
          <w:sz w:val="24"/>
        </w:rPr>
        <w:t>Recent work has shifted attention toward how urban spatial form and morphology mediate these effects. Compact and transit-oriented urban structures are found to improve job accessibility and mitigate spatial mismatch (Lyons &amp; Ewing, 2021; Bastiaanssen et al., 2022), while fragmented or sprawling urban development often exacerbates inequality and weakens labor market efficiency (Alshammari et al., 2022; Mun et al., 2024). Empirical evidence from China shows that spatial structure can accelerate employment growth by facilitating agglomeration and industrial linkages (Xiao et al., 2022), whereas international studies reveal that urban sorting and income stratification interact strongly with spatial form (Couture et al., 2024). More recently, scholars have highlighted the need to account for both horizontal and vertical expansion, as volumetric sprawl produces distinct implications for sustainability and labor market outcomes (Soltani et al., 2025). These insights underscore that the economic and employment effects of urbanization cannot be disentangled from its spatial configurations, yet systematic analyses that link policy-induced urbanization, employment quality, and urban form remain scarce.</w:t>
      </w:r>
    </w:p>
    <w:p>
      <w:pPr>
        <w:spacing w:before="0" w:beforeLines="0" w:after="157" w:afterLines="50"/>
        <w:ind w:firstLine="240" w:firstLineChars="100"/>
        <w:rPr>
          <w:rFonts w:ascii="Times New Roman Regular" w:hAnsi="Times New Roman Regular" w:cs="Times New Roman Regular"/>
          <w:sz w:val="24"/>
        </w:rPr>
      </w:pPr>
      <w:r>
        <w:rPr>
          <w:rFonts w:ascii="Times New Roman Regular" w:hAnsi="Times New Roman Regular" w:cs="Times New Roman Regular"/>
          <w:sz w:val="24"/>
        </w:rPr>
        <w:t>Existing studies show that urbanization influences employment outcomes and that spatial form matters, but they largely overlook the quality dimension of employment and how policy-driven urbanization interacts with urban morphology. This paper addresses these gaps by examining the effects of the New-type Urbanization Pilot Policy (N</w:t>
      </w:r>
      <w:r>
        <w:rPr>
          <w:rFonts w:hint="default" w:ascii="Times New Roman Regular" w:hAnsi="Times New Roman Regular" w:cs="Times New Roman Regular"/>
          <w:sz w:val="24"/>
          <w:lang w:val="en-US"/>
        </w:rPr>
        <w:t>T</w:t>
      </w:r>
      <w:r>
        <w:rPr>
          <w:rFonts w:ascii="Times New Roman Regular" w:hAnsi="Times New Roman Regular" w:cs="Times New Roman Regular"/>
          <w:sz w:val="24"/>
        </w:rPr>
        <w:t>UPP) on employment quality in Chinese cities and the moderating role of spatial form.</w:t>
      </w:r>
    </w:p>
    <w:p>
      <w:pPr>
        <w:rPr>
          <w:rFonts w:hint="eastAsia" w:ascii="Times New Roman Regular" w:hAnsi="Times New Roman Regular" w:eastAsia="宋体" w:cs="Times New Roman Regular"/>
          <w:kern w:val="0"/>
          <w:sz w:val="24"/>
          <w:lang w:eastAsia="zh-CN" w:bidi="ar"/>
        </w:rPr>
      </w:pPr>
      <w:r>
        <w:rPr>
          <w:rFonts w:hint="eastAsia" w:ascii="Times New Roman Regular" w:hAnsi="Times New Roman Regular" w:eastAsia="宋体" w:cs="Times New Roman Regular"/>
          <w:kern w:val="0"/>
          <w:sz w:val="24"/>
          <w:lang w:eastAsia="zh-CN" w:bidi="ar"/>
        </w:rPr>
        <w:drawing>
          <wp:inline distT="0" distB="0" distL="114300" distR="114300">
            <wp:extent cx="4853305" cy="3979545"/>
            <wp:effectExtent l="0" t="0" r="23495" b="8255"/>
            <wp:docPr id="3" name="图片 3" descr="a41c03ee0863e09d0ec2cc9a553d26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a41c03ee0863e09d0ec2cc9a553d26b3"/>
                    <pic:cNvPicPr>
                      <a:picLocks noChangeAspect="1"/>
                    </pic:cNvPicPr>
                  </pic:nvPicPr>
                  <pic:blipFill>
                    <a:blip r:embed="rId5"/>
                    <a:srcRect l="2289" t="1333" r="1627" b="2914"/>
                    <a:stretch>
                      <a:fillRect/>
                    </a:stretch>
                  </pic:blipFill>
                  <pic:spPr>
                    <a:xfrm>
                      <a:off x="0" y="0"/>
                      <a:ext cx="4853305" cy="3979545"/>
                    </a:xfrm>
                    <a:prstGeom prst="rect">
                      <a:avLst/>
                    </a:prstGeom>
                  </pic:spPr>
                </pic:pic>
              </a:graphicData>
            </a:graphic>
          </wp:inline>
        </w:drawing>
      </w:r>
    </w:p>
    <w:p>
      <w:pPr>
        <w:widowControl/>
        <w:spacing w:after="157" w:afterLines="50"/>
        <w:jc w:val="center"/>
        <w:rPr>
          <w:rFonts w:ascii="Times New Roman Regular" w:hAnsi="Times New Roman Regular" w:eastAsia="宋体" w:cs="Times New Roman Regular"/>
          <w:kern w:val="0"/>
          <w:sz w:val="20"/>
          <w:szCs w:val="20"/>
          <w:lang w:bidi="ar"/>
        </w:rPr>
      </w:pPr>
      <w:r>
        <w:rPr>
          <w:rFonts w:ascii="Times New Roman Bold" w:hAnsi="Times New Roman Bold" w:eastAsia="CharisSIL-Bold" w:cs="Times New Roman Bold"/>
          <w:b/>
          <w:bCs/>
          <w:kern w:val="0"/>
          <w:sz w:val="20"/>
          <w:szCs w:val="20"/>
          <w:lang w:bidi="ar"/>
        </w:rPr>
        <w:t xml:space="preserve">Fig. 1. </w:t>
      </w:r>
      <w:r>
        <w:rPr>
          <w:rFonts w:ascii="Times New Roman Regular" w:hAnsi="Times New Roman Regular" w:eastAsia="CharisSIL" w:cs="Times New Roman Regular"/>
          <w:kern w:val="0"/>
          <w:sz w:val="20"/>
          <w:szCs w:val="20"/>
          <w:lang w:bidi="ar"/>
        </w:rPr>
        <w:t>Timeline of policy approvals.</w:t>
      </w:r>
    </w:p>
    <w:p>
      <w:pPr>
        <w:keepNext w:val="0"/>
        <w:keepLines w:val="0"/>
        <w:widowControl/>
        <w:suppressLineNumbers w:val="0"/>
        <w:spacing w:before="0" w:beforeLines="0" w:after="157" w:afterLines="50"/>
        <w:jc w:val="left"/>
        <w:rPr>
          <w:rFonts w:ascii="Times New Roman Bold" w:hAnsi="Times New Roman Bold" w:cs="Times New Roman Bold"/>
          <w:b/>
          <w:bCs/>
          <w:sz w:val="24"/>
        </w:rPr>
      </w:pPr>
      <w:r>
        <w:rPr>
          <w:rFonts w:ascii="Times New Roman Bold" w:hAnsi="Times New Roman Bold" w:eastAsia="CharisSIL-Italic" w:cs="Times New Roman Bold"/>
          <w:b/>
          <w:bCs/>
          <w:i w:val="0"/>
          <w:iCs/>
          <w:color w:val="000000"/>
          <w:kern w:val="0"/>
          <w:sz w:val="24"/>
          <w:szCs w:val="24"/>
          <w:lang w:val="en-US" w:eastAsia="zh-CN" w:bidi="ar"/>
        </w:rPr>
        <w:t>2.2. Theoretical mechanisms</w:t>
      </w:r>
    </w:p>
    <w:p>
      <w:pPr>
        <w:spacing w:before="0" w:beforeLines="0" w:after="157" w:afterLines="50"/>
        <w:ind w:firstLine="240" w:firstLineChars="100"/>
        <w:rPr>
          <w:rFonts w:ascii="Times New Roman Regular" w:hAnsi="Times New Roman Regular" w:cs="Times New Roman Regular"/>
          <w:sz w:val="24"/>
        </w:rPr>
      </w:pPr>
      <w:r>
        <w:rPr>
          <w:rFonts w:ascii="Times New Roman Regular" w:hAnsi="Times New Roman Regular" w:cs="Times New Roman Regular"/>
          <w:sz w:val="24"/>
        </w:rPr>
        <w:t>The NTUPP directly influences urban employment quality by reshaping the institutional and spatial foundations of urban development. First, the policy emphasizes coordinated urban planning and infrastructure investment, which reduces mismatches between labor supply and demand and provides more equitable access to job opportunities (</w:t>
      </w:r>
      <w:r>
        <w:rPr>
          <w:rFonts w:hint="eastAsia" w:ascii="Times New Roman Regular" w:hAnsi="Times New Roman Regular" w:cs="Times New Roman Regular"/>
          <w:sz w:val="24"/>
        </w:rPr>
        <w:t>Liao&amp;Tian</w:t>
      </w:r>
      <w:r>
        <w:rPr>
          <w:rFonts w:ascii="Times New Roman Regular" w:hAnsi="Times New Roman Regular" w:cs="Times New Roman Regular"/>
          <w:sz w:val="24"/>
        </w:rPr>
        <w:t>, 2024). Second, by improving the provision of public services such as education, healthcare, and transportation, the NTUPP lowers barriers to labor mobility and enables workers to participate in higher-quality employment(</w:t>
      </w:r>
      <w:r>
        <w:rPr>
          <w:rFonts w:hint="eastAsia" w:ascii="Times New Roman Regular" w:hAnsi="Times New Roman Regular" w:cs="Times New Roman Regular"/>
          <w:sz w:val="24"/>
        </w:rPr>
        <w:t>Wang et</w:t>
      </w:r>
      <w:r>
        <w:rPr>
          <w:rFonts w:ascii="Times New Roman Regular" w:hAnsi="Times New Roman Regular" w:cs="Times New Roman Regular"/>
          <w:sz w:val="24"/>
        </w:rPr>
        <w:t xml:space="preserve"> al., 2025). Third, the NTUPP strengthens institutional support for industrial upgrading and entrepreneurship, thereby stimulating demand for skilled labor and creating more stable and diversified job opportunities (</w:t>
      </w:r>
      <w:r>
        <w:rPr>
          <w:rFonts w:hint="eastAsia" w:ascii="Times New Roman Regular" w:hAnsi="Times New Roman Regular" w:cs="Times New Roman Regular"/>
          <w:sz w:val="24"/>
        </w:rPr>
        <w:t>Wang</w:t>
      </w:r>
      <w:r>
        <w:rPr>
          <w:rFonts w:hint="default" w:ascii="Times New Roman Regular" w:hAnsi="Times New Roman Regular" w:cs="Times New Roman Regular"/>
          <w:sz w:val="24"/>
          <w:lang w:val="en-US"/>
        </w:rPr>
        <w:t xml:space="preserve"> </w:t>
      </w:r>
      <w:r>
        <w:rPr>
          <w:rFonts w:hint="eastAsia" w:ascii="Times New Roman Regular" w:hAnsi="Times New Roman Regular" w:cs="Times New Roman Regular"/>
          <w:sz w:val="24"/>
        </w:rPr>
        <w:t>&amp;</w:t>
      </w:r>
      <w:r>
        <w:rPr>
          <w:rFonts w:hint="default" w:ascii="Times New Roman Regular" w:hAnsi="Times New Roman Regular" w:cs="Times New Roman Regular"/>
          <w:sz w:val="24"/>
          <w:lang w:val="en-US"/>
        </w:rPr>
        <w:t xml:space="preserve"> </w:t>
      </w:r>
      <w:r>
        <w:rPr>
          <w:rFonts w:hint="eastAsia" w:ascii="Times New Roman Regular" w:hAnsi="Times New Roman Regular" w:cs="Times New Roman Regular"/>
          <w:sz w:val="24"/>
        </w:rPr>
        <w:t>Qiu</w:t>
      </w:r>
      <w:r>
        <w:rPr>
          <w:rFonts w:ascii="Times New Roman Regular" w:hAnsi="Times New Roman Regular" w:cs="Times New Roman Regular"/>
          <w:sz w:val="24"/>
        </w:rPr>
        <w:t>, 2023). Through these mechanisms, the NTUPP is expected to enhance both the quantity and quality of employment in urban areas.</w:t>
      </w:r>
    </w:p>
    <w:p>
      <w:pPr>
        <w:widowControl/>
        <w:spacing w:before="0" w:beforeLines="0" w:after="157" w:afterLines="50"/>
        <w:ind w:firstLine="240" w:firstLineChars="100"/>
        <w:rPr>
          <w:rFonts w:hint="eastAsia" w:ascii="Times New Roman Regular" w:hAnsi="Times New Roman Regular" w:cs="Times New Roman Regular"/>
          <w:sz w:val="24"/>
          <w:lang w:val="en-US" w:eastAsia="zh-CN"/>
        </w:rPr>
      </w:pPr>
      <w:r>
        <w:rPr>
          <w:rFonts w:ascii="Times New Roman Regular" w:hAnsi="Times New Roman Regular" w:cs="Times New Roman Regular"/>
          <w:sz w:val="24"/>
        </w:rPr>
        <w:t>Urban spatial expansion may influence the extent to which the NTUPP improves employment quality. When urban growth primarily takes the form of 2D expansion (horizontal sprawl), it often generates dispersed settlement patterns, inefficient land use, and fragmented infrastructure provision (</w:t>
      </w:r>
      <w:r>
        <w:rPr>
          <w:rFonts w:hint="eastAsia" w:ascii="Times New Roman Regular" w:hAnsi="Times New Roman Regular" w:cs="Times New Roman Regular"/>
          <w:sz w:val="24"/>
        </w:rPr>
        <w:t>Xiao et</w:t>
      </w:r>
      <w:r>
        <w:rPr>
          <w:rFonts w:hint="default" w:ascii="Times New Roman Regular" w:hAnsi="Times New Roman Regular" w:cs="Times New Roman Regular"/>
          <w:sz w:val="24"/>
          <w:lang w:val="en-US"/>
        </w:rPr>
        <w:t xml:space="preserve"> </w:t>
      </w:r>
      <w:r>
        <w:rPr>
          <w:rFonts w:ascii="Times New Roman Regular" w:hAnsi="Times New Roman Regular" w:cs="Times New Roman Regular"/>
          <w:sz w:val="24"/>
        </w:rPr>
        <w:t>al., 2022). Horizontal sprawl also increases commuting distance and costs, which can exacerbate the spatial mismatch between jobs and workers. These inefficiencies weaken the effectiveness of urban policies that aim to enhance employment quality, as the benefits of institutional support and public service provision are partly offset by rising urban costs and declining spatial accessibility(</w:t>
      </w:r>
      <w:r>
        <w:rPr>
          <w:rFonts w:hint="eastAsia" w:ascii="Times New Roman Regular" w:hAnsi="Times New Roman Regular" w:cs="Times New Roman Regular"/>
          <w:sz w:val="24"/>
        </w:rPr>
        <w:t>Zhao et</w:t>
      </w:r>
      <w:r>
        <w:rPr>
          <w:rFonts w:hint="default" w:ascii="Times New Roman Regular" w:hAnsi="Times New Roman Regular" w:cs="Times New Roman Regular"/>
          <w:sz w:val="24"/>
          <w:lang w:val="en-US"/>
        </w:rPr>
        <w:t xml:space="preserve"> </w:t>
      </w:r>
      <w:r>
        <w:rPr>
          <w:rFonts w:ascii="Times New Roman Regular" w:hAnsi="Times New Roman Regular" w:cs="Times New Roman Regular"/>
          <w:sz w:val="24"/>
        </w:rPr>
        <w:t>al., 202</w:t>
      </w:r>
      <w:r>
        <w:rPr>
          <w:rFonts w:hint="eastAsia" w:ascii="Times New Roman Regular" w:hAnsi="Times New Roman Regular" w:cs="Times New Roman Regular"/>
          <w:sz w:val="24"/>
        </w:rPr>
        <w:t>0</w:t>
      </w:r>
      <w:r>
        <w:rPr>
          <w:rFonts w:ascii="Times New Roman Regular" w:hAnsi="Times New Roman Regular" w:cs="Times New Roman Regular"/>
          <w:sz w:val="24"/>
        </w:rPr>
        <w:t>). Thus, extensive 2D expansion is expected to attenuate the positive impacts of the NTUPP on employment outcomes.</w:t>
      </w:r>
      <w:r>
        <w:rPr>
          <w:rFonts w:hint="eastAsia" w:ascii="Times New Roman Regular" w:hAnsi="Times New Roman Regular" w:cs="Times New Roman Regular"/>
          <w:sz w:val="24"/>
          <w:lang w:val="en-US" w:eastAsia="zh-CN"/>
        </w:rPr>
        <w:t xml:space="preserve"> </w:t>
      </w:r>
    </w:p>
    <w:p>
      <w:pPr>
        <w:widowControl/>
        <w:spacing w:before="0" w:beforeLines="0" w:after="157" w:afterLines="50"/>
        <w:ind w:firstLine="240" w:firstLineChars="100"/>
        <w:rPr>
          <w:rFonts w:ascii="Times New Roman Regular" w:hAnsi="Times New Roman Regular" w:cs="Times New Roman Regular"/>
          <w:sz w:val="24"/>
        </w:rPr>
      </w:pPr>
      <w:r>
        <w:rPr>
          <w:rFonts w:ascii="Times New Roman Regular" w:hAnsi="Times New Roman Regular" w:cs="Times New Roman Regular"/>
          <w:sz w:val="24"/>
        </w:rPr>
        <w:t xml:space="preserve">By contrast, </w:t>
      </w:r>
      <w:r>
        <w:rPr>
          <w:rStyle w:val="13"/>
          <w:rFonts w:ascii="Times New Roman Regular" w:hAnsi="Times New Roman Regular" w:cs="Times New Roman Regular"/>
          <w:b w:val="0"/>
          <w:sz w:val="24"/>
        </w:rPr>
        <w:t>3D expansion (vertical densification)</w:t>
      </w:r>
      <w:r>
        <w:rPr>
          <w:rFonts w:ascii="Times New Roman Regular" w:hAnsi="Times New Roman Regular" w:cs="Times New Roman Regular"/>
          <w:sz w:val="24"/>
        </w:rPr>
        <w:t xml:space="preserve"> offers a more efficient growth path. Concentrating population and activity </w:t>
      </w:r>
      <w:r>
        <w:rPr>
          <w:rStyle w:val="13"/>
          <w:rFonts w:ascii="Times New Roman Regular" w:hAnsi="Times New Roman Regular" w:cs="Times New Roman Regular"/>
          <w:b w:val="0"/>
          <w:sz w:val="24"/>
        </w:rPr>
        <w:t>within existing urban footprints</w:t>
      </w:r>
      <w:r>
        <w:rPr>
          <w:rFonts w:ascii="Times New Roman Regular" w:hAnsi="Times New Roman Regular" w:cs="Times New Roman Regular"/>
          <w:sz w:val="24"/>
        </w:rPr>
        <w:t xml:space="preserve"> optimizes land use and lowers per-capita infrastructure costs (</w:t>
      </w:r>
      <w:r>
        <w:rPr>
          <w:rFonts w:hint="eastAsia" w:ascii="Times New Roman Regular" w:hAnsi="Times New Roman Regular" w:cs="Times New Roman Regular"/>
          <w:sz w:val="24"/>
          <w:lang w:val="en-US" w:eastAsia="zh-CN"/>
        </w:rPr>
        <w:t>He</w:t>
      </w:r>
      <w:r>
        <w:rPr>
          <w:rFonts w:ascii="Times New Roman Regular" w:hAnsi="Times New Roman Regular" w:cs="Times New Roman Regular"/>
          <w:sz w:val="24"/>
        </w:rPr>
        <w:t xml:space="preserve"> et al., 202</w:t>
      </w:r>
      <w:r>
        <w:rPr>
          <w:rFonts w:hint="eastAsia" w:ascii="Times New Roman Regular" w:hAnsi="Times New Roman Regular" w:cs="Times New Roman Regular"/>
          <w:sz w:val="24"/>
          <w:lang w:val="en-US" w:eastAsia="zh-CN"/>
        </w:rPr>
        <w:t>0</w:t>
      </w:r>
      <w:r>
        <w:rPr>
          <w:rFonts w:ascii="Times New Roman Regular" w:hAnsi="Times New Roman Regular" w:cs="Times New Roman Regular"/>
          <w:sz w:val="24"/>
        </w:rPr>
        <w:t xml:space="preserve">). Denser built environments </w:t>
      </w:r>
      <w:r>
        <w:rPr>
          <w:rStyle w:val="13"/>
          <w:rFonts w:ascii="Times New Roman Regular" w:hAnsi="Times New Roman Regular" w:cs="Times New Roman Regular"/>
          <w:b w:val="0"/>
          <w:sz w:val="24"/>
        </w:rPr>
        <w:t>raise job accessibility, shorten commutes, and improve matching efficiency</w:t>
      </w:r>
      <w:r>
        <w:rPr>
          <w:rFonts w:ascii="Times New Roman Regular" w:hAnsi="Times New Roman Regular" w:cs="Times New Roman Regular"/>
          <w:sz w:val="24"/>
        </w:rPr>
        <w:t>, supporting more productive labor allocation (</w:t>
      </w:r>
      <w:r>
        <w:rPr>
          <w:rFonts w:ascii="Times New Roman Regular" w:hAnsi="Times New Roman Regular" w:eastAsia="宋体" w:cs="Times New Roman Regular"/>
          <w:i w:val="0"/>
          <w:iCs w:val="0"/>
          <w:caps w:val="0"/>
          <w:color w:val="222222"/>
          <w:spacing w:val="0"/>
          <w:kern w:val="0"/>
          <w:sz w:val="24"/>
          <w:szCs w:val="24"/>
          <w:shd w:val="clear" w:fill="FFFFFF"/>
          <w:lang w:val="en-US" w:eastAsia="zh-CN" w:bidi="ar"/>
        </w:rPr>
        <w:t>Delmelle</w:t>
      </w:r>
      <w:r>
        <w:rPr>
          <w:rFonts w:ascii="Times New Roman Regular" w:hAnsi="Times New Roman Regular" w:cs="Times New Roman Regular"/>
          <w:sz w:val="24"/>
        </w:rPr>
        <w:t xml:space="preserve"> et al., 202</w:t>
      </w:r>
      <w:r>
        <w:rPr>
          <w:rFonts w:hint="eastAsia" w:ascii="Times New Roman Regular" w:hAnsi="Times New Roman Regular" w:cs="Times New Roman Regular"/>
          <w:sz w:val="24"/>
          <w:lang w:val="en-US" w:eastAsia="zh-CN"/>
        </w:rPr>
        <w:t>1</w:t>
      </w:r>
      <w:r>
        <w:rPr>
          <w:rFonts w:ascii="Times New Roman Regular" w:hAnsi="Times New Roman Regular" w:cs="Times New Roman Regular"/>
          <w:sz w:val="24"/>
        </w:rPr>
        <w:t xml:space="preserve">). Crucially, densification </w:t>
      </w:r>
      <w:r>
        <w:rPr>
          <w:rStyle w:val="13"/>
          <w:rFonts w:ascii="Times New Roman Regular" w:hAnsi="Times New Roman Regular" w:cs="Times New Roman Regular"/>
          <w:b w:val="0"/>
          <w:sz w:val="24"/>
        </w:rPr>
        <w:t>strengthens agglomeration economies</w:t>
      </w:r>
      <w:r>
        <w:rPr>
          <w:rFonts w:ascii="Times New Roman Regular" w:hAnsi="Times New Roman Regular" w:cs="Times New Roman Regular"/>
          <w:sz w:val="24"/>
        </w:rPr>
        <w:t xml:space="preserve">—the sharing, matching, and learning mechanisms through which proximity boosts productivity—thereby </w:t>
      </w:r>
      <w:r>
        <w:rPr>
          <w:rStyle w:val="13"/>
          <w:rFonts w:ascii="Times New Roman Regular" w:hAnsi="Times New Roman Regular" w:cs="Times New Roman Regular"/>
          <w:b w:val="0"/>
          <w:sz w:val="24"/>
        </w:rPr>
        <w:t>magnifying the policy channels</w:t>
      </w:r>
      <w:r>
        <w:rPr>
          <w:rFonts w:ascii="Times New Roman Regular" w:hAnsi="Times New Roman Regular" w:cs="Times New Roman Regular"/>
          <w:sz w:val="24"/>
        </w:rPr>
        <w:t xml:space="preserve"> (infrastructure upgrading, human-capital accumulation, firm upgrading) through which the NTUPP improves employment quality. This logic aligns with classic evidence that urban concentration fosters </w:t>
      </w:r>
      <w:r>
        <w:rPr>
          <w:rStyle w:val="13"/>
          <w:rFonts w:ascii="Times New Roman Regular" w:hAnsi="Times New Roman Regular" w:cs="Times New Roman Regular"/>
          <w:b w:val="0"/>
          <w:sz w:val="24"/>
        </w:rPr>
        <w:t>knowledge spillovers and growth</w:t>
      </w:r>
      <w:r>
        <w:rPr>
          <w:rFonts w:ascii="Times New Roman Regular" w:hAnsi="Times New Roman Regular" w:cs="Times New Roman Regular"/>
          <w:sz w:val="24"/>
        </w:rPr>
        <w:t xml:space="preserve"> (Glaeser et al., 1992) and that cities generate a </w:t>
      </w:r>
      <w:r>
        <w:rPr>
          <w:rStyle w:val="13"/>
          <w:rFonts w:ascii="Times New Roman Regular" w:hAnsi="Times New Roman Regular" w:cs="Times New Roman Regular"/>
          <w:b w:val="0"/>
          <w:sz w:val="24"/>
        </w:rPr>
        <w:t>learning premium</w:t>
      </w:r>
      <w:r>
        <w:rPr>
          <w:rFonts w:ascii="Times New Roman Regular" w:hAnsi="Times New Roman Regular" w:cs="Times New Roman Regular"/>
          <w:sz w:val="24"/>
        </w:rPr>
        <w:t xml:space="preserve"> that raises workers’ skills and wages (Glaeser &amp; Maré, 2001). Thus, vertical densification should </w:t>
      </w:r>
      <w:r>
        <w:rPr>
          <w:rStyle w:val="13"/>
          <w:rFonts w:ascii="Times New Roman Regular" w:hAnsi="Times New Roman Regular" w:cs="Times New Roman Regular"/>
          <w:b w:val="0"/>
          <w:sz w:val="24"/>
        </w:rPr>
        <w:t>reinforce</w:t>
      </w:r>
      <w:r>
        <w:rPr>
          <w:rFonts w:ascii="Times New Roman Regular" w:hAnsi="Times New Roman Regular" w:cs="Times New Roman Regular"/>
          <w:sz w:val="24"/>
        </w:rPr>
        <w:t xml:space="preserve"> the NTUPP’s effects on high-quality employment (Zhao et al., 2025).</w:t>
      </w:r>
    </w:p>
    <w:p>
      <w:pPr>
        <w:widowControl/>
        <w:spacing w:before="0" w:beforeLines="0" w:after="157" w:afterLines="50"/>
        <w:ind w:firstLine="240" w:firstLineChars="100"/>
        <w:rPr>
          <w:rFonts w:hint="default" w:ascii="Times New Roman Regular" w:hAnsi="Times New Roman Regular" w:cs="Times New Roman Regular"/>
          <w:sz w:val="24"/>
          <w:lang w:val="en-US"/>
        </w:rPr>
      </w:pPr>
      <w:r>
        <w:rPr>
          <w:rFonts w:ascii="Times New Roman Regular" w:hAnsi="Times New Roman Regular" w:cs="Times New Roman Regular"/>
          <w:sz w:val="24"/>
        </w:rPr>
        <w:t>Beyond its direct influence, the NTUPP is expected to improve urban employment quality through indirect mechanisms. One important channel is human capital enhancement. By expanding access to education, vocational training, and healthcare, the NTUPP helps raise the skill levels and overall productivity of the urban labor force(</w:t>
      </w:r>
      <w:r>
        <w:rPr>
          <w:rFonts w:hint="eastAsia" w:ascii="Times New Roman Regular" w:hAnsi="Times New Roman Regular" w:cs="Times New Roman Regular"/>
          <w:sz w:val="24"/>
        </w:rPr>
        <w:t>Wang</w:t>
      </w:r>
      <w:r>
        <w:rPr>
          <w:rFonts w:hint="default" w:ascii="Times New Roman Regular" w:hAnsi="Times New Roman Regular" w:cs="Times New Roman Regular"/>
          <w:sz w:val="24"/>
          <w:lang w:val="en-US"/>
        </w:rPr>
        <w:t xml:space="preserve"> </w:t>
      </w:r>
      <w:r>
        <w:rPr>
          <w:rFonts w:hint="eastAsia" w:ascii="Times New Roman Regular" w:hAnsi="Times New Roman Regular" w:cs="Times New Roman Regular"/>
          <w:sz w:val="24"/>
        </w:rPr>
        <w:t>&amp;</w:t>
      </w:r>
      <w:r>
        <w:rPr>
          <w:rFonts w:hint="default" w:ascii="Times New Roman Regular" w:hAnsi="Times New Roman Regular" w:cs="Times New Roman Regular"/>
          <w:sz w:val="24"/>
          <w:lang w:val="en-US"/>
        </w:rPr>
        <w:t xml:space="preserve"> </w:t>
      </w:r>
      <w:r>
        <w:rPr>
          <w:rFonts w:hint="eastAsia" w:ascii="Times New Roman Regular" w:hAnsi="Times New Roman Regular" w:cs="Times New Roman Regular"/>
          <w:sz w:val="24"/>
        </w:rPr>
        <w:t>Qiu</w:t>
      </w:r>
      <w:r>
        <w:rPr>
          <w:rFonts w:ascii="Times New Roman Regular" w:hAnsi="Times New Roman Regular" w:cs="Times New Roman Regular"/>
          <w:sz w:val="24"/>
        </w:rPr>
        <w:t>, 2023). Skilled workers are more adaptable to structural changes in the labor market and more likely to access stable, formal, and higher-paying jobs. In addition, higher human capital facilitates innovation and entrepreneurship, which further generate diverse employment opportunities(Hosseinioun et</w:t>
      </w:r>
      <w:r>
        <w:rPr>
          <w:rFonts w:hint="default" w:ascii="Times New Roman Regular" w:hAnsi="Times New Roman Regular" w:cs="Times New Roman Regular"/>
          <w:sz w:val="24"/>
          <w:lang w:val="en-US"/>
        </w:rPr>
        <w:t xml:space="preserve"> </w:t>
      </w:r>
      <w:r>
        <w:rPr>
          <w:rFonts w:ascii="Times New Roman Regular" w:hAnsi="Times New Roman Regular" w:cs="Times New Roman Regular"/>
          <w:sz w:val="24"/>
        </w:rPr>
        <w:t>al., 202</w:t>
      </w:r>
      <w:r>
        <w:rPr>
          <w:rFonts w:hint="eastAsia" w:ascii="Times New Roman Regular" w:hAnsi="Times New Roman Regular" w:cs="Times New Roman Regular"/>
          <w:sz w:val="24"/>
        </w:rPr>
        <w:t>5</w:t>
      </w:r>
      <w:r>
        <w:rPr>
          <w:rFonts w:ascii="Times New Roman Regular" w:hAnsi="Times New Roman Regular" w:cs="Times New Roman Regular"/>
          <w:sz w:val="24"/>
        </w:rPr>
        <w:t>). Consequently, the NTUPP’s emphasis on strengthening human capital indirectly translates into improvements in urban employment quality.</w:t>
      </w:r>
      <w:r>
        <w:rPr>
          <w:rFonts w:hint="default" w:ascii="Times New Roman Regular" w:hAnsi="Times New Roman Regular" w:cs="Times New Roman Regular"/>
          <w:sz w:val="24"/>
          <w:lang w:val="en-US"/>
        </w:rPr>
        <w:t xml:space="preserve"> </w:t>
      </w:r>
    </w:p>
    <w:p>
      <w:pPr>
        <w:widowControl/>
        <w:spacing w:before="0" w:beforeLines="0" w:after="157" w:afterLines="50"/>
        <w:ind w:firstLine="240" w:firstLineChars="100"/>
        <w:rPr>
          <w:rFonts w:ascii="Times New Roman Regular" w:hAnsi="Times New Roman Regular" w:cs="Times New Roman Regular"/>
          <w:sz w:val="24"/>
        </w:rPr>
      </w:pPr>
      <w:r>
        <w:rPr>
          <w:rFonts w:ascii="Times New Roman Regular" w:hAnsi="Times New Roman Regular" w:cs="Times New Roman Regular"/>
          <w:sz w:val="24"/>
        </w:rPr>
        <w:t>Another key channel is market development. The NTUPP encourages the growth of urban markets by improving infrastructure, fostering industrial upgrading, and promoting institutional reforms that lower transaction costs(</w:t>
      </w:r>
      <w:r>
        <w:rPr>
          <w:rFonts w:hint="eastAsia" w:ascii="Times New Roman Regular" w:hAnsi="Times New Roman Regular" w:cs="Times New Roman Regular"/>
          <w:sz w:val="24"/>
        </w:rPr>
        <w:t>Wang</w:t>
      </w:r>
      <w:r>
        <w:rPr>
          <w:rFonts w:ascii="Times New Roman Regular" w:hAnsi="Times New Roman Regular" w:cs="Times New Roman Regular"/>
          <w:sz w:val="24"/>
        </w:rPr>
        <w:t xml:space="preserve"> et.al., 2024). Well-developed markets expand business opportunities for firms, attract investment, and stimulate demand for labor, particularly in the service and high-tech sectors(</w:t>
      </w:r>
      <w:r>
        <w:rPr>
          <w:rFonts w:hint="eastAsia" w:ascii="Times New Roman Regular" w:hAnsi="Times New Roman Regular" w:cs="Times New Roman Regular"/>
          <w:sz w:val="24"/>
        </w:rPr>
        <w:t>Zhou</w:t>
      </w:r>
      <w:r>
        <w:rPr>
          <w:rFonts w:ascii="Times New Roman Regular" w:hAnsi="Times New Roman Regular" w:cs="Times New Roman Regular"/>
          <w:sz w:val="24"/>
        </w:rPr>
        <w:t xml:space="preserve"> et</w:t>
      </w:r>
      <w:r>
        <w:rPr>
          <w:rFonts w:hint="default" w:ascii="Times New Roman Regular" w:hAnsi="Times New Roman Regular" w:cs="Times New Roman Regular"/>
          <w:sz w:val="24"/>
          <w:lang w:val="en-US"/>
        </w:rPr>
        <w:t xml:space="preserve"> </w:t>
      </w:r>
      <w:r>
        <w:rPr>
          <w:rFonts w:ascii="Times New Roman Regular" w:hAnsi="Times New Roman Regular" w:cs="Times New Roman Regular"/>
          <w:sz w:val="24"/>
        </w:rPr>
        <w:t>al., 2024). Stronger markets also support the creation of more formal employment contracts and better working conditions. Through these mechanisms, market development serves as a conduit through which the NTUPP enhances the quality of employment in urban areas.</w:t>
      </w:r>
      <w:r>
        <w:rPr>
          <w:rFonts w:hint="eastAsia" w:ascii="Times New Roman Regular" w:hAnsi="Times New Roman Regular" w:cs="Times New Roman Regular"/>
          <w:sz w:val="24"/>
          <w:lang w:val="en-US" w:eastAsia="zh-CN"/>
        </w:rPr>
        <w:t xml:space="preserve"> </w:t>
      </w:r>
      <w:r>
        <w:rPr>
          <w:rFonts w:ascii="Times New Roman Regular" w:hAnsi="Times New Roman Regular" w:eastAsia="宋体" w:cs="Times New Roman Regular"/>
          <w:kern w:val="0"/>
          <w:sz w:val="24"/>
          <w:szCs w:val="24"/>
          <w:lang w:val="en-US" w:eastAsia="zh-CN" w:bidi="ar"/>
        </w:rPr>
        <w:t>Building on the preceding theoretical framework (illustrated in Fig. 2), we propose three core hypotheses.</w:t>
      </w:r>
    </w:p>
    <w:p>
      <w:pPr>
        <w:spacing w:before="157" w:beforeLines="50" w:after="157" w:afterLines="50"/>
        <w:ind w:firstLine="0" w:firstLineChars="0"/>
        <w:rPr>
          <w:rFonts w:ascii="Times New Roman Regular" w:hAnsi="Times New Roman Regular" w:cs="Times New Roman Regular"/>
          <w:sz w:val="24"/>
        </w:rPr>
      </w:pPr>
      <w:r>
        <w:rPr>
          <w:rFonts w:ascii="Times New Roman Bold" w:hAnsi="Times New Roman Bold" w:cs="Times New Roman Bold"/>
          <w:b/>
          <w:bCs/>
          <w:sz w:val="24"/>
        </w:rPr>
        <w:t>Hypothesis 1:</w:t>
      </w:r>
      <w:r>
        <w:rPr>
          <w:rFonts w:ascii="Times New Roman Regular" w:hAnsi="Times New Roman Regular" w:cs="Times New Roman Regular"/>
          <w:b/>
          <w:bCs/>
          <w:sz w:val="24"/>
        </w:rPr>
        <w:t xml:space="preserve"> </w:t>
      </w:r>
      <w:r>
        <w:rPr>
          <w:rFonts w:ascii="Times New Roman Regular" w:hAnsi="Times New Roman Regular" w:cs="Times New Roman Regular"/>
          <w:sz w:val="24"/>
        </w:rPr>
        <w:t>The NTUPP increases urban employment quality.</w:t>
      </w:r>
    </w:p>
    <w:p>
      <w:pPr>
        <w:spacing w:before="157" w:beforeLines="50" w:after="157" w:afterLines="50"/>
        <w:ind w:firstLine="0" w:firstLineChars="0"/>
        <w:rPr>
          <w:rFonts w:ascii="Times New Roman Regular" w:hAnsi="Times New Roman Regular" w:cs="Times New Roman Regular"/>
          <w:sz w:val="24"/>
        </w:rPr>
      </w:pPr>
      <w:r>
        <w:rPr>
          <w:rFonts w:ascii="Times New Roman Bold" w:hAnsi="Times New Roman Bold" w:cs="Times New Roman Bold"/>
          <w:b/>
          <w:bCs/>
          <w:sz w:val="24"/>
        </w:rPr>
        <w:t xml:space="preserve">Hypothesis 2a: </w:t>
      </w:r>
      <w:r>
        <w:rPr>
          <w:rFonts w:ascii="Times New Roman Regular" w:hAnsi="Times New Roman Regular" w:cs="Times New Roman Regular"/>
          <w:sz w:val="24"/>
        </w:rPr>
        <w:t>Urban 2D expansion attenuates the policy impacts of the NTUPP.</w:t>
      </w:r>
    </w:p>
    <w:p>
      <w:pPr>
        <w:spacing w:before="157" w:beforeLines="50" w:after="157" w:afterLines="50"/>
        <w:ind w:firstLine="0" w:firstLineChars="0"/>
        <w:rPr>
          <w:rFonts w:ascii="Times New Roman Regular" w:hAnsi="Times New Roman Regular" w:cs="Times New Roman Regular"/>
          <w:sz w:val="24"/>
        </w:rPr>
      </w:pPr>
      <w:r>
        <w:rPr>
          <w:rFonts w:ascii="Times New Roman Bold" w:hAnsi="Times New Roman Bold" w:cs="Times New Roman Bold"/>
          <w:b/>
          <w:bCs/>
          <w:sz w:val="24"/>
        </w:rPr>
        <w:t xml:space="preserve">Hypothesis 2b: </w:t>
      </w:r>
      <w:r>
        <w:rPr>
          <w:rFonts w:ascii="Times New Roman Regular" w:hAnsi="Times New Roman Regular" w:cs="Times New Roman Regular"/>
          <w:sz w:val="24"/>
        </w:rPr>
        <w:t>Urban 3D expansion enhances the policy impacts of the NTUPP</w:t>
      </w:r>
    </w:p>
    <w:p>
      <w:pPr>
        <w:spacing w:before="157" w:beforeLines="50" w:after="157" w:afterLines="50"/>
        <w:rPr>
          <w:rFonts w:ascii="Times New Roman Regular" w:hAnsi="Times New Roman Regular" w:cs="Times New Roman Regular"/>
          <w:sz w:val="24"/>
        </w:rPr>
      </w:pPr>
      <w:r>
        <w:rPr>
          <w:rFonts w:ascii="Times New Roman Bold" w:hAnsi="Times New Roman Bold" w:cs="Times New Roman Bold"/>
          <w:b/>
          <w:bCs/>
          <w:sz w:val="24"/>
        </w:rPr>
        <w:t xml:space="preserve">Hypothesis 3: </w:t>
      </w:r>
      <w:r>
        <w:rPr>
          <w:rFonts w:ascii="Times New Roman Regular" w:hAnsi="Times New Roman Regular" w:cs="Times New Roman Regular"/>
          <w:sz w:val="24"/>
        </w:rPr>
        <w:t>The NTUPP enhances human capital, which in turn increases urban employment quality.</w:t>
      </w:r>
    </w:p>
    <w:p>
      <w:pPr>
        <w:spacing w:before="157" w:beforeLines="50" w:after="157" w:afterLines="50"/>
        <w:rPr>
          <w:rFonts w:ascii="Times New Roman Regular" w:hAnsi="Times New Roman Regular" w:cs="Times New Roman Regular"/>
          <w:sz w:val="24"/>
        </w:rPr>
      </w:pPr>
      <w:r>
        <w:rPr>
          <w:rFonts w:ascii="Times New Roman Bold" w:hAnsi="Times New Roman Bold" w:cs="Times New Roman Bold"/>
          <w:b/>
          <w:bCs/>
          <w:sz w:val="24"/>
        </w:rPr>
        <w:t xml:space="preserve">Hypothesis 4: </w:t>
      </w:r>
      <w:r>
        <w:rPr>
          <w:rFonts w:ascii="Times New Roman Regular" w:hAnsi="Times New Roman Regular" w:cs="Times New Roman Regular"/>
          <w:sz w:val="24"/>
        </w:rPr>
        <w:t>The NTUPP promotes market development, which in turn increases urban employment quality.</w:t>
      </w:r>
    </w:p>
    <w:p>
      <w:pPr>
        <w:widowControl/>
        <w:spacing w:after="157" w:afterLines="50"/>
        <w:jc w:val="center"/>
        <w:rPr>
          <w:rFonts w:ascii="Times New Roman Regular" w:hAnsi="Times New Roman Regular" w:cs="Times New Roman Regular"/>
          <w:sz w:val="22"/>
          <w:szCs w:val="22"/>
        </w:rPr>
      </w:pPr>
      <w:r>
        <w:rPr>
          <w:rFonts w:ascii="Times New Roman Regular" w:hAnsi="Times New Roman Regular" w:cs="Times New Roman Regular"/>
          <w:b/>
          <w:bCs/>
          <w:sz w:val="22"/>
          <w:szCs w:val="22"/>
        </w:rPr>
        <w:drawing>
          <wp:inline distT="0" distB="0" distL="114300" distR="114300">
            <wp:extent cx="5273040" cy="2909570"/>
            <wp:effectExtent l="0" t="0" r="0" b="0"/>
            <wp:docPr id="5" name="图片 5" descr="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svg"/>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5273040" cy="2909570"/>
                    </a:xfrm>
                    <a:prstGeom prst="rect">
                      <a:avLst/>
                    </a:prstGeom>
                  </pic:spPr>
                </pic:pic>
              </a:graphicData>
            </a:graphic>
          </wp:inline>
        </w:drawing>
      </w:r>
      <w:r>
        <w:rPr>
          <w:rFonts w:ascii="Times New Roman Bold" w:hAnsi="Times New Roman Bold" w:eastAsia="CharisSIL-Bold" w:cs="Times New Roman Bold"/>
          <w:b/>
          <w:bCs/>
          <w:kern w:val="0"/>
          <w:sz w:val="20"/>
          <w:szCs w:val="20"/>
          <w:lang w:bidi="ar"/>
        </w:rPr>
        <w:t xml:space="preserve">Fig. </w:t>
      </w:r>
      <w:r>
        <w:rPr>
          <w:rFonts w:hint="eastAsia" w:ascii="Times New Roman Bold" w:hAnsi="Times New Roman Bold" w:eastAsia="CharisSIL-Bold" w:cs="Times New Roman Bold"/>
          <w:b/>
          <w:bCs/>
          <w:kern w:val="0"/>
          <w:sz w:val="20"/>
          <w:szCs w:val="20"/>
          <w:lang w:bidi="ar"/>
        </w:rPr>
        <w:t>2</w:t>
      </w:r>
      <w:r>
        <w:rPr>
          <w:rFonts w:ascii="Times New Roman Bold" w:hAnsi="Times New Roman Bold" w:eastAsia="CharisSIL-Bold" w:cs="Times New Roman Bold"/>
          <w:b/>
          <w:bCs/>
          <w:kern w:val="0"/>
          <w:sz w:val="20"/>
          <w:szCs w:val="20"/>
          <w:lang w:bidi="ar"/>
        </w:rPr>
        <w:t xml:space="preserve">. </w:t>
      </w:r>
      <w:r>
        <w:rPr>
          <w:rFonts w:ascii="Times New Roman" w:hAnsi="Times New Roman" w:eastAsia="CharisSIL" w:cs="Times New Roman"/>
          <w:kern w:val="0"/>
          <w:sz w:val="20"/>
          <w:szCs w:val="20"/>
          <w:lang w:bidi="ar"/>
        </w:rPr>
        <w:t>Mechanism of green finance pilot policy's impact on corporate employment.</w:t>
      </w:r>
    </w:p>
    <w:p>
      <w:pPr>
        <w:keepNext w:val="0"/>
        <w:keepLines w:val="0"/>
        <w:widowControl/>
        <w:suppressLineNumbers w:val="0"/>
        <w:spacing w:before="0" w:beforeLines="0" w:after="157" w:afterLines="50"/>
        <w:jc w:val="left"/>
        <w:rPr>
          <w:rFonts w:ascii="Times New Roman Bold" w:hAnsi="Times New Roman Bold" w:cs="Times New Roman Bold"/>
          <w:b/>
          <w:bCs w:val="0"/>
          <w:sz w:val="24"/>
        </w:rPr>
      </w:pPr>
      <w:r>
        <w:rPr>
          <w:rFonts w:hint="default" w:ascii="Times New Roman Bold" w:hAnsi="Times New Roman Bold" w:cs="Times New Roman Bold"/>
          <w:b/>
          <w:bCs w:val="0"/>
          <w:sz w:val="24"/>
          <w:lang w:val="en-US" w:eastAsia="zh-CN"/>
        </w:rPr>
        <w:t>3</w:t>
      </w:r>
      <w:r>
        <w:rPr>
          <w:rFonts w:ascii="Times New Roman Bold" w:hAnsi="Times New Roman Bold" w:cs="Times New Roman Bold"/>
          <w:b/>
          <w:bCs w:val="0"/>
          <w:sz w:val="24"/>
        </w:rPr>
        <w:t>.</w:t>
      </w:r>
      <w:r>
        <w:rPr>
          <w:rFonts w:ascii="Times New Roman Bold" w:hAnsi="Times New Roman Bold" w:eastAsia="CharisSIL-Bold" w:cs="Times New Roman Bold"/>
          <w:b/>
          <w:bCs w:val="0"/>
          <w:color w:val="000000"/>
          <w:kern w:val="0"/>
          <w:sz w:val="24"/>
          <w:szCs w:val="24"/>
          <w:lang w:val="en-US" w:eastAsia="zh-CN" w:bidi="ar"/>
        </w:rPr>
        <w:t xml:space="preserve"> Estimation framework</w:t>
      </w:r>
    </w:p>
    <w:p>
      <w:pPr>
        <w:keepNext w:val="0"/>
        <w:keepLines w:val="0"/>
        <w:widowControl/>
        <w:suppressLineNumbers w:val="0"/>
        <w:spacing w:after="157" w:afterLines="50"/>
        <w:jc w:val="left"/>
        <w:rPr>
          <w:rFonts w:ascii="Times New Roman Bold" w:hAnsi="Times New Roman Bold" w:cs="Times New Roman Bold"/>
          <w:b/>
          <w:bCs/>
          <w:sz w:val="24"/>
        </w:rPr>
      </w:pPr>
      <w:r>
        <w:rPr>
          <w:rFonts w:ascii="Times New Roman Bold" w:hAnsi="Times New Roman Bold" w:eastAsia="CharisSIL-Italic" w:cs="Times New Roman Bold"/>
          <w:b/>
          <w:bCs/>
          <w:i w:val="0"/>
          <w:iCs/>
          <w:color w:val="000000"/>
          <w:kern w:val="0"/>
          <w:sz w:val="24"/>
          <w:szCs w:val="24"/>
          <w:lang w:val="en-US" w:eastAsia="zh-CN" w:bidi="ar"/>
        </w:rPr>
        <w:t>3.1. Econometric specification</w:t>
      </w:r>
    </w:p>
    <w:p>
      <w:pPr>
        <w:spacing w:before="0" w:beforeLines="0" w:after="157" w:afterLines="50"/>
        <w:ind w:firstLine="240" w:firstLineChars="100"/>
        <w:rPr>
          <w:rFonts w:ascii="Times New Roman Regular" w:hAnsi="Times New Roman Regular" w:cs="Times New Roman Regular"/>
          <w:sz w:val="24"/>
        </w:rPr>
      </w:pPr>
      <w:r>
        <w:rPr>
          <w:rFonts w:ascii="Times New Roman Regular" w:hAnsi="Times New Roman Regular" w:cs="Times New Roman Regular"/>
          <w:sz w:val="24"/>
        </w:rPr>
        <w:t>To examine the impact of the New-Type Urbanization Pilot Policy (NTUPP) on urban employment quality, this study employs a multi-period difference-in-differences (DID) model with two-way fixed effects. The baseline specification is given as follows:</w:t>
      </w:r>
    </w:p>
    <w:p>
      <w:pPr>
        <w:spacing w:before="0" w:beforeLines="0" w:after="157" w:afterLines="50"/>
        <w:ind w:firstLine="240" w:firstLineChars="100"/>
        <w:rPr>
          <w:rFonts w:ascii="Times New Roman Regular" w:hAnsi="Times New Roman Regular" w:cs="Times New Roman Regular"/>
          <w:sz w:val="24"/>
        </w:rPr>
      </w:pPr>
    </w:p>
    <w:p>
      <w:pPr>
        <w:rPr>
          <w:rFonts w:ascii="Times New Roman Regular" w:hAnsi="Times New Roman Regular" w:cs="Times New Roman Regular"/>
          <w:i/>
          <w:iCs/>
          <w:sz w:val="20"/>
          <w:szCs w:val="20"/>
        </w:rPr>
      </w:pPr>
      <m:oMath>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EMP</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it</m:t>
            </m:r>
            <m:ctrlPr>
              <w:rPr>
                <w:rFonts w:ascii="DejaVu Math TeX Gyre" w:hAnsi="DejaVu Math TeX Gyre" w:cs="Times New Roman Regular"/>
                <w:i/>
                <w:iCs/>
                <w:sz w:val="20"/>
                <w:szCs w:val="20"/>
              </w:rPr>
            </m:ctrlPr>
          </m:sub>
        </m:sSub>
        <m:r>
          <m:rPr>
            <m:sty m:val="p"/>
          </m:rPr>
          <w:rPr>
            <w:rFonts w:ascii="DejaVu Math TeX Gyre" w:hAnsi="DejaVu Math TeX Gyre" w:cs="Times New Roman Regular"/>
            <w:sz w:val="20"/>
            <w:szCs w:val="20"/>
          </w:rPr>
          <m:t>=</m:t>
        </m:r>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β</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0</m:t>
            </m:r>
            <m:ctrlPr>
              <w:rPr>
                <w:rFonts w:ascii="DejaVu Math TeX Gyre" w:hAnsi="DejaVu Math TeX Gyre" w:cs="Times New Roman Regular"/>
                <w:i/>
                <w:iCs/>
                <w:sz w:val="20"/>
                <w:szCs w:val="20"/>
              </w:rPr>
            </m:ctrlPr>
          </m:sub>
        </m:sSub>
      </m:oMath>
      <w:r>
        <w:rPr>
          <w:rFonts w:ascii="Times New Roman Regular" w:hAnsi="Times New Roman Regular" w:cs="Times New Roman Regular"/>
          <w:sz w:val="20"/>
          <w:szCs w:val="20"/>
        </w:rPr>
        <w:t>+</w:t>
      </w:r>
      <m:oMath>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β</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1</m:t>
            </m:r>
            <m:ctrlPr>
              <w:rPr>
                <w:rFonts w:ascii="DejaVu Math TeX Gyre" w:hAnsi="DejaVu Math TeX Gyre" w:cs="Times New Roman Regular"/>
                <w:i/>
                <w:iCs/>
                <w:sz w:val="20"/>
                <w:szCs w:val="20"/>
              </w:rPr>
            </m:ctrlPr>
          </m:sub>
        </m:sSub>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treat</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it</m:t>
            </m:r>
            <m:ctrlPr>
              <w:rPr>
                <w:rFonts w:ascii="DejaVu Math TeX Gyre" w:hAnsi="DejaVu Math TeX Gyre" w:cs="Times New Roman Regular"/>
                <w:i/>
                <w:iCs/>
                <w:sz w:val="20"/>
                <w:szCs w:val="20"/>
              </w:rPr>
            </m:ctrlPr>
          </m:sub>
        </m:sSub>
        <m:r>
          <m:rPr>
            <m:sty m:val="p"/>
          </m:rPr>
          <w:rPr>
            <w:rFonts w:ascii="DejaVu Math TeX Gyre" w:hAnsi="DejaVu Math TeX Gyre" w:cs="Times New Roman Regular"/>
            <w:sz w:val="20"/>
            <w:szCs w:val="20"/>
          </w:rPr>
          <m:t>∗</m:t>
        </m:r>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post</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it</m:t>
            </m:r>
            <m:ctrlPr>
              <w:rPr>
                <w:rFonts w:ascii="DejaVu Math TeX Gyre" w:hAnsi="DejaVu Math TeX Gyre" w:cs="Times New Roman Regular"/>
                <w:i/>
                <w:iCs/>
                <w:sz w:val="20"/>
                <w:szCs w:val="20"/>
              </w:rPr>
            </m:ctrlPr>
          </m:sub>
        </m:sSub>
      </m:oMath>
      <w:r>
        <w:rPr>
          <w:rFonts w:ascii="Times New Roman Regular" w:hAnsi="Times New Roman Regular" w:cs="Times New Roman Regular"/>
          <w:sz w:val="20"/>
          <w:szCs w:val="20"/>
        </w:rPr>
        <w:t>+</w:t>
      </w:r>
      <m:oMath>
        <m:nary>
          <m:naryPr>
            <m:chr m:val="∑"/>
            <m:limLoc m:val="undOvr"/>
            <m:ctrlPr>
              <w:rPr>
                <w:rFonts w:ascii="DejaVu Math TeX Gyre" w:hAnsi="DejaVu Math TeX Gyre" w:cs="Times New Roman Regular"/>
                <w:sz w:val="20"/>
                <w:szCs w:val="20"/>
              </w:rPr>
            </m:ctrlPr>
          </m:naryPr>
          <m:sub>
            <m:r>
              <m:rPr>
                <m:sty m:val="p"/>
              </m:rPr>
              <w:rPr>
                <w:rFonts w:ascii="DejaVu Math TeX Gyre" w:hAnsi="DejaVu Math TeX Gyre" w:cs="Times New Roman Regular"/>
                <w:sz w:val="20"/>
                <w:szCs w:val="20"/>
              </w:rPr>
              <m:t>j=1</m:t>
            </m:r>
            <m:ctrlPr>
              <w:rPr>
                <w:rFonts w:ascii="DejaVu Math TeX Gyre" w:hAnsi="DejaVu Math TeX Gyre" w:cs="Times New Roman Regular"/>
                <w:sz w:val="20"/>
                <w:szCs w:val="20"/>
              </w:rPr>
            </m:ctrlPr>
          </m:sub>
          <m:sup>
            <m:r>
              <m:rPr>
                <m:sty m:val="p"/>
              </m:rPr>
              <w:rPr>
                <w:rFonts w:ascii="DejaVu Math TeX Gyre" w:hAnsi="DejaVu Math TeX Gyre" w:cs="Times New Roman Regular"/>
                <w:sz w:val="20"/>
                <w:szCs w:val="20"/>
              </w:rPr>
              <m:t>J</m:t>
            </m:r>
            <m:ctrlPr>
              <w:rPr>
                <w:rFonts w:ascii="DejaVu Math TeX Gyre" w:hAnsi="DejaVu Math TeX Gyre" w:cs="Times New Roman Regular"/>
                <w:sz w:val="20"/>
                <w:szCs w:val="20"/>
              </w:rPr>
            </m:ctrlPr>
          </m:sup>
          <m:e>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φ</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it</m:t>
                </m:r>
                <m:ctrlPr>
                  <w:rPr>
                    <w:rFonts w:ascii="DejaVu Math TeX Gyre" w:hAnsi="DejaVu Math TeX Gyre" w:cs="Times New Roman Regular"/>
                    <w:i/>
                    <w:iCs/>
                    <w:sz w:val="20"/>
                    <w:szCs w:val="20"/>
                  </w:rPr>
                </m:ctrlPr>
              </m:sub>
            </m:sSub>
            <m:sSubSup>
              <m:sSubSupPr>
                <m:ctrlPr>
                  <w:rPr>
                    <w:rFonts w:ascii="DejaVu Math TeX Gyre" w:hAnsi="DejaVu Math TeX Gyre" w:cs="Times New Roman Regular"/>
                    <w:i/>
                    <w:iCs/>
                    <w:sz w:val="20"/>
                    <w:szCs w:val="20"/>
                  </w:rPr>
                </m:ctrlPr>
              </m:sSubSupPr>
              <m:e>
                <m:r>
                  <m:rPr/>
                  <w:rPr>
                    <w:rFonts w:hint="eastAsia" w:ascii="DejaVu Math TeX Gyre" w:hAnsi="DejaVu Math TeX Gyre" w:cs="Times New Roman Regular"/>
                    <w:sz w:val="20"/>
                    <w:szCs w:val="20"/>
                    <w:lang w:val="en-US" w:eastAsia="zh-CN"/>
                  </w:rPr>
                  <m:t>Controls</m:t>
                </m:r>
                <m:ctrlPr>
                  <w:rPr>
                    <w:rFonts w:ascii="DejaVu Math TeX Gyre" w:hAnsi="DejaVu Math TeX Gyre" w:cs="Times New Roman Regular"/>
                    <w:i/>
                    <w:iCs/>
                    <w:sz w:val="20"/>
                    <w:szCs w:val="20"/>
                  </w:rPr>
                </m:ctrlPr>
              </m:e>
              <m:sub>
                <m:r>
                  <m:rPr/>
                  <w:rPr>
                    <w:rFonts w:hint="eastAsia" w:ascii="DejaVu Math TeX Gyre" w:hAnsi="DejaVu Math TeX Gyre" w:cs="Times New Roman Regular"/>
                    <w:sz w:val="20"/>
                    <w:szCs w:val="20"/>
                    <w:lang w:val="en-US" w:eastAsia="zh-CN"/>
                  </w:rPr>
                  <m:t>it</m:t>
                </m:r>
                <m:ctrlPr>
                  <w:rPr>
                    <w:rFonts w:ascii="DejaVu Math TeX Gyre" w:hAnsi="DejaVu Math TeX Gyre" w:cs="Times New Roman Regular"/>
                    <w:i/>
                    <w:iCs/>
                    <w:sz w:val="20"/>
                    <w:szCs w:val="20"/>
                  </w:rPr>
                </m:ctrlPr>
              </m:sub>
              <m:sup>
                <m:r>
                  <m:rPr/>
                  <w:rPr>
                    <w:rFonts w:hint="eastAsia" w:ascii="DejaVu Math TeX Gyre" w:hAnsi="DejaVu Math TeX Gyre" w:cs="Times New Roman Regular"/>
                    <w:sz w:val="20"/>
                    <w:szCs w:val="20"/>
                    <w:lang w:val="en-US" w:eastAsia="zh-CN"/>
                  </w:rPr>
                  <m:t>j</m:t>
                </m:r>
                <m:ctrlPr>
                  <w:rPr>
                    <w:rFonts w:ascii="DejaVu Math TeX Gyre" w:hAnsi="DejaVu Math TeX Gyre" w:cs="Times New Roman Regular"/>
                    <w:i/>
                    <w:iCs/>
                    <w:sz w:val="20"/>
                    <w:szCs w:val="20"/>
                  </w:rPr>
                </m:ctrlPr>
              </m:sup>
            </m:sSubSup>
            <m:ctrlPr>
              <w:rPr>
                <w:rFonts w:ascii="DejaVu Math TeX Gyre" w:hAnsi="DejaVu Math TeX Gyre" w:cs="Times New Roman Regular"/>
                <w:sz w:val="20"/>
                <w:szCs w:val="20"/>
              </w:rPr>
            </m:ctrlPr>
          </m:e>
        </m:nary>
        <m:r>
          <m:rPr>
            <m:sty m:val="p"/>
          </m:rPr>
          <w:rPr>
            <w:rFonts w:ascii="DejaVu Math TeX Gyre" w:hAnsi="DejaVu Math TeX Gyre" w:cs="Times New Roman Regular"/>
            <w:sz w:val="20"/>
            <w:szCs w:val="20"/>
          </w:rPr>
          <m:t>+</m:t>
        </m:r>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μ</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t</m:t>
            </m:r>
            <m:ctrlPr>
              <w:rPr>
                <w:rFonts w:ascii="DejaVu Math TeX Gyre" w:hAnsi="DejaVu Math TeX Gyre" w:cs="Times New Roman Regular"/>
                <w:i/>
                <w:iCs/>
                <w:sz w:val="20"/>
                <w:szCs w:val="20"/>
              </w:rPr>
            </m:ctrlPr>
          </m:sub>
        </m:sSub>
        <m:r>
          <m:rPr>
            <m:sty m:val="p"/>
          </m:rPr>
          <w:rPr>
            <w:rFonts w:ascii="DejaVu Math TeX Gyre" w:hAnsi="DejaVu Math TeX Gyre" w:cs="Times New Roman Regular"/>
            <w:sz w:val="20"/>
            <w:szCs w:val="20"/>
          </w:rPr>
          <m:t>+</m:t>
        </m:r>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α</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i</m:t>
            </m:r>
            <m:ctrlPr>
              <w:rPr>
                <w:rFonts w:ascii="DejaVu Math TeX Gyre" w:hAnsi="DejaVu Math TeX Gyre" w:cs="Times New Roman Regular"/>
                <w:i/>
                <w:iCs/>
                <w:sz w:val="20"/>
                <w:szCs w:val="20"/>
              </w:rPr>
            </m:ctrlPr>
          </m:sub>
        </m:sSub>
        <m:r>
          <m:rPr>
            <m:sty m:val="p"/>
          </m:rPr>
          <w:rPr>
            <w:rFonts w:ascii="DejaVu Math TeX Gyre" w:hAnsi="DejaVu Math TeX Gyre" w:cs="Times New Roman Regular"/>
            <w:sz w:val="20"/>
            <w:szCs w:val="20"/>
          </w:rPr>
          <m:t>+</m:t>
        </m:r>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ε</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it</m:t>
            </m:r>
            <m:ctrlPr>
              <w:rPr>
                <w:rFonts w:ascii="DejaVu Math TeX Gyre" w:hAnsi="DejaVu Math TeX Gyre" w:cs="Times New Roman Regular"/>
                <w:i/>
                <w:iCs/>
                <w:sz w:val="20"/>
                <w:szCs w:val="20"/>
              </w:rPr>
            </m:ctrlPr>
          </m:sub>
        </m:sSub>
      </m:oMath>
      <w:r>
        <w:rPr>
          <w:rFonts w:ascii="Times New Roman Regular" w:hAnsi="Times New Roman Regular" w:cs="Times New Roman Regular"/>
          <w:iCs/>
          <w:sz w:val="20"/>
          <w:szCs w:val="20"/>
        </w:rPr>
        <w:t xml:space="preserve">              (1)</w:t>
      </w:r>
    </w:p>
    <w:p>
      <w:pPr>
        <w:rPr>
          <w:rFonts w:ascii="Times New Roman Regular" w:hAnsi="Times New Roman Regular" w:cs="Times New Roman Regular"/>
          <w:sz w:val="20"/>
          <w:szCs w:val="20"/>
        </w:rPr>
      </w:pPr>
      <m:oMath>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M</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it</m:t>
            </m:r>
            <m:ctrlPr>
              <w:rPr>
                <w:rFonts w:ascii="DejaVu Math TeX Gyre" w:hAnsi="DejaVu Math TeX Gyre" w:cs="Times New Roman Regular"/>
                <w:i/>
                <w:iCs/>
                <w:sz w:val="20"/>
                <w:szCs w:val="20"/>
              </w:rPr>
            </m:ctrlPr>
          </m:sub>
        </m:sSub>
        <m:r>
          <m:rPr>
            <m:sty m:val="p"/>
          </m:rPr>
          <w:rPr>
            <w:rFonts w:ascii="DejaVu Math TeX Gyre" w:hAnsi="DejaVu Math TeX Gyre" w:cs="Times New Roman Regular"/>
            <w:sz w:val="20"/>
            <w:szCs w:val="20"/>
          </w:rPr>
          <m:t>=</m:t>
        </m:r>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γ</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0</m:t>
            </m:r>
            <m:ctrlPr>
              <w:rPr>
                <w:rFonts w:ascii="DejaVu Math TeX Gyre" w:hAnsi="DejaVu Math TeX Gyre" w:cs="Times New Roman Regular"/>
                <w:i/>
                <w:iCs/>
                <w:sz w:val="20"/>
                <w:szCs w:val="20"/>
              </w:rPr>
            </m:ctrlPr>
          </m:sub>
        </m:sSub>
      </m:oMath>
      <w:r>
        <w:rPr>
          <w:rFonts w:ascii="Times New Roman Regular" w:hAnsi="Times New Roman Regular" w:cs="Times New Roman Regular"/>
          <w:sz w:val="20"/>
          <w:szCs w:val="20"/>
        </w:rPr>
        <w:t>+</w:t>
      </w:r>
      <m:oMath>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γ</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1</m:t>
            </m:r>
            <m:ctrlPr>
              <w:rPr>
                <w:rFonts w:ascii="DejaVu Math TeX Gyre" w:hAnsi="DejaVu Math TeX Gyre" w:cs="Times New Roman Regular"/>
                <w:i/>
                <w:iCs/>
                <w:sz w:val="20"/>
                <w:szCs w:val="20"/>
              </w:rPr>
            </m:ctrlPr>
          </m:sub>
        </m:sSub>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treat</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it</m:t>
            </m:r>
            <m:ctrlPr>
              <w:rPr>
                <w:rFonts w:ascii="DejaVu Math TeX Gyre" w:hAnsi="DejaVu Math TeX Gyre" w:cs="Times New Roman Regular"/>
                <w:i/>
                <w:iCs/>
                <w:sz w:val="20"/>
                <w:szCs w:val="20"/>
              </w:rPr>
            </m:ctrlPr>
          </m:sub>
        </m:sSub>
        <m:r>
          <m:rPr>
            <m:sty m:val="p"/>
          </m:rPr>
          <w:rPr>
            <w:rFonts w:ascii="DejaVu Math TeX Gyre" w:hAnsi="DejaVu Math TeX Gyre" w:cs="Times New Roman Regular"/>
            <w:sz w:val="20"/>
            <w:szCs w:val="20"/>
          </w:rPr>
          <m:t>∗</m:t>
        </m:r>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post</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it</m:t>
            </m:r>
            <m:ctrlPr>
              <w:rPr>
                <w:rFonts w:ascii="DejaVu Math TeX Gyre" w:hAnsi="DejaVu Math TeX Gyre" w:cs="Times New Roman Regular"/>
                <w:i/>
                <w:iCs/>
                <w:sz w:val="20"/>
                <w:szCs w:val="20"/>
              </w:rPr>
            </m:ctrlPr>
          </m:sub>
        </m:sSub>
      </m:oMath>
      <w:r>
        <w:rPr>
          <w:rFonts w:ascii="Times New Roman Regular" w:hAnsi="Times New Roman Regular" w:cs="Times New Roman Regular"/>
          <w:sz w:val="20"/>
          <w:szCs w:val="20"/>
        </w:rPr>
        <w:t>+</w:t>
      </w:r>
      <m:oMath>
        <m:nary>
          <m:naryPr>
            <m:chr m:val="∑"/>
            <m:limLoc m:val="undOvr"/>
            <m:ctrlPr>
              <w:rPr>
                <w:rFonts w:ascii="DejaVu Math TeX Gyre" w:hAnsi="DejaVu Math TeX Gyre" w:cs="Times New Roman Regular"/>
                <w:sz w:val="20"/>
                <w:szCs w:val="20"/>
              </w:rPr>
            </m:ctrlPr>
          </m:naryPr>
          <m:sub>
            <m:r>
              <m:rPr>
                <m:sty m:val="p"/>
              </m:rPr>
              <w:rPr>
                <w:rFonts w:ascii="DejaVu Math TeX Gyre" w:hAnsi="DejaVu Math TeX Gyre" w:cs="Times New Roman Regular"/>
                <w:sz w:val="20"/>
                <w:szCs w:val="20"/>
              </w:rPr>
              <m:t>j=1</m:t>
            </m:r>
            <m:ctrlPr>
              <w:rPr>
                <w:rFonts w:ascii="DejaVu Math TeX Gyre" w:hAnsi="DejaVu Math TeX Gyre" w:cs="Times New Roman Regular"/>
                <w:sz w:val="20"/>
                <w:szCs w:val="20"/>
              </w:rPr>
            </m:ctrlPr>
          </m:sub>
          <m:sup>
            <m:r>
              <m:rPr>
                <m:sty m:val="p"/>
              </m:rPr>
              <w:rPr>
                <w:rFonts w:ascii="DejaVu Math TeX Gyre" w:hAnsi="DejaVu Math TeX Gyre" w:cs="Times New Roman Regular"/>
                <w:sz w:val="20"/>
                <w:szCs w:val="20"/>
              </w:rPr>
              <m:t>J</m:t>
            </m:r>
            <m:ctrlPr>
              <w:rPr>
                <w:rFonts w:ascii="DejaVu Math TeX Gyre" w:hAnsi="DejaVu Math TeX Gyre" w:cs="Times New Roman Regular"/>
                <w:sz w:val="20"/>
                <w:szCs w:val="20"/>
              </w:rPr>
            </m:ctrlPr>
          </m:sup>
          <m:e>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φ</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it</m:t>
                </m:r>
                <m:ctrlPr>
                  <w:rPr>
                    <w:rFonts w:ascii="DejaVu Math TeX Gyre" w:hAnsi="DejaVu Math TeX Gyre" w:cs="Times New Roman Regular"/>
                    <w:i/>
                    <w:iCs/>
                    <w:sz w:val="20"/>
                    <w:szCs w:val="20"/>
                  </w:rPr>
                </m:ctrlPr>
              </m:sub>
            </m:sSub>
            <m:sSubSup>
              <m:sSubSupPr>
                <m:ctrlPr>
                  <w:rPr>
                    <w:rFonts w:ascii="DejaVu Math TeX Gyre" w:hAnsi="DejaVu Math TeX Gyre" w:cs="Times New Roman Regular"/>
                    <w:i/>
                    <w:iCs/>
                    <w:sz w:val="20"/>
                    <w:szCs w:val="20"/>
                  </w:rPr>
                </m:ctrlPr>
              </m:sSubSupPr>
              <m:e>
                <m:r>
                  <m:rPr/>
                  <w:rPr>
                    <w:rFonts w:hint="eastAsia" w:ascii="DejaVu Math TeX Gyre" w:hAnsi="DejaVu Math TeX Gyre" w:cs="Times New Roman Regular"/>
                    <w:sz w:val="20"/>
                    <w:szCs w:val="20"/>
                    <w:lang w:val="en-US" w:eastAsia="zh-CN"/>
                  </w:rPr>
                  <m:t>Controls</m:t>
                </m:r>
                <m:ctrlPr>
                  <w:rPr>
                    <w:rFonts w:ascii="DejaVu Math TeX Gyre" w:hAnsi="DejaVu Math TeX Gyre" w:cs="Times New Roman Regular"/>
                    <w:i/>
                    <w:iCs/>
                    <w:sz w:val="20"/>
                    <w:szCs w:val="20"/>
                  </w:rPr>
                </m:ctrlPr>
              </m:e>
              <m:sub>
                <m:r>
                  <m:rPr/>
                  <w:rPr>
                    <w:rFonts w:hint="eastAsia" w:ascii="DejaVu Math TeX Gyre" w:hAnsi="DejaVu Math TeX Gyre" w:cs="Times New Roman Regular"/>
                    <w:sz w:val="20"/>
                    <w:szCs w:val="20"/>
                    <w:lang w:val="en-US" w:eastAsia="zh-CN"/>
                  </w:rPr>
                  <m:t>it</m:t>
                </m:r>
                <m:ctrlPr>
                  <w:rPr>
                    <w:rFonts w:ascii="DejaVu Math TeX Gyre" w:hAnsi="DejaVu Math TeX Gyre" w:cs="Times New Roman Regular"/>
                    <w:i/>
                    <w:iCs/>
                    <w:sz w:val="20"/>
                    <w:szCs w:val="20"/>
                  </w:rPr>
                </m:ctrlPr>
              </m:sub>
              <m:sup>
                <m:r>
                  <m:rPr/>
                  <w:rPr>
                    <w:rFonts w:hint="eastAsia" w:ascii="DejaVu Math TeX Gyre" w:hAnsi="DejaVu Math TeX Gyre" w:cs="Times New Roman Regular"/>
                    <w:sz w:val="20"/>
                    <w:szCs w:val="20"/>
                    <w:lang w:val="en-US" w:eastAsia="zh-CN"/>
                  </w:rPr>
                  <m:t>j</m:t>
                </m:r>
                <m:ctrlPr>
                  <w:rPr>
                    <w:rFonts w:ascii="DejaVu Math TeX Gyre" w:hAnsi="DejaVu Math TeX Gyre" w:cs="Times New Roman Regular"/>
                    <w:i/>
                    <w:iCs/>
                    <w:sz w:val="20"/>
                    <w:szCs w:val="20"/>
                  </w:rPr>
                </m:ctrlPr>
              </m:sup>
            </m:sSubSup>
            <m:ctrlPr>
              <w:rPr>
                <w:rFonts w:ascii="DejaVu Math TeX Gyre" w:hAnsi="DejaVu Math TeX Gyre" w:cs="Times New Roman Regular"/>
                <w:sz w:val="20"/>
                <w:szCs w:val="20"/>
              </w:rPr>
            </m:ctrlPr>
          </m:e>
        </m:nary>
        <m:r>
          <m:rPr>
            <m:sty m:val="p"/>
          </m:rPr>
          <w:rPr>
            <w:rFonts w:ascii="DejaVu Math TeX Gyre" w:hAnsi="DejaVu Math TeX Gyre" w:cs="Times New Roman Regular"/>
            <w:sz w:val="20"/>
            <w:szCs w:val="20"/>
          </w:rPr>
          <m:t>+</m:t>
        </m:r>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μ</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t</m:t>
            </m:r>
            <m:ctrlPr>
              <w:rPr>
                <w:rFonts w:ascii="DejaVu Math TeX Gyre" w:hAnsi="DejaVu Math TeX Gyre" w:cs="Times New Roman Regular"/>
                <w:i/>
                <w:iCs/>
                <w:sz w:val="20"/>
                <w:szCs w:val="20"/>
              </w:rPr>
            </m:ctrlPr>
          </m:sub>
        </m:sSub>
        <m:r>
          <m:rPr>
            <m:sty m:val="p"/>
          </m:rPr>
          <w:rPr>
            <w:rFonts w:ascii="DejaVu Math TeX Gyre" w:hAnsi="DejaVu Math TeX Gyre" w:cs="Times New Roman Regular"/>
            <w:sz w:val="20"/>
            <w:szCs w:val="20"/>
          </w:rPr>
          <m:t>+</m:t>
        </m:r>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α</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i</m:t>
            </m:r>
            <m:ctrlPr>
              <w:rPr>
                <w:rFonts w:ascii="DejaVu Math TeX Gyre" w:hAnsi="DejaVu Math TeX Gyre" w:cs="Times New Roman Regular"/>
                <w:i/>
                <w:iCs/>
                <w:sz w:val="20"/>
                <w:szCs w:val="20"/>
              </w:rPr>
            </m:ctrlPr>
          </m:sub>
        </m:sSub>
        <m:r>
          <m:rPr>
            <m:sty m:val="p"/>
          </m:rPr>
          <w:rPr>
            <w:rFonts w:ascii="DejaVu Math TeX Gyre" w:hAnsi="DejaVu Math TeX Gyre" w:cs="Times New Roman Regular"/>
            <w:sz w:val="20"/>
            <w:szCs w:val="20"/>
          </w:rPr>
          <m:t>+</m:t>
        </m:r>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ε</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it</m:t>
            </m:r>
            <m:ctrlPr>
              <w:rPr>
                <w:rFonts w:ascii="DejaVu Math TeX Gyre" w:hAnsi="DejaVu Math TeX Gyre" w:cs="Times New Roman Regular"/>
                <w:i/>
                <w:iCs/>
                <w:sz w:val="20"/>
                <w:szCs w:val="20"/>
              </w:rPr>
            </m:ctrlPr>
          </m:sub>
        </m:sSub>
      </m:oMath>
      <w:r>
        <w:rPr>
          <w:rFonts w:ascii="Times New Roman Regular" w:hAnsi="Times New Roman Regular" w:cs="Times New Roman Regular"/>
          <w:iCs/>
          <w:sz w:val="20"/>
          <w:szCs w:val="20"/>
        </w:rPr>
        <w:t xml:space="preserve">                  (2)</w:t>
      </w:r>
    </w:p>
    <w:p>
      <w:pPr>
        <w:spacing w:before="157" w:beforeLines="50"/>
        <w:ind w:firstLine="240" w:firstLineChars="100"/>
        <w:rPr>
          <w:rFonts w:ascii="Times New Roman Regular" w:hAnsi="Times New Roman Regular" w:cs="Times New Roman Regular"/>
          <w:sz w:val="22"/>
          <w:szCs w:val="22"/>
        </w:rPr>
      </w:pPr>
      <w:r>
        <w:rPr>
          <w:rFonts w:hint="eastAsia" w:ascii="Times New Roman Regular" w:hAnsi="Times New Roman Regular" w:cs="Times New Roman Regular"/>
          <w:sz w:val="24"/>
          <w:lang w:val="en-US" w:eastAsia="zh-CN"/>
        </w:rPr>
        <w:t>W</w:t>
      </w:r>
      <w:r>
        <w:rPr>
          <w:rFonts w:ascii="Times New Roman Regular" w:hAnsi="Times New Roman Regular" w:cs="Times New Roman Regular"/>
          <w:sz w:val="24"/>
        </w:rPr>
        <w:t xml:space="preserve">here </w:t>
      </w:r>
      <w:r>
        <w:rPr>
          <w:rFonts w:ascii="Times New Roman Regular" w:hAnsi="Times New Roman Regular" w:cs="Times New Roman Regular"/>
          <w:i/>
          <w:iCs/>
          <w:sz w:val="24"/>
        </w:rPr>
        <w:t>EMP</w:t>
      </w:r>
      <w:r>
        <w:rPr>
          <w:rFonts w:ascii="Times New Roman Regular" w:hAnsi="Times New Roman Regular" w:cs="Times New Roman Regular"/>
          <w:i/>
          <w:iCs/>
          <w:sz w:val="24"/>
          <w:vertAlign w:val="subscript"/>
        </w:rPr>
        <w:t>it</w:t>
      </w:r>
      <w:r>
        <w:rPr>
          <w:rFonts w:ascii="Times New Roman Regular" w:hAnsi="Times New Roman Regular" w:cs="Times New Roman Regular"/>
          <w:sz w:val="24"/>
        </w:rPr>
        <w:t xml:space="preserve"> denotes the employment quality index of </w:t>
      </w:r>
      <w:r>
        <w:rPr>
          <w:rFonts w:ascii="Times New Roman Regular" w:hAnsi="Times New Roman Regular" w:cs="Times New Roman Regular"/>
          <w:i/>
          <w:iCs/>
          <w:sz w:val="24"/>
        </w:rPr>
        <w:t>city</w:t>
      </w:r>
      <w:r>
        <w:rPr>
          <w:rFonts w:ascii="Times New Roman Regular" w:hAnsi="Times New Roman Regular" w:cs="Times New Roman Regular"/>
          <w:i/>
          <w:iCs/>
          <w:sz w:val="24"/>
          <w:vertAlign w:val="subscript"/>
        </w:rPr>
        <w:t>i</w:t>
      </w:r>
      <w:r>
        <w:rPr>
          <w:rFonts w:ascii="Times New Roman Regular" w:hAnsi="Times New Roman Regular" w:cs="Times New Roman Regular"/>
          <w:sz w:val="24"/>
        </w:rPr>
        <w:t xml:space="preserve"> in </w:t>
      </w:r>
      <w:r>
        <w:rPr>
          <w:rFonts w:ascii="Times New Roman Regular" w:hAnsi="Times New Roman Regular" w:cs="Times New Roman Regular"/>
          <w:i/>
          <w:iCs/>
          <w:sz w:val="24"/>
        </w:rPr>
        <w:t>year</w:t>
      </w:r>
      <w:r>
        <w:rPr>
          <w:rFonts w:ascii="Times New Roman Regular" w:hAnsi="Times New Roman Regular" w:cs="Times New Roman Regular"/>
          <w:i/>
          <w:iCs/>
          <w:sz w:val="24"/>
          <w:vertAlign w:val="subscript"/>
        </w:rPr>
        <w:t>t</w:t>
      </w:r>
      <w:r>
        <w:rPr>
          <w:rFonts w:ascii="Times New Roman Regular" w:hAnsi="Times New Roman Regular" w:cs="Times New Roman Regular"/>
          <w:sz w:val="24"/>
        </w:rPr>
        <w:t xml:space="preserve">, </w:t>
      </w:r>
      <w:r>
        <w:rPr>
          <w:rFonts w:ascii="Times New Roman Regular" w:hAnsi="Times New Roman Regular" w:cs="Times New Roman Regular"/>
          <w:i/>
          <w:iCs/>
          <w:sz w:val="24"/>
        </w:rPr>
        <w:t>treat</w:t>
      </w:r>
      <w:r>
        <w:rPr>
          <w:rFonts w:ascii="Times New Roman Regular" w:hAnsi="Times New Roman Regular" w:cs="Times New Roman Regular"/>
          <w:i/>
          <w:iCs/>
          <w:sz w:val="24"/>
          <w:vertAlign w:val="subscript"/>
        </w:rPr>
        <w:t>it</w:t>
      </w:r>
      <w:r>
        <w:rPr>
          <w:rFonts w:ascii="Times New Roman Regular" w:hAnsi="Times New Roman Regular" w:cs="Times New Roman Regular"/>
          <w:i/>
          <w:iCs/>
          <w:sz w:val="24"/>
        </w:rPr>
        <w:t>*post</w:t>
      </w:r>
      <w:r>
        <w:rPr>
          <w:rFonts w:ascii="Times New Roman Regular" w:hAnsi="Times New Roman Regular" w:cs="Times New Roman Regular"/>
          <w:i/>
          <w:iCs/>
          <w:sz w:val="24"/>
          <w:vertAlign w:val="subscript"/>
        </w:rPr>
        <w:t>it</w:t>
      </w:r>
      <w:r>
        <w:rPr>
          <w:rFonts w:ascii="Times New Roman Regular" w:hAnsi="Times New Roman Regular" w:cs="Times New Roman Regular"/>
          <w:i/>
          <w:iCs/>
          <w:sz w:val="24"/>
        </w:rPr>
        <w:t>​</w:t>
      </w:r>
      <w:r>
        <w:rPr>
          <w:rFonts w:ascii="Times New Roman Regular" w:hAnsi="Times New Roman Regular" w:cs="Times New Roman Regular"/>
          <w:sz w:val="24"/>
        </w:rPr>
        <w:t xml:space="preserve"> is the treatment indicator for the NTUP, Controlsit represents a vector of control variables, and </w:t>
      </w:r>
      <w:r>
        <w:rPr>
          <w:rFonts w:ascii="Times New Roman Regular" w:hAnsi="Times New Roman Regular" w:cs="Times New Roman Regular"/>
          <w:i/>
          <w:iCs/>
          <w:sz w:val="24"/>
        </w:rPr>
        <w:t>μ</w:t>
      </w:r>
      <w:r>
        <w:rPr>
          <w:rFonts w:ascii="Times New Roman Regular" w:hAnsi="Times New Roman Regular" w:cs="Times New Roman Regular"/>
          <w:i/>
          <w:iCs/>
          <w:sz w:val="24"/>
          <w:vertAlign w:val="subscript"/>
        </w:rPr>
        <w:t>t</w:t>
      </w:r>
      <w:r>
        <w:rPr>
          <w:rFonts w:ascii="Times New Roman Regular" w:hAnsi="Times New Roman Regular" w:cs="Times New Roman Regular"/>
          <w:sz w:val="24"/>
        </w:rPr>
        <w:t xml:space="preserve"> and </w:t>
      </w:r>
      <w:r>
        <w:rPr>
          <w:rFonts w:ascii="Times New Roman Regular" w:hAnsi="Times New Roman Regular" w:cs="Times New Roman Regular"/>
          <w:i/>
          <w:iCs/>
          <w:sz w:val="24"/>
        </w:rPr>
        <w:t>α</w:t>
      </w:r>
      <w:r>
        <w:rPr>
          <w:rFonts w:ascii="Times New Roman Regular" w:hAnsi="Times New Roman Regular" w:cs="Times New Roman Regular"/>
          <w:i/>
          <w:iCs/>
          <w:sz w:val="24"/>
          <w:vertAlign w:val="subscript"/>
        </w:rPr>
        <w:t>i​</w:t>
      </w:r>
      <w:r>
        <w:rPr>
          <w:rFonts w:ascii="Times New Roman Regular" w:hAnsi="Times New Roman Regular" w:cs="Times New Roman Regular"/>
          <w:sz w:val="24"/>
        </w:rPr>
        <w:t xml:space="preserve">are time and city fixed effects, respectively. To further explore the underlying mechanisms through which the policy influences employment quality, we introduce a mediator variable </w:t>
      </w:r>
      <w:r>
        <w:rPr>
          <w:rFonts w:ascii="Times New Roman Regular" w:hAnsi="Times New Roman Regular" w:cs="Times New Roman Regular"/>
          <w:i/>
          <w:iCs/>
          <w:sz w:val="24"/>
        </w:rPr>
        <w:t>M</w:t>
      </w:r>
      <w:r>
        <w:rPr>
          <w:rFonts w:ascii="Times New Roman Regular" w:hAnsi="Times New Roman Regular" w:cs="Times New Roman Regular"/>
          <w:i/>
          <w:iCs/>
          <w:sz w:val="24"/>
          <w:vertAlign w:val="subscript"/>
        </w:rPr>
        <w:t>it</w:t>
      </w:r>
      <w:r>
        <w:rPr>
          <w:rFonts w:ascii="Times New Roman Regular" w:hAnsi="Times New Roman Regular" w:cs="Times New Roman Regular"/>
          <w:sz w:val="24"/>
        </w:rPr>
        <w:t xml:space="preserve"> and construct the following two-step mediation model.Given the severe endogeneity issues associated with the traditional three-step mediation approach (Baron &amp; Kenny, 1986), we follow the method proposed by Jiang Ting et al. (2017), adopting a two-way fixed effects framework to identify the mediation effects. Robustness tests are further conducted to examine the statistical significance of the indirect effect.</w:t>
      </w:r>
    </w:p>
    <w:p>
      <w:pPr>
        <w:spacing w:before="157" w:beforeLines="50" w:after="157" w:afterLines="50"/>
        <w:rPr>
          <w:rFonts w:hint="eastAsia" w:ascii="Times New Roman Bold" w:hAnsi="Times New Roman Bold" w:cs="Times New Roman Bold" w:eastAsiaTheme="minorEastAsia"/>
          <w:b/>
          <w:sz w:val="24"/>
          <w:lang w:val="en-US" w:eastAsia="zh-CN"/>
        </w:rPr>
      </w:pPr>
      <w:r>
        <w:rPr>
          <w:rFonts w:hint="eastAsia" w:ascii="Times New Roman Bold" w:hAnsi="Times New Roman Bold" w:cs="Times New Roman Bold"/>
          <w:b/>
          <w:sz w:val="24"/>
          <w:lang w:val="en-US" w:eastAsia="zh-CN"/>
        </w:rPr>
        <w:t>3</w:t>
      </w:r>
      <w:r>
        <w:rPr>
          <w:rFonts w:ascii="Times New Roman Bold" w:hAnsi="Times New Roman Bold" w:cs="Times New Roman Bold"/>
          <w:b/>
          <w:sz w:val="24"/>
        </w:rPr>
        <w:t xml:space="preserve">.2. Variables </w:t>
      </w:r>
      <w:r>
        <w:rPr>
          <w:rFonts w:hint="eastAsia" w:ascii="Times New Roman Bold" w:hAnsi="Times New Roman Bold" w:cs="Times New Roman Bold"/>
          <w:b/>
          <w:sz w:val="24"/>
          <w:lang w:val="en-US" w:eastAsia="zh-CN"/>
        </w:rPr>
        <w:t>selection</w:t>
      </w:r>
    </w:p>
    <w:p>
      <w:pPr>
        <w:spacing w:before="0" w:beforeLines="0" w:after="157" w:afterLines="50"/>
        <w:rPr>
          <w:rFonts w:ascii="Times New Roman Bold Italic" w:hAnsi="Times New Roman Bold Italic" w:cs="Times New Roman Bold Italic"/>
          <w:b/>
          <w:i/>
          <w:iCs/>
          <w:sz w:val="24"/>
        </w:rPr>
      </w:pPr>
      <w:r>
        <w:rPr>
          <w:rFonts w:hint="eastAsia" w:ascii="Times New Roman Bold Italic" w:hAnsi="Times New Roman Bold Italic" w:cs="Times New Roman Bold Italic"/>
          <w:b/>
          <w:i/>
          <w:iCs/>
          <w:sz w:val="24"/>
          <w:lang w:val="en-US" w:eastAsia="zh-CN"/>
        </w:rPr>
        <w:t>3</w:t>
      </w:r>
      <w:r>
        <w:rPr>
          <w:rFonts w:ascii="Times New Roman Bold Italic" w:hAnsi="Times New Roman Bold Italic" w:cs="Times New Roman Bold Italic"/>
          <w:b/>
          <w:i/>
          <w:iCs/>
          <w:sz w:val="24"/>
        </w:rPr>
        <w:t xml:space="preserve">.2.1. Explained </w:t>
      </w:r>
      <w:r>
        <w:rPr>
          <w:rFonts w:ascii="Times New Roman Bold" w:hAnsi="Times New Roman Bold" w:cs="Times New Roman Bold"/>
          <w:b/>
          <w:bCs/>
          <w:sz w:val="24"/>
        </w:rPr>
        <w:t>variables</w:t>
      </w:r>
    </w:p>
    <w:p>
      <w:pPr>
        <w:keepNext w:val="0"/>
        <w:keepLines w:val="0"/>
        <w:widowControl/>
        <w:suppressLineNumbers w:val="0"/>
        <w:spacing w:beforeLines="0" w:after="157" w:afterLines="50"/>
        <w:ind w:firstLine="240" w:firstLineChars="100"/>
        <w:jc w:val="both"/>
        <w:rPr>
          <w:rFonts w:ascii="Times New Roman Regular" w:hAnsi="Times New Roman Regular" w:cs="Times New Roman Regular"/>
          <w:sz w:val="24"/>
        </w:rPr>
      </w:pPr>
      <w:r>
        <w:rPr>
          <w:rFonts w:ascii="Times New Roman Regular" w:hAnsi="Times New Roman Regular" w:cs="Times New Roman Regular"/>
          <w:sz w:val="24"/>
        </w:rPr>
        <w:t>Urban Employment Quality serves as the core dependent variable in this study. Existing measurements of employment quality in China are mostly concentrated at the provincial level, due to limitations in data availability and inconsistent statistical standards. As a result, city-level assessments of employment quality remain relatively rare in domestic research. To better capture the structural differences and spatial distribution of employment conditions at the urban level, this study constructs and calculates a set of employment quality indicators at the prefecture-level city scale, drawing on methodologies used for provincial-level assessments. Specifically, we refer to the indicator selection logic and weighting scheme proposed by Qi et al. (2020) in their article “Digital Economy Development, Employment Structure Optimization, and Employment Quality Improvement.” That study characterizes the multidimensional nature of employment quality along three core dimensions: employment capacity, employment remuneration, and employment environment. Based on this theoretical framework and empirical approach, we adapt and extend the indicator system to match the characteristics and data availability at the city level. This refined index system provides a solid foundation for our subsequent empirical analysis</w:t>
      </w:r>
      <w:r>
        <w:rPr>
          <w:rFonts w:ascii="Times New Roman Regular" w:hAnsi="Times New Roman Regular" w:cs="Times New Roman Regular"/>
          <w:sz w:val="24"/>
        </w:rPr>
        <w:footnoteReference w:id="0"/>
      </w:r>
      <w:r>
        <w:rPr>
          <w:rFonts w:ascii="Times New Roman Regular" w:hAnsi="Times New Roman Regular" w:cs="Times New Roman Regular"/>
          <w:sz w:val="24"/>
        </w:rPr>
        <w:t>.</w:t>
      </w:r>
    </w:p>
    <w:p>
      <w:pPr>
        <w:keepNext w:val="0"/>
        <w:keepLines w:val="0"/>
        <w:widowControl/>
        <w:suppressLineNumbers w:val="0"/>
        <w:spacing w:beforeLines="0" w:after="157" w:afterLines="50"/>
        <w:ind w:firstLine="240" w:firstLineChars="100"/>
        <w:jc w:val="both"/>
        <w:rPr>
          <w:rFonts w:ascii="Times New Roman Regular" w:hAnsi="Times New Roman Regular" w:eastAsia="宋体" w:cs="Times New Roman Regular"/>
          <w:kern w:val="0"/>
          <w:sz w:val="24"/>
          <w:szCs w:val="24"/>
          <w:lang w:val="en-US" w:eastAsia="zh-CN" w:bidi="ar"/>
        </w:rPr>
      </w:pPr>
      <w:r>
        <w:rPr>
          <w:rStyle w:val="13"/>
          <w:rFonts w:ascii="Times New Roman Regular" w:hAnsi="Times New Roman Regular" w:eastAsia="宋体" w:cs="Times New Roman Regular"/>
          <w:b w:val="0"/>
          <w:kern w:val="0"/>
          <w:sz w:val="24"/>
          <w:szCs w:val="24"/>
          <w:lang w:val="en-US" w:eastAsia="zh-CN" w:bidi="ar"/>
        </w:rPr>
        <w:t>Urban Employment Quality</w:t>
      </w:r>
      <w:r>
        <w:rPr>
          <w:rFonts w:ascii="Times New Roman Regular" w:hAnsi="Times New Roman Regular" w:eastAsia="宋体" w:cs="Times New Roman Regular"/>
          <w:kern w:val="0"/>
          <w:sz w:val="24"/>
          <w:szCs w:val="24"/>
          <w:lang w:val="en-US" w:eastAsia="zh-CN" w:bidi="ar"/>
        </w:rPr>
        <w:t xml:space="preserve"> serves as the key dependent variable. Although most measurements in China remain at the provincial level, city-level assessment is crucial for capturing spatial heterogeneity in labor-market performance. </w:t>
      </w:r>
      <w:r>
        <w:rPr>
          <w:rFonts w:hint="eastAsia" w:ascii="Times New Roman Regular" w:hAnsi="Times New Roman Regular" w:eastAsia="宋体" w:cs="Times New Roman Regular"/>
          <w:kern w:val="0"/>
          <w:sz w:val="24"/>
          <w:szCs w:val="24"/>
          <w:lang w:val="en-US" w:eastAsia="zh-CN" w:bidi="ar"/>
        </w:rPr>
        <w:t>E</w:t>
      </w:r>
      <w:r>
        <w:rPr>
          <w:rFonts w:ascii="Times New Roman Regular" w:hAnsi="Times New Roman Regular" w:eastAsia="宋体" w:cs="Times New Roman Regular"/>
          <w:kern w:val="0"/>
          <w:sz w:val="24"/>
          <w:szCs w:val="24"/>
          <w:lang w:val="en-US" w:eastAsia="zh-CN" w:bidi="ar"/>
        </w:rPr>
        <w:t xml:space="preserve">mployment quality is conceptualized as a </w:t>
      </w:r>
      <w:r>
        <w:rPr>
          <w:rStyle w:val="13"/>
          <w:rFonts w:ascii="Times New Roman Regular" w:hAnsi="Times New Roman Regular" w:eastAsia="宋体" w:cs="Times New Roman Regular"/>
          <w:b w:val="0"/>
          <w:kern w:val="0"/>
          <w:sz w:val="24"/>
          <w:szCs w:val="24"/>
          <w:lang w:val="en-US" w:eastAsia="zh-CN" w:bidi="ar"/>
        </w:rPr>
        <w:t>multidimensional construct</w:t>
      </w:r>
      <w:r>
        <w:rPr>
          <w:rFonts w:ascii="Times New Roman Regular" w:hAnsi="Times New Roman Regular" w:eastAsia="宋体" w:cs="Times New Roman Regular"/>
          <w:kern w:val="0"/>
          <w:sz w:val="24"/>
          <w:szCs w:val="24"/>
          <w:lang w:val="en-US" w:eastAsia="zh-CN" w:bidi="ar"/>
        </w:rPr>
        <w:t xml:space="preserve"> encompassing </w:t>
      </w:r>
      <w:r>
        <w:rPr>
          <w:rStyle w:val="13"/>
          <w:rFonts w:ascii="Times New Roman Regular" w:hAnsi="Times New Roman Regular" w:eastAsia="宋体" w:cs="Times New Roman Regular"/>
          <w:b w:val="0"/>
          <w:kern w:val="0"/>
          <w:sz w:val="24"/>
          <w:szCs w:val="24"/>
          <w:lang w:val="en-US" w:eastAsia="zh-CN" w:bidi="ar"/>
        </w:rPr>
        <w:t>employment capacity, remuneration, and environment</w:t>
      </w:r>
      <w:r>
        <w:rPr>
          <w:rFonts w:ascii="Times New Roman Regular" w:hAnsi="Times New Roman Regular" w:eastAsia="宋体" w:cs="Times New Roman Regular"/>
          <w:kern w:val="0"/>
          <w:sz w:val="24"/>
          <w:szCs w:val="24"/>
          <w:lang w:val="en-US" w:eastAsia="zh-CN" w:bidi="ar"/>
        </w:rPr>
        <w:t>, reflecting both quantitative and qualitative aspects of job conditions</w:t>
      </w:r>
      <w:r>
        <w:rPr>
          <w:rFonts w:hint="default" w:ascii="Times New Roman Regular" w:hAnsi="Times New Roman Regular" w:eastAsia="宋体" w:cs="Times New Roman Regular"/>
          <w:kern w:val="0"/>
          <w:sz w:val="24"/>
          <w:szCs w:val="24"/>
          <w:lang w:val="en-US" w:eastAsia="zh-CN" w:bidi="ar"/>
        </w:rPr>
        <w:t>(Liu et al. 2023)</w:t>
      </w:r>
      <w:r>
        <w:rPr>
          <w:rFonts w:ascii="Times New Roman Regular" w:hAnsi="Times New Roman Regular" w:eastAsia="宋体" w:cs="Times New Roman Regular"/>
          <w:kern w:val="0"/>
          <w:sz w:val="24"/>
          <w:szCs w:val="24"/>
          <w:lang w:val="en-US" w:eastAsia="zh-CN" w:bidi="ar"/>
        </w:rPr>
        <w:t xml:space="preserve">. To enhance </w:t>
      </w:r>
      <w:r>
        <w:rPr>
          <w:rStyle w:val="13"/>
          <w:rFonts w:ascii="Times New Roman Regular" w:hAnsi="Times New Roman Regular" w:eastAsia="宋体" w:cs="Times New Roman Regular"/>
          <w:b w:val="0"/>
          <w:kern w:val="0"/>
          <w:sz w:val="24"/>
          <w:szCs w:val="24"/>
          <w:lang w:val="en-US" w:eastAsia="zh-CN" w:bidi="ar"/>
        </w:rPr>
        <w:t>construct validity</w:t>
      </w:r>
      <w:r>
        <w:rPr>
          <w:rFonts w:ascii="Times New Roman Regular" w:hAnsi="Times New Roman Regular" w:eastAsia="宋体" w:cs="Times New Roman Regular"/>
          <w:kern w:val="0"/>
          <w:sz w:val="24"/>
          <w:szCs w:val="24"/>
          <w:lang w:val="en-US" w:eastAsia="zh-CN" w:bidi="ar"/>
        </w:rPr>
        <w:t>, this framework aligns with recent international definitions of “decent work” emphasizing income, stability, and inclusiveness (ILO, 20</w:t>
      </w:r>
      <w:r>
        <w:rPr>
          <w:rFonts w:hint="eastAsia" w:ascii="Times New Roman Regular" w:hAnsi="Times New Roman Regular" w:eastAsia="宋体" w:cs="Times New Roman Regular"/>
          <w:kern w:val="0"/>
          <w:sz w:val="24"/>
          <w:szCs w:val="24"/>
          <w:lang w:val="en-US" w:eastAsia="zh-CN" w:bidi="ar"/>
        </w:rPr>
        <w:t>1</w:t>
      </w:r>
      <w:r>
        <w:rPr>
          <w:rFonts w:ascii="Times New Roman Regular" w:hAnsi="Times New Roman Regular" w:eastAsia="宋体" w:cs="Times New Roman Regular"/>
          <w:kern w:val="0"/>
          <w:sz w:val="24"/>
          <w:szCs w:val="24"/>
          <w:lang w:val="en-US" w:eastAsia="zh-CN" w:bidi="ar"/>
        </w:rPr>
        <w:t>2</w:t>
      </w:r>
      <w:r>
        <w:rPr>
          <w:rFonts w:hint="default" w:ascii="Times New Roman Regular" w:hAnsi="Times New Roman Regular" w:eastAsia="宋体" w:cs="Times New Roman Regular"/>
          <w:kern w:val="0"/>
          <w:sz w:val="24"/>
          <w:szCs w:val="24"/>
          <w:lang w:val="en-US" w:eastAsia="zh-CN" w:bidi="ar"/>
        </w:rPr>
        <w:t xml:space="preserve"> </w:t>
      </w:r>
      <w:r>
        <w:rPr>
          <w:rFonts w:ascii="Times New Roman Regular" w:hAnsi="Times New Roman Regular" w:eastAsia="宋体" w:cs="Times New Roman Regular"/>
          <w:kern w:val="0"/>
          <w:sz w:val="24"/>
          <w:szCs w:val="24"/>
          <w:lang w:val="en-US" w:eastAsia="zh-CN" w:bidi="ar"/>
        </w:rPr>
        <w:t>;</w:t>
      </w:r>
      <w:r>
        <w:rPr>
          <w:rFonts w:hint="default" w:ascii="Times New Roman Regular" w:hAnsi="Times New Roman Regular" w:eastAsia="宋体" w:cs="Times New Roman Regular"/>
          <w:kern w:val="0"/>
          <w:sz w:val="24"/>
          <w:szCs w:val="24"/>
          <w:lang w:val="en-US" w:eastAsia="zh-CN" w:bidi="ar"/>
        </w:rPr>
        <w:t xml:space="preserve"> </w:t>
      </w:r>
      <w:r>
        <w:rPr>
          <w:rFonts w:ascii="Times New Roman Regular" w:hAnsi="Times New Roman Regular" w:eastAsia="宋体" w:cs="Times New Roman Regular"/>
          <w:i w:val="0"/>
          <w:iCs w:val="0"/>
          <w:caps w:val="0"/>
          <w:color w:val="222222"/>
          <w:spacing w:val="0"/>
          <w:kern w:val="0"/>
          <w:sz w:val="24"/>
          <w:szCs w:val="24"/>
          <w:shd w:val="clear" w:fill="FFFFFF"/>
          <w:lang w:val="en-US" w:eastAsia="zh-CN" w:bidi="ar"/>
        </w:rPr>
        <w:t>Joshanloo</w:t>
      </w:r>
      <w:r>
        <w:rPr>
          <w:rFonts w:ascii="Times New Roman Regular" w:hAnsi="Times New Roman Regular" w:eastAsia="宋体" w:cs="Times New Roman Regular"/>
          <w:kern w:val="0"/>
          <w:sz w:val="24"/>
          <w:szCs w:val="24"/>
          <w:lang w:val="en-US" w:eastAsia="zh-CN" w:bidi="ar"/>
        </w:rPr>
        <w:t>., 202</w:t>
      </w:r>
      <w:r>
        <w:rPr>
          <w:rFonts w:hint="eastAsia" w:ascii="Times New Roman Regular" w:hAnsi="Times New Roman Regular" w:eastAsia="宋体" w:cs="Times New Roman Regular"/>
          <w:kern w:val="0"/>
          <w:sz w:val="24"/>
          <w:szCs w:val="24"/>
          <w:lang w:val="en-US" w:eastAsia="zh-CN" w:bidi="ar"/>
        </w:rPr>
        <w:t>3</w:t>
      </w:r>
      <w:r>
        <w:rPr>
          <w:rFonts w:ascii="Times New Roman Regular" w:hAnsi="Times New Roman Regular" w:eastAsia="宋体" w:cs="Times New Roman Regular"/>
          <w:kern w:val="0"/>
          <w:sz w:val="24"/>
          <w:szCs w:val="24"/>
          <w:lang w:val="en-US" w:eastAsia="zh-CN" w:bidi="ar"/>
        </w:rPr>
        <w:t xml:space="preserve">). All indicators are standardized and weighted using the </w:t>
      </w:r>
      <w:r>
        <w:rPr>
          <w:rStyle w:val="13"/>
          <w:rFonts w:ascii="Times New Roman Regular" w:hAnsi="Times New Roman Regular" w:eastAsia="宋体" w:cs="Times New Roman Regular"/>
          <w:b w:val="0"/>
          <w:kern w:val="0"/>
          <w:sz w:val="24"/>
          <w:szCs w:val="24"/>
          <w:lang w:val="en-US" w:eastAsia="zh-CN" w:bidi="ar"/>
        </w:rPr>
        <w:t>entropy method</w:t>
      </w:r>
      <w:r>
        <w:rPr>
          <w:rFonts w:ascii="Times New Roman Regular" w:hAnsi="Times New Roman Regular" w:eastAsia="宋体" w:cs="Times New Roman Regular"/>
          <w:kern w:val="0"/>
          <w:sz w:val="24"/>
          <w:szCs w:val="24"/>
          <w:lang w:val="en-US" w:eastAsia="zh-CN" w:bidi="ar"/>
        </w:rPr>
        <w:t>, which minimizes subjectivity and maintains comparability across cities. By adapting the provincial framework to the prefecture-city scale, this study provides a theoretically consistent and empirically robust measure of employment quality suited to evaluating the effects of the NTUPP.</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1"/>
        <w:gridCol w:w="5011"/>
        <w:gridCol w:w="1440"/>
      </w:tblGrid>
      <w:tr>
        <w:tc>
          <w:tcPr>
            <w:tcW w:w="8522" w:type="dxa"/>
            <w:gridSpan w:val="3"/>
            <w:tcBorders>
              <w:top w:val="nil"/>
              <w:left w:val="nil"/>
              <w:bottom w:val="double" w:color="auto" w:sz="4" w:space="0"/>
              <w:right w:val="nil"/>
            </w:tcBorders>
          </w:tcPr>
          <w:p>
            <w:pPr>
              <w:rPr>
                <w:rFonts w:ascii="Times New Roman Regular" w:hAnsi="Times New Roman Regular" w:cs="Times New Roman Regular"/>
                <w:sz w:val="20"/>
                <w:szCs w:val="20"/>
              </w:rPr>
            </w:pPr>
            <w:r>
              <w:rPr>
                <w:rFonts w:ascii="Times New Roman Bold" w:hAnsi="Times New Roman Bold" w:cs="Times New Roman Bold"/>
                <w:b/>
                <w:sz w:val="20"/>
                <w:szCs w:val="20"/>
              </w:rPr>
              <w:t>Table</w:t>
            </w:r>
            <w:r>
              <w:rPr>
                <w:rFonts w:hint="eastAsia" w:ascii="Times New Roman Bold" w:hAnsi="Times New Roman Bold" w:cs="Times New Roman Bold"/>
                <w:b/>
                <w:sz w:val="20"/>
                <w:szCs w:val="20"/>
                <w:lang w:val="en-US" w:eastAsia="zh-CN"/>
              </w:rPr>
              <w:t xml:space="preserve"> </w:t>
            </w:r>
            <w:r>
              <w:rPr>
                <w:rFonts w:ascii="Times New Roman Bold" w:hAnsi="Times New Roman Bold" w:cs="Times New Roman Bold"/>
                <w:b/>
                <w:sz w:val="20"/>
                <w:szCs w:val="20"/>
              </w:rPr>
              <w:t>1</w:t>
            </w:r>
            <w:r>
              <w:rPr>
                <w:rFonts w:ascii="Times New Roman Regular" w:hAnsi="Times New Roman Regular" w:cs="Times New Roman Regular"/>
                <w:bCs/>
                <w:sz w:val="20"/>
                <w:szCs w:val="20"/>
              </w:rPr>
              <w:t xml:space="preserve"> Indicator System</w:t>
            </w:r>
          </w:p>
        </w:tc>
      </w:tr>
      <w:tr>
        <w:tc>
          <w:tcPr>
            <w:tcW w:w="2071" w:type="dxa"/>
            <w:tcBorders>
              <w:top w:val="double" w:color="auto" w:sz="4" w:space="0"/>
              <w:left w:val="nil"/>
              <w:bottom w:val="single" w:color="auto" w:sz="4" w:space="0"/>
              <w:right w:val="nil"/>
            </w:tcBorders>
          </w:tcPr>
          <w:p>
            <w:pPr>
              <w:pStyle w:val="8"/>
              <w:widowControl/>
              <w:spacing w:beforeAutospacing="0" w:afterAutospacing="0"/>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Dimension</w:t>
            </w:r>
          </w:p>
        </w:tc>
        <w:tc>
          <w:tcPr>
            <w:tcW w:w="5011" w:type="dxa"/>
            <w:tcBorders>
              <w:top w:val="double" w:color="auto" w:sz="4" w:space="0"/>
              <w:left w:val="nil"/>
              <w:bottom w:val="single" w:color="auto" w:sz="4" w:space="0"/>
              <w:right w:val="nil"/>
            </w:tcBorders>
          </w:tcPr>
          <w:p>
            <w:pPr>
              <w:widowControl/>
              <w:jc w:val="center"/>
              <w:rPr>
                <w:rFonts w:ascii="Times New Roman Regular" w:hAnsi="Times New Roman Regular" w:cs="Times New Roman Regular"/>
                <w:sz w:val="20"/>
                <w:szCs w:val="20"/>
              </w:rPr>
            </w:pPr>
            <w:r>
              <w:rPr>
                <w:rFonts w:ascii="Times New Roman Regular" w:hAnsi="Times New Roman Regular" w:eastAsia="宋体" w:cs="Times New Roman Regular"/>
                <w:kern w:val="0"/>
                <w:sz w:val="20"/>
                <w:szCs w:val="20"/>
                <w:lang w:bidi="ar"/>
              </w:rPr>
              <w:t>Indicator</w:t>
            </w:r>
          </w:p>
        </w:tc>
        <w:tc>
          <w:tcPr>
            <w:tcW w:w="1440" w:type="dxa"/>
            <w:tcBorders>
              <w:top w:val="double" w:color="auto" w:sz="4" w:space="0"/>
              <w:left w:val="nil"/>
              <w:bottom w:val="single" w:color="auto" w:sz="4" w:space="0"/>
              <w:right w:val="nil"/>
            </w:tcBorders>
          </w:tcPr>
          <w:p>
            <w:pPr>
              <w:widowControl/>
              <w:jc w:val="center"/>
              <w:rPr>
                <w:rFonts w:ascii="Times New Roman Regular" w:hAnsi="Times New Roman Regular" w:cs="Times New Roman Regular"/>
                <w:sz w:val="20"/>
                <w:szCs w:val="20"/>
              </w:rPr>
            </w:pPr>
            <w:r>
              <w:rPr>
                <w:rFonts w:ascii="Times New Roman Regular" w:hAnsi="Times New Roman Regular" w:eastAsia="宋体" w:cs="Times New Roman Regular"/>
                <w:kern w:val="0"/>
                <w:sz w:val="20"/>
                <w:szCs w:val="20"/>
                <w:lang w:bidi="ar"/>
              </w:rPr>
              <w:t>Direction</w:t>
            </w:r>
          </w:p>
        </w:tc>
      </w:tr>
      <w:tr>
        <w:tc>
          <w:tcPr>
            <w:tcW w:w="2071" w:type="dxa"/>
            <w:vMerge w:val="restart"/>
            <w:tcBorders>
              <w:top w:val="single" w:color="auto" w:sz="4" w:space="0"/>
              <w:left w:val="nil"/>
              <w:bottom w:val="nil"/>
              <w:right w:val="nil"/>
            </w:tcBorders>
          </w:tcPr>
          <w:p>
            <w:pPr>
              <w:widowControl/>
              <w:rPr>
                <w:rFonts w:ascii="Times New Roman Regular" w:hAnsi="Times New Roman Regular" w:cs="Times New Roman Regular"/>
                <w:sz w:val="20"/>
                <w:szCs w:val="20"/>
              </w:rPr>
            </w:pPr>
          </w:p>
          <w:p>
            <w:pPr>
              <w:widowControl/>
              <w:rPr>
                <w:rFonts w:ascii="Times New Roman Regular" w:hAnsi="Times New Roman Regular" w:cs="Times New Roman Regular"/>
                <w:sz w:val="20"/>
                <w:szCs w:val="20"/>
              </w:rPr>
            </w:pPr>
          </w:p>
          <w:p>
            <w:pPr>
              <w:widowControl/>
              <w:rPr>
                <w:rFonts w:ascii="Times New Roman Regular" w:hAnsi="Times New Roman Regular" w:cs="Times New Roman Regular"/>
                <w:sz w:val="20"/>
                <w:szCs w:val="20"/>
              </w:rPr>
            </w:pPr>
            <w:r>
              <w:rPr>
                <w:rFonts w:ascii="Times New Roman Regular" w:hAnsi="Times New Roman Regular" w:eastAsia="宋体" w:cs="Times New Roman Regular"/>
                <w:kern w:val="0"/>
                <w:sz w:val="20"/>
                <w:szCs w:val="20"/>
                <w:lang w:bidi="ar"/>
              </w:rPr>
              <w:t>Employment Fundamentals</w:t>
            </w:r>
          </w:p>
          <w:p>
            <w:pPr>
              <w:widowControl/>
              <w:rPr>
                <w:rFonts w:ascii="Times New Roman Regular" w:hAnsi="Times New Roman Regular" w:cs="Times New Roman Regular"/>
                <w:sz w:val="20"/>
                <w:szCs w:val="20"/>
              </w:rPr>
            </w:pPr>
          </w:p>
        </w:tc>
        <w:tc>
          <w:tcPr>
            <w:tcW w:w="5011" w:type="dxa"/>
            <w:tcBorders>
              <w:top w:val="single" w:color="auto" w:sz="4" w:space="0"/>
              <w:left w:val="nil"/>
              <w:bottom w:val="nil"/>
              <w:right w:val="nil"/>
            </w:tcBorders>
          </w:tcPr>
          <w:p>
            <w:pPr>
              <w:widowControl/>
              <w:rPr>
                <w:rFonts w:ascii="Times New Roman Regular" w:hAnsi="Times New Roman Regular" w:cs="Times New Roman Regular"/>
                <w:sz w:val="20"/>
                <w:szCs w:val="20"/>
              </w:rPr>
            </w:pPr>
            <w:r>
              <w:rPr>
                <w:rFonts w:ascii="Times New Roman Regular" w:hAnsi="Times New Roman Regular" w:eastAsia="宋体" w:cs="Times New Roman Regular"/>
                <w:kern w:val="0"/>
                <w:sz w:val="20"/>
                <w:szCs w:val="20"/>
                <w:lang w:bidi="ar"/>
              </w:rPr>
              <w:t>Regional economic development level</w:t>
            </w:r>
          </w:p>
        </w:tc>
        <w:tc>
          <w:tcPr>
            <w:tcW w:w="1440" w:type="dxa"/>
            <w:tcBorders>
              <w:top w:val="single" w:color="auto" w:sz="4" w:space="0"/>
              <w:left w:val="nil"/>
              <w:bottom w:val="nil"/>
              <w:right w:val="nil"/>
            </w:tcBorders>
          </w:tcPr>
          <w:p>
            <w:pPr>
              <w:widowControl/>
              <w:jc w:val="center"/>
              <w:rPr>
                <w:rFonts w:ascii="Times New Roman Regular" w:hAnsi="Times New Roman Regular" w:cs="Times New Roman Regular"/>
                <w:sz w:val="20"/>
                <w:szCs w:val="20"/>
              </w:rPr>
            </w:pPr>
            <w:r>
              <w:rPr>
                <w:rFonts w:ascii="Times New Roman Regular" w:hAnsi="Times New Roman Regular" w:eastAsia="宋体" w:cs="Times New Roman Regular"/>
                <w:kern w:val="0"/>
                <w:sz w:val="20"/>
                <w:szCs w:val="20"/>
                <w:lang w:bidi="ar"/>
              </w:rPr>
              <w:t>Positive (+)</w:t>
            </w:r>
          </w:p>
        </w:tc>
      </w:tr>
      <w:tr>
        <w:tc>
          <w:tcPr>
            <w:tcW w:w="2071" w:type="dxa"/>
            <w:vMerge w:val="continue"/>
            <w:tcBorders>
              <w:top w:val="nil"/>
              <w:left w:val="nil"/>
              <w:bottom w:val="nil"/>
              <w:right w:val="nil"/>
            </w:tcBorders>
          </w:tcPr>
          <w:p>
            <w:pPr>
              <w:widowControl/>
              <w:rPr>
                <w:rFonts w:ascii="Times New Roman Regular" w:hAnsi="Times New Roman Regular" w:cs="Times New Roman Regular"/>
                <w:sz w:val="20"/>
                <w:szCs w:val="20"/>
              </w:rPr>
            </w:pPr>
          </w:p>
        </w:tc>
        <w:tc>
          <w:tcPr>
            <w:tcW w:w="5011" w:type="dxa"/>
            <w:tcBorders>
              <w:top w:val="nil"/>
              <w:left w:val="nil"/>
              <w:bottom w:val="nil"/>
              <w:right w:val="nil"/>
            </w:tcBorders>
          </w:tcPr>
          <w:p>
            <w:pPr>
              <w:widowControl/>
              <w:rPr>
                <w:rFonts w:ascii="Times New Roman Regular" w:hAnsi="Times New Roman Regular" w:cs="Times New Roman Regular"/>
                <w:sz w:val="20"/>
                <w:szCs w:val="20"/>
              </w:rPr>
            </w:pPr>
            <w:r>
              <w:rPr>
                <w:rFonts w:ascii="Times New Roman Regular" w:hAnsi="Times New Roman Regular" w:eastAsia="宋体" w:cs="Times New Roman Regular"/>
                <w:kern w:val="0"/>
                <w:sz w:val="20"/>
                <w:szCs w:val="20"/>
                <w:lang w:bidi="ar"/>
              </w:rPr>
              <w:t>Regional employment level</w:t>
            </w:r>
          </w:p>
        </w:tc>
        <w:tc>
          <w:tcPr>
            <w:tcW w:w="1440" w:type="dxa"/>
            <w:tcBorders>
              <w:top w:val="nil"/>
              <w:left w:val="nil"/>
              <w:bottom w:val="nil"/>
              <w:right w:val="nil"/>
            </w:tcBorders>
          </w:tcPr>
          <w:p>
            <w:pPr>
              <w:widowControl/>
              <w:jc w:val="center"/>
              <w:rPr>
                <w:rFonts w:ascii="Times New Roman Regular" w:hAnsi="Times New Roman Regular" w:cs="Times New Roman Regular"/>
                <w:sz w:val="20"/>
                <w:szCs w:val="20"/>
              </w:rPr>
            </w:pPr>
            <w:r>
              <w:rPr>
                <w:rFonts w:ascii="Times New Roman Regular" w:hAnsi="Times New Roman Regular" w:eastAsia="宋体" w:cs="Times New Roman Regular"/>
                <w:kern w:val="0"/>
                <w:sz w:val="20"/>
                <w:szCs w:val="20"/>
                <w:lang w:bidi="ar"/>
              </w:rPr>
              <w:t>Positive (+)</w:t>
            </w:r>
          </w:p>
        </w:tc>
      </w:tr>
      <w:tr>
        <w:tc>
          <w:tcPr>
            <w:tcW w:w="2071" w:type="dxa"/>
            <w:vMerge w:val="continue"/>
            <w:tcBorders>
              <w:top w:val="nil"/>
              <w:left w:val="nil"/>
              <w:bottom w:val="nil"/>
              <w:right w:val="nil"/>
            </w:tcBorders>
          </w:tcPr>
          <w:p>
            <w:pPr>
              <w:widowControl/>
              <w:rPr>
                <w:rFonts w:ascii="Times New Roman Regular" w:hAnsi="Times New Roman Regular" w:cs="Times New Roman Regular"/>
                <w:sz w:val="20"/>
                <w:szCs w:val="20"/>
              </w:rPr>
            </w:pPr>
          </w:p>
        </w:tc>
        <w:tc>
          <w:tcPr>
            <w:tcW w:w="5011" w:type="dxa"/>
            <w:tcBorders>
              <w:top w:val="nil"/>
              <w:left w:val="nil"/>
              <w:bottom w:val="nil"/>
              <w:right w:val="nil"/>
            </w:tcBorders>
          </w:tcPr>
          <w:p>
            <w:pPr>
              <w:widowControl/>
              <w:rPr>
                <w:rFonts w:ascii="Times New Roman Regular" w:hAnsi="Times New Roman Regular" w:cs="Times New Roman Regular"/>
                <w:sz w:val="20"/>
                <w:szCs w:val="20"/>
              </w:rPr>
            </w:pPr>
            <w:r>
              <w:rPr>
                <w:rFonts w:ascii="Times New Roman Regular" w:hAnsi="Times New Roman Regular" w:eastAsia="宋体" w:cs="Times New Roman Regular"/>
                <w:kern w:val="0"/>
                <w:sz w:val="20"/>
                <w:szCs w:val="20"/>
                <w:lang w:bidi="ar"/>
              </w:rPr>
              <w:t>Regional unemployment level</w:t>
            </w:r>
          </w:p>
        </w:tc>
        <w:tc>
          <w:tcPr>
            <w:tcW w:w="1440" w:type="dxa"/>
            <w:tcBorders>
              <w:top w:val="nil"/>
              <w:left w:val="nil"/>
              <w:bottom w:val="nil"/>
              <w:right w:val="nil"/>
            </w:tcBorders>
          </w:tcPr>
          <w:p>
            <w:pPr>
              <w:widowControl/>
              <w:jc w:val="center"/>
              <w:rPr>
                <w:rFonts w:ascii="Times New Roman Regular" w:hAnsi="Times New Roman Regular" w:cs="Times New Roman Regular"/>
                <w:sz w:val="20"/>
                <w:szCs w:val="20"/>
              </w:rPr>
            </w:pPr>
            <w:r>
              <w:rPr>
                <w:rFonts w:ascii="Times New Roman Regular" w:hAnsi="Times New Roman Regular" w:eastAsia="宋体" w:cs="Times New Roman Regular"/>
                <w:kern w:val="0"/>
                <w:sz w:val="20"/>
                <w:szCs w:val="20"/>
                <w:lang w:bidi="ar"/>
              </w:rPr>
              <w:t>Negative (−)</w:t>
            </w:r>
          </w:p>
        </w:tc>
      </w:tr>
      <w:tr>
        <w:tc>
          <w:tcPr>
            <w:tcW w:w="2071" w:type="dxa"/>
            <w:vMerge w:val="continue"/>
            <w:tcBorders>
              <w:top w:val="nil"/>
              <w:left w:val="nil"/>
              <w:bottom w:val="nil"/>
              <w:right w:val="nil"/>
            </w:tcBorders>
          </w:tcPr>
          <w:p>
            <w:pPr>
              <w:widowControl/>
              <w:rPr>
                <w:rFonts w:ascii="Times New Roman Regular" w:hAnsi="Times New Roman Regular" w:cs="Times New Roman Regular"/>
                <w:sz w:val="20"/>
                <w:szCs w:val="20"/>
              </w:rPr>
            </w:pPr>
          </w:p>
        </w:tc>
        <w:tc>
          <w:tcPr>
            <w:tcW w:w="5011" w:type="dxa"/>
            <w:tcBorders>
              <w:top w:val="nil"/>
              <w:left w:val="nil"/>
              <w:bottom w:val="nil"/>
              <w:right w:val="nil"/>
            </w:tcBorders>
          </w:tcPr>
          <w:p>
            <w:pPr>
              <w:widowControl/>
              <w:rPr>
                <w:rFonts w:ascii="Times New Roman Regular" w:hAnsi="Times New Roman Regular" w:cs="Times New Roman Regular"/>
                <w:sz w:val="20"/>
                <w:szCs w:val="20"/>
              </w:rPr>
            </w:pPr>
            <w:r>
              <w:rPr>
                <w:rFonts w:ascii="Times New Roman Regular" w:hAnsi="Times New Roman Regular" w:eastAsia="宋体" w:cs="Times New Roman Regular"/>
                <w:kern w:val="0"/>
                <w:sz w:val="20"/>
                <w:szCs w:val="20"/>
                <w:lang w:bidi="ar"/>
              </w:rPr>
              <w:t>Share of employment in the tertiary sector</w:t>
            </w:r>
          </w:p>
        </w:tc>
        <w:tc>
          <w:tcPr>
            <w:tcW w:w="1440" w:type="dxa"/>
            <w:tcBorders>
              <w:top w:val="nil"/>
              <w:left w:val="nil"/>
              <w:bottom w:val="nil"/>
              <w:right w:val="nil"/>
            </w:tcBorders>
          </w:tcPr>
          <w:p>
            <w:pPr>
              <w:widowControl/>
              <w:jc w:val="center"/>
              <w:rPr>
                <w:rFonts w:ascii="Times New Roman Regular" w:hAnsi="Times New Roman Regular" w:cs="Times New Roman Regular"/>
                <w:sz w:val="20"/>
                <w:szCs w:val="20"/>
              </w:rPr>
            </w:pPr>
            <w:r>
              <w:rPr>
                <w:rFonts w:ascii="Times New Roman Regular" w:hAnsi="Times New Roman Regular" w:eastAsia="宋体" w:cs="Times New Roman Regular"/>
                <w:kern w:val="0"/>
                <w:sz w:val="20"/>
                <w:szCs w:val="20"/>
                <w:lang w:bidi="ar"/>
              </w:rPr>
              <w:t>Positive (+)</w:t>
            </w:r>
          </w:p>
        </w:tc>
      </w:tr>
      <w:tr>
        <w:tc>
          <w:tcPr>
            <w:tcW w:w="2071" w:type="dxa"/>
            <w:vMerge w:val="continue"/>
            <w:tcBorders>
              <w:top w:val="nil"/>
              <w:left w:val="nil"/>
              <w:bottom w:val="single" w:color="auto" w:sz="4" w:space="0"/>
              <w:right w:val="nil"/>
            </w:tcBorders>
          </w:tcPr>
          <w:p>
            <w:pPr>
              <w:widowControl/>
              <w:rPr>
                <w:rFonts w:ascii="Times New Roman Regular" w:hAnsi="Times New Roman Regular" w:cs="Times New Roman Regular"/>
                <w:sz w:val="20"/>
                <w:szCs w:val="20"/>
              </w:rPr>
            </w:pPr>
          </w:p>
        </w:tc>
        <w:tc>
          <w:tcPr>
            <w:tcW w:w="5011" w:type="dxa"/>
            <w:tcBorders>
              <w:top w:val="nil"/>
              <w:left w:val="nil"/>
              <w:bottom w:val="single" w:color="auto" w:sz="4" w:space="0"/>
              <w:right w:val="nil"/>
            </w:tcBorders>
          </w:tcPr>
          <w:p>
            <w:pPr>
              <w:widowControl/>
              <w:rPr>
                <w:rFonts w:ascii="Times New Roman Regular" w:hAnsi="Times New Roman Regular" w:cs="Times New Roman Regular"/>
                <w:sz w:val="20"/>
                <w:szCs w:val="20"/>
              </w:rPr>
            </w:pPr>
            <w:r>
              <w:rPr>
                <w:rFonts w:ascii="Times New Roman Regular" w:hAnsi="Times New Roman Regular" w:eastAsia="宋体" w:cs="Times New Roman Regular"/>
                <w:kern w:val="0"/>
                <w:sz w:val="20"/>
                <w:szCs w:val="20"/>
                <w:lang w:bidi="ar"/>
              </w:rPr>
              <w:t>Urban–rural income gap</w:t>
            </w:r>
          </w:p>
        </w:tc>
        <w:tc>
          <w:tcPr>
            <w:tcW w:w="1440" w:type="dxa"/>
            <w:tcBorders>
              <w:top w:val="nil"/>
              <w:left w:val="nil"/>
              <w:bottom w:val="single" w:color="auto" w:sz="4" w:space="0"/>
              <w:right w:val="nil"/>
            </w:tcBorders>
          </w:tcPr>
          <w:p>
            <w:pPr>
              <w:widowControl/>
              <w:jc w:val="center"/>
              <w:rPr>
                <w:rFonts w:ascii="Times New Roman Regular" w:hAnsi="Times New Roman Regular" w:cs="Times New Roman Regular"/>
                <w:sz w:val="20"/>
                <w:szCs w:val="20"/>
              </w:rPr>
            </w:pPr>
            <w:r>
              <w:rPr>
                <w:rFonts w:ascii="Times New Roman Regular" w:hAnsi="Times New Roman Regular" w:eastAsia="宋体" w:cs="Times New Roman Regular"/>
                <w:kern w:val="0"/>
                <w:sz w:val="20"/>
                <w:szCs w:val="20"/>
                <w:lang w:bidi="ar"/>
              </w:rPr>
              <w:t>Negative (−)</w:t>
            </w:r>
          </w:p>
        </w:tc>
      </w:tr>
      <w:tr>
        <w:tc>
          <w:tcPr>
            <w:tcW w:w="2071" w:type="dxa"/>
            <w:vMerge w:val="restart"/>
            <w:tcBorders>
              <w:top w:val="single" w:color="auto" w:sz="4" w:space="0"/>
              <w:left w:val="nil"/>
              <w:bottom w:val="nil"/>
              <w:right w:val="nil"/>
            </w:tcBorders>
          </w:tcPr>
          <w:p>
            <w:pPr>
              <w:widowControl/>
              <w:rPr>
                <w:rFonts w:ascii="Times New Roman Regular" w:hAnsi="Times New Roman Regular" w:cs="Times New Roman Regular"/>
                <w:sz w:val="20"/>
                <w:szCs w:val="20"/>
              </w:rPr>
            </w:pPr>
            <w:r>
              <w:rPr>
                <w:rFonts w:ascii="Times New Roman Regular" w:hAnsi="Times New Roman Regular" w:eastAsia="宋体" w:cs="Times New Roman Regular"/>
                <w:kern w:val="0"/>
                <w:sz w:val="20"/>
                <w:szCs w:val="20"/>
                <w:lang w:bidi="ar"/>
              </w:rPr>
              <w:t>Employment Capacity</w:t>
            </w:r>
          </w:p>
        </w:tc>
        <w:tc>
          <w:tcPr>
            <w:tcW w:w="5011" w:type="dxa"/>
            <w:tcBorders>
              <w:top w:val="single" w:color="auto" w:sz="4" w:space="0"/>
              <w:left w:val="nil"/>
              <w:bottom w:val="nil"/>
              <w:right w:val="nil"/>
            </w:tcBorders>
          </w:tcPr>
          <w:p>
            <w:pPr>
              <w:widowControl/>
              <w:rPr>
                <w:rFonts w:ascii="Times New Roman Regular" w:hAnsi="Times New Roman Regular" w:cs="Times New Roman Regular"/>
                <w:sz w:val="20"/>
                <w:szCs w:val="20"/>
              </w:rPr>
            </w:pPr>
            <w:r>
              <w:rPr>
                <w:rFonts w:ascii="Times New Roman Regular" w:hAnsi="Times New Roman Regular" w:eastAsia="宋体" w:cs="Times New Roman Regular"/>
                <w:kern w:val="0"/>
                <w:sz w:val="20"/>
                <w:szCs w:val="20"/>
                <w:lang w:bidi="ar"/>
              </w:rPr>
              <w:t>Number of general higher education institutions</w:t>
            </w:r>
          </w:p>
        </w:tc>
        <w:tc>
          <w:tcPr>
            <w:tcW w:w="1440" w:type="dxa"/>
            <w:tcBorders>
              <w:top w:val="single" w:color="auto" w:sz="4" w:space="0"/>
              <w:left w:val="nil"/>
              <w:bottom w:val="nil"/>
              <w:right w:val="nil"/>
            </w:tcBorders>
          </w:tcPr>
          <w:p>
            <w:pPr>
              <w:widowControl/>
              <w:jc w:val="center"/>
              <w:rPr>
                <w:rFonts w:ascii="Times New Roman Regular" w:hAnsi="Times New Roman Regular" w:cs="Times New Roman Regular"/>
                <w:sz w:val="20"/>
                <w:szCs w:val="20"/>
              </w:rPr>
            </w:pPr>
            <w:r>
              <w:rPr>
                <w:rFonts w:ascii="Times New Roman Regular" w:hAnsi="Times New Roman Regular" w:eastAsia="宋体" w:cs="Times New Roman Regular"/>
                <w:kern w:val="0"/>
                <w:sz w:val="20"/>
                <w:szCs w:val="20"/>
                <w:lang w:bidi="ar"/>
              </w:rPr>
              <w:t>Positive (+)</w:t>
            </w:r>
          </w:p>
        </w:tc>
      </w:tr>
      <w:tr>
        <w:tc>
          <w:tcPr>
            <w:tcW w:w="2071" w:type="dxa"/>
            <w:vMerge w:val="continue"/>
            <w:tcBorders>
              <w:top w:val="nil"/>
              <w:left w:val="nil"/>
              <w:bottom w:val="nil"/>
              <w:right w:val="nil"/>
            </w:tcBorders>
          </w:tcPr>
          <w:p>
            <w:pPr>
              <w:widowControl/>
              <w:rPr>
                <w:rFonts w:ascii="Times New Roman Regular" w:hAnsi="Times New Roman Regular" w:cs="Times New Roman Regular"/>
                <w:sz w:val="20"/>
                <w:szCs w:val="20"/>
              </w:rPr>
            </w:pPr>
          </w:p>
        </w:tc>
        <w:tc>
          <w:tcPr>
            <w:tcW w:w="5011" w:type="dxa"/>
            <w:tcBorders>
              <w:top w:val="nil"/>
              <w:left w:val="nil"/>
              <w:bottom w:val="nil"/>
              <w:right w:val="nil"/>
            </w:tcBorders>
          </w:tcPr>
          <w:p>
            <w:pPr>
              <w:widowControl/>
              <w:rPr>
                <w:rFonts w:ascii="Times New Roman Regular" w:hAnsi="Times New Roman Regular" w:cs="Times New Roman Regular"/>
                <w:sz w:val="20"/>
                <w:szCs w:val="20"/>
              </w:rPr>
            </w:pPr>
            <w:r>
              <w:rPr>
                <w:rFonts w:ascii="Times New Roman Regular" w:hAnsi="Times New Roman Regular" w:eastAsia="宋体" w:cs="Times New Roman Regular"/>
                <w:kern w:val="0"/>
                <w:sz w:val="20"/>
                <w:szCs w:val="20"/>
                <w:lang w:bidi="ar"/>
              </w:rPr>
              <w:t>Average years of schooling</w:t>
            </w:r>
          </w:p>
        </w:tc>
        <w:tc>
          <w:tcPr>
            <w:tcW w:w="1440" w:type="dxa"/>
            <w:tcBorders>
              <w:top w:val="nil"/>
              <w:left w:val="nil"/>
              <w:bottom w:val="nil"/>
              <w:right w:val="nil"/>
            </w:tcBorders>
          </w:tcPr>
          <w:p>
            <w:pPr>
              <w:widowControl/>
              <w:jc w:val="center"/>
              <w:rPr>
                <w:rFonts w:ascii="Times New Roman Regular" w:hAnsi="Times New Roman Regular" w:cs="Times New Roman Regular"/>
                <w:sz w:val="20"/>
                <w:szCs w:val="20"/>
              </w:rPr>
            </w:pPr>
            <w:r>
              <w:rPr>
                <w:rFonts w:ascii="Times New Roman Regular" w:hAnsi="Times New Roman Regular" w:eastAsia="宋体" w:cs="Times New Roman Regular"/>
                <w:kern w:val="0"/>
                <w:sz w:val="20"/>
                <w:szCs w:val="20"/>
                <w:lang w:bidi="ar"/>
              </w:rPr>
              <w:t>Positive (+)</w:t>
            </w:r>
          </w:p>
        </w:tc>
      </w:tr>
      <w:tr>
        <w:tc>
          <w:tcPr>
            <w:tcW w:w="2071" w:type="dxa"/>
            <w:vMerge w:val="continue"/>
            <w:tcBorders>
              <w:top w:val="nil"/>
              <w:left w:val="nil"/>
              <w:bottom w:val="single" w:color="auto" w:sz="4" w:space="0"/>
              <w:right w:val="nil"/>
            </w:tcBorders>
          </w:tcPr>
          <w:p>
            <w:pPr>
              <w:widowControl/>
              <w:rPr>
                <w:rFonts w:ascii="Times New Roman Regular" w:hAnsi="Times New Roman Regular" w:cs="Times New Roman Regular"/>
                <w:sz w:val="20"/>
                <w:szCs w:val="20"/>
              </w:rPr>
            </w:pPr>
          </w:p>
        </w:tc>
        <w:tc>
          <w:tcPr>
            <w:tcW w:w="5011" w:type="dxa"/>
            <w:tcBorders>
              <w:top w:val="nil"/>
              <w:left w:val="nil"/>
              <w:bottom w:val="single" w:color="auto" w:sz="4" w:space="0"/>
              <w:right w:val="nil"/>
            </w:tcBorders>
          </w:tcPr>
          <w:p>
            <w:pPr>
              <w:widowControl/>
              <w:rPr>
                <w:rFonts w:ascii="Times New Roman Regular" w:hAnsi="Times New Roman Regular" w:cs="Times New Roman Regular"/>
                <w:sz w:val="20"/>
                <w:szCs w:val="20"/>
              </w:rPr>
            </w:pPr>
            <w:r>
              <w:rPr>
                <w:rFonts w:ascii="Times New Roman Regular" w:hAnsi="Times New Roman Regular" w:eastAsia="宋体" w:cs="Times New Roman Regular"/>
                <w:kern w:val="0"/>
                <w:sz w:val="20"/>
                <w:szCs w:val="20"/>
                <w:lang w:bidi="ar"/>
              </w:rPr>
              <w:t>Local government education expenditure</w:t>
            </w:r>
          </w:p>
        </w:tc>
        <w:tc>
          <w:tcPr>
            <w:tcW w:w="1440" w:type="dxa"/>
            <w:tcBorders>
              <w:top w:val="nil"/>
              <w:left w:val="nil"/>
              <w:bottom w:val="single" w:color="auto" w:sz="4" w:space="0"/>
              <w:right w:val="nil"/>
            </w:tcBorders>
          </w:tcPr>
          <w:p>
            <w:pPr>
              <w:widowControl/>
              <w:jc w:val="center"/>
              <w:rPr>
                <w:rFonts w:ascii="Times New Roman Regular" w:hAnsi="Times New Roman Regular" w:cs="Times New Roman Regular"/>
                <w:sz w:val="20"/>
                <w:szCs w:val="20"/>
              </w:rPr>
            </w:pPr>
            <w:r>
              <w:rPr>
                <w:rFonts w:ascii="Times New Roman Regular" w:hAnsi="Times New Roman Regular" w:eastAsia="宋体" w:cs="Times New Roman Regular"/>
                <w:kern w:val="0"/>
                <w:sz w:val="20"/>
                <w:szCs w:val="20"/>
                <w:lang w:bidi="ar"/>
              </w:rPr>
              <w:t>Positive (+)</w:t>
            </w:r>
          </w:p>
        </w:tc>
      </w:tr>
      <w:tr>
        <w:tc>
          <w:tcPr>
            <w:tcW w:w="2071" w:type="dxa"/>
            <w:vMerge w:val="restart"/>
            <w:tcBorders>
              <w:top w:val="single" w:color="auto" w:sz="4" w:space="0"/>
              <w:left w:val="nil"/>
              <w:bottom w:val="nil"/>
              <w:right w:val="nil"/>
            </w:tcBorders>
          </w:tcPr>
          <w:p>
            <w:pPr>
              <w:widowControl/>
              <w:rPr>
                <w:rFonts w:ascii="Times New Roman Regular" w:hAnsi="Times New Roman Regular" w:cs="Times New Roman Regular"/>
                <w:sz w:val="20"/>
                <w:szCs w:val="20"/>
              </w:rPr>
            </w:pPr>
          </w:p>
          <w:p>
            <w:pPr>
              <w:widowControl/>
              <w:rPr>
                <w:rFonts w:ascii="Times New Roman Regular" w:hAnsi="Times New Roman Regular" w:cs="Times New Roman Regular"/>
                <w:sz w:val="20"/>
                <w:szCs w:val="20"/>
              </w:rPr>
            </w:pPr>
            <w:r>
              <w:rPr>
                <w:rFonts w:ascii="Times New Roman Regular" w:hAnsi="Times New Roman Regular" w:eastAsia="宋体" w:cs="Times New Roman Regular"/>
                <w:kern w:val="0"/>
                <w:sz w:val="20"/>
                <w:szCs w:val="20"/>
                <w:lang w:bidi="ar"/>
              </w:rPr>
              <w:t>Employment Remuneration</w:t>
            </w:r>
          </w:p>
        </w:tc>
        <w:tc>
          <w:tcPr>
            <w:tcW w:w="5011" w:type="dxa"/>
            <w:tcBorders>
              <w:top w:val="single" w:color="auto" w:sz="4" w:space="0"/>
              <w:left w:val="nil"/>
              <w:bottom w:val="nil"/>
              <w:right w:val="nil"/>
            </w:tcBorders>
          </w:tcPr>
          <w:p>
            <w:pPr>
              <w:widowControl/>
              <w:rPr>
                <w:rFonts w:ascii="Times New Roman Regular" w:hAnsi="Times New Roman Regular" w:cs="Times New Roman Regular"/>
                <w:sz w:val="20"/>
                <w:szCs w:val="20"/>
              </w:rPr>
            </w:pPr>
            <w:r>
              <w:rPr>
                <w:rFonts w:ascii="Times New Roman Regular" w:hAnsi="Times New Roman Regular" w:eastAsia="宋体" w:cs="Times New Roman Regular"/>
                <w:kern w:val="0"/>
                <w:sz w:val="20"/>
                <w:szCs w:val="20"/>
                <w:lang w:bidi="ar"/>
              </w:rPr>
              <w:t>Number of participants in basic medical insurance</w:t>
            </w:r>
          </w:p>
        </w:tc>
        <w:tc>
          <w:tcPr>
            <w:tcW w:w="1440" w:type="dxa"/>
            <w:tcBorders>
              <w:top w:val="single" w:color="auto" w:sz="4" w:space="0"/>
              <w:left w:val="nil"/>
              <w:bottom w:val="nil"/>
              <w:right w:val="nil"/>
            </w:tcBorders>
          </w:tcPr>
          <w:p>
            <w:pPr>
              <w:widowControl/>
              <w:jc w:val="center"/>
              <w:rPr>
                <w:rFonts w:ascii="Times New Roman Regular" w:hAnsi="Times New Roman Regular" w:cs="Times New Roman Regular"/>
                <w:sz w:val="20"/>
                <w:szCs w:val="20"/>
              </w:rPr>
            </w:pPr>
            <w:r>
              <w:rPr>
                <w:rFonts w:ascii="Times New Roman Regular" w:hAnsi="Times New Roman Regular" w:eastAsia="宋体" w:cs="Times New Roman Regular"/>
                <w:kern w:val="0"/>
                <w:sz w:val="20"/>
                <w:szCs w:val="20"/>
                <w:lang w:bidi="ar"/>
              </w:rPr>
              <w:t>Positive (+)</w:t>
            </w:r>
          </w:p>
        </w:tc>
      </w:tr>
      <w:tr>
        <w:tc>
          <w:tcPr>
            <w:tcW w:w="2071" w:type="dxa"/>
            <w:vMerge w:val="continue"/>
            <w:tcBorders>
              <w:top w:val="nil"/>
              <w:left w:val="nil"/>
              <w:bottom w:val="nil"/>
              <w:right w:val="nil"/>
            </w:tcBorders>
          </w:tcPr>
          <w:p>
            <w:pPr>
              <w:widowControl/>
              <w:rPr>
                <w:rFonts w:ascii="Times New Roman Regular" w:hAnsi="Times New Roman Regular" w:cs="Times New Roman Regular"/>
                <w:sz w:val="20"/>
                <w:szCs w:val="20"/>
              </w:rPr>
            </w:pPr>
          </w:p>
        </w:tc>
        <w:tc>
          <w:tcPr>
            <w:tcW w:w="5011" w:type="dxa"/>
            <w:tcBorders>
              <w:top w:val="nil"/>
              <w:left w:val="nil"/>
              <w:bottom w:val="nil"/>
              <w:right w:val="nil"/>
            </w:tcBorders>
          </w:tcPr>
          <w:p>
            <w:pPr>
              <w:widowControl/>
              <w:rPr>
                <w:rFonts w:ascii="Times New Roman Regular" w:hAnsi="Times New Roman Regular" w:cs="Times New Roman Regular"/>
                <w:sz w:val="20"/>
                <w:szCs w:val="20"/>
              </w:rPr>
            </w:pPr>
            <w:r>
              <w:rPr>
                <w:rFonts w:ascii="Times New Roman Regular" w:hAnsi="Times New Roman Regular" w:eastAsia="宋体" w:cs="Times New Roman Regular"/>
                <w:kern w:val="0"/>
                <w:sz w:val="20"/>
                <w:szCs w:val="20"/>
                <w:lang w:bidi="ar"/>
              </w:rPr>
              <w:t>Number of participants in basic pension insurance</w:t>
            </w:r>
          </w:p>
        </w:tc>
        <w:tc>
          <w:tcPr>
            <w:tcW w:w="1440" w:type="dxa"/>
            <w:tcBorders>
              <w:top w:val="nil"/>
              <w:left w:val="nil"/>
              <w:bottom w:val="nil"/>
              <w:right w:val="nil"/>
            </w:tcBorders>
          </w:tcPr>
          <w:p>
            <w:pPr>
              <w:widowControl/>
              <w:jc w:val="center"/>
              <w:rPr>
                <w:rFonts w:ascii="Times New Roman Regular" w:hAnsi="Times New Roman Regular" w:cs="Times New Roman Regular"/>
                <w:sz w:val="20"/>
                <w:szCs w:val="20"/>
              </w:rPr>
            </w:pPr>
            <w:r>
              <w:rPr>
                <w:rFonts w:ascii="Times New Roman Regular" w:hAnsi="Times New Roman Regular" w:eastAsia="宋体" w:cs="Times New Roman Regular"/>
                <w:kern w:val="0"/>
                <w:sz w:val="20"/>
                <w:szCs w:val="20"/>
                <w:lang w:bidi="ar"/>
              </w:rPr>
              <w:t>Positive (+)</w:t>
            </w:r>
          </w:p>
        </w:tc>
      </w:tr>
      <w:tr>
        <w:tc>
          <w:tcPr>
            <w:tcW w:w="2071" w:type="dxa"/>
            <w:vMerge w:val="continue"/>
            <w:tcBorders>
              <w:top w:val="nil"/>
              <w:left w:val="nil"/>
              <w:bottom w:val="single" w:color="auto" w:sz="4" w:space="0"/>
              <w:right w:val="nil"/>
            </w:tcBorders>
          </w:tcPr>
          <w:p>
            <w:pPr>
              <w:widowControl/>
              <w:rPr>
                <w:rFonts w:ascii="Times New Roman Regular" w:hAnsi="Times New Roman Regular" w:cs="Times New Roman Regular"/>
                <w:sz w:val="20"/>
                <w:szCs w:val="20"/>
              </w:rPr>
            </w:pPr>
          </w:p>
        </w:tc>
        <w:tc>
          <w:tcPr>
            <w:tcW w:w="5011" w:type="dxa"/>
            <w:tcBorders>
              <w:top w:val="nil"/>
              <w:left w:val="nil"/>
              <w:bottom w:val="single" w:color="auto" w:sz="4" w:space="0"/>
              <w:right w:val="nil"/>
            </w:tcBorders>
          </w:tcPr>
          <w:p>
            <w:pPr>
              <w:widowControl/>
              <w:rPr>
                <w:rFonts w:ascii="Times New Roman Regular" w:hAnsi="Times New Roman Regular" w:cs="Times New Roman Regular"/>
                <w:sz w:val="20"/>
                <w:szCs w:val="20"/>
              </w:rPr>
            </w:pPr>
            <w:r>
              <w:rPr>
                <w:rFonts w:ascii="Times New Roman Regular" w:hAnsi="Times New Roman Regular" w:eastAsia="宋体" w:cs="Times New Roman Regular"/>
                <w:kern w:val="0"/>
                <w:sz w:val="20"/>
                <w:szCs w:val="20"/>
                <w:lang w:bidi="ar"/>
              </w:rPr>
              <w:t>Number of participants in unemployment insurance</w:t>
            </w:r>
          </w:p>
        </w:tc>
        <w:tc>
          <w:tcPr>
            <w:tcW w:w="1440" w:type="dxa"/>
            <w:tcBorders>
              <w:top w:val="nil"/>
              <w:left w:val="nil"/>
              <w:bottom w:val="single" w:color="auto" w:sz="4" w:space="0"/>
              <w:right w:val="nil"/>
            </w:tcBorders>
          </w:tcPr>
          <w:p>
            <w:pPr>
              <w:widowControl/>
              <w:jc w:val="center"/>
              <w:rPr>
                <w:rFonts w:ascii="Times New Roman Regular" w:hAnsi="Times New Roman Regular" w:cs="Times New Roman Regular"/>
                <w:sz w:val="20"/>
                <w:szCs w:val="20"/>
              </w:rPr>
            </w:pPr>
            <w:r>
              <w:rPr>
                <w:rFonts w:ascii="Times New Roman Regular" w:hAnsi="Times New Roman Regular" w:eastAsia="宋体" w:cs="Times New Roman Regular"/>
                <w:kern w:val="0"/>
                <w:sz w:val="20"/>
                <w:szCs w:val="20"/>
                <w:lang w:bidi="ar"/>
              </w:rPr>
              <w:t>Positive (+)</w:t>
            </w:r>
          </w:p>
        </w:tc>
      </w:tr>
      <w:tr>
        <w:tc>
          <w:tcPr>
            <w:tcW w:w="2071" w:type="dxa"/>
            <w:vMerge w:val="restart"/>
            <w:tcBorders>
              <w:top w:val="single" w:color="auto" w:sz="4" w:space="0"/>
              <w:left w:val="nil"/>
              <w:bottom w:val="nil"/>
              <w:right w:val="nil"/>
            </w:tcBorders>
          </w:tcPr>
          <w:p>
            <w:pPr>
              <w:widowControl/>
              <w:rPr>
                <w:rFonts w:ascii="Times New Roman Regular" w:hAnsi="Times New Roman Regular" w:cs="Times New Roman Regular"/>
                <w:sz w:val="20"/>
                <w:szCs w:val="20"/>
              </w:rPr>
            </w:pPr>
          </w:p>
          <w:p>
            <w:pPr>
              <w:widowControl/>
              <w:rPr>
                <w:rFonts w:ascii="Times New Roman Regular" w:hAnsi="Times New Roman Regular" w:cs="Times New Roman Regular"/>
                <w:sz w:val="20"/>
                <w:szCs w:val="20"/>
              </w:rPr>
            </w:pPr>
            <w:r>
              <w:rPr>
                <w:rFonts w:ascii="Times New Roman Regular" w:hAnsi="Times New Roman Regular" w:cs="Times New Roman Regular"/>
                <w:sz w:val="20"/>
                <w:szCs w:val="20"/>
              </w:rPr>
              <w:t>Employment</w:t>
            </w:r>
          </w:p>
          <w:p>
            <w:pPr>
              <w:widowControl/>
              <w:rPr>
                <w:rFonts w:ascii="Times New Roman Regular" w:hAnsi="Times New Roman Regular" w:cs="Times New Roman Regular"/>
                <w:sz w:val="20"/>
                <w:szCs w:val="20"/>
              </w:rPr>
            </w:pPr>
            <w:r>
              <w:rPr>
                <w:rFonts w:ascii="Times New Roman Regular" w:hAnsi="Times New Roman Regular" w:cs="Times New Roman Regular"/>
                <w:sz w:val="20"/>
                <w:szCs w:val="20"/>
              </w:rPr>
              <w:t>Environment</w:t>
            </w:r>
          </w:p>
        </w:tc>
        <w:tc>
          <w:tcPr>
            <w:tcW w:w="5011" w:type="dxa"/>
            <w:tcBorders>
              <w:top w:val="single" w:color="auto" w:sz="4" w:space="0"/>
              <w:left w:val="nil"/>
              <w:bottom w:val="nil"/>
              <w:right w:val="nil"/>
            </w:tcBorders>
          </w:tcPr>
          <w:p>
            <w:pPr>
              <w:widowControl/>
              <w:rPr>
                <w:rFonts w:ascii="Times New Roman Regular" w:hAnsi="Times New Roman Regular" w:cs="Times New Roman Regular"/>
                <w:sz w:val="20"/>
                <w:szCs w:val="20"/>
              </w:rPr>
            </w:pPr>
            <w:r>
              <w:rPr>
                <w:rFonts w:ascii="Times New Roman Regular" w:hAnsi="Times New Roman Regular" w:eastAsia="宋体" w:cs="Times New Roman Regular"/>
                <w:kern w:val="0"/>
                <w:sz w:val="20"/>
                <w:szCs w:val="20"/>
                <w:lang w:bidi="ar"/>
              </w:rPr>
              <w:t>Average wage in urban private units</w:t>
            </w:r>
          </w:p>
        </w:tc>
        <w:tc>
          <w:tcPr>
            <w:tcW w:w="1440" w:type="dxa"/>
            <w:tcBorders>
              <w:top w:val="single" w:color="auto" w:sz="4" w:space="0"/>
              <w:left w:val="nil"/>
              <w:bottom w:val="nil"/>
              <w:right w:val="nil"/>
            </w:tcBorders>
          </w:tcPr>
          <w:p>
            <w:pPr>
              <w:widowControl/>
              <w:jc w:val="center"/>
              <w:rPr>
                <w:rFonts w:ascii="Times New Roman Regular" w:hAnsi="Times New Roman Regular" w:cs="Times New Roman Regular"/>
                <w:sz w:val="20"/>
                <w:szCs w:val="20"/>
              </w:rPr>
            </w:pPr>
            <w:r>
              <w:rPr>
                <w:rFonts w:ascii="Times New Roman Regular" w:hAnsi="Times New Roman Regular" w:eastAsia="宋体" w:cs="Times New Roman Regular"/>
                <w:kern w:val="0"/>
                <w:sz w:val="20"/>
                <w:szCs w:val="20"/>
                <w:lang w:bidi="ar"/>
              </w:rPr>
              <w:t>Positive (+)</w:t>
            </w:r>
          </w:p>
        </w:tc>
      </w:tr>
      <w:tr>
        <w:trPr>
          <w:trHeight w:val="90" w:hRule="atLeast"/>
        </w:trPr>
        <w:tc>
          <w:tcPr>
            <w:tcW w:w="2071" w:type="dxa"/>
            <w:vMerge w:val="continue"/>
            <w:tcBorders>
              <w:top w:val="nil"/>
              <w:left w:val="nil"/>
              <w:bottom w:val="nil"/>
              <w:right w:val="nil"/>
            </w:tcBorders>
          </w:tcPr>
          <w:p>
            <w:pPr>
              <w:widowControl/>
              <w:rPr>
                <w:rFonts w:ascii="Times New Roman Regular" w:hAnsi="Times New Roman Regular" w:cs="Times New Roman Regular"/>
                <w:sz w:val="20"/>
                <w:szCs w:val="20"/>
              </w:rPr>
            </w:pPr>
          </w:p>
        </w:tc>
        <w:tc>
          <w:tcPr>
            <w:tcW w:w="5011" w:type="dxa"/>
            <w:tcBorders>
              <w:top w:val="nil"/>
              <w:left w:val="nil"/>
              <w:bottom w:val="nil"/>
              <w:right w:val="nil"/>
            </w:tcBorders>
          </w:tcPr>
          <w:p>
            <w:pPr>
              <w:widowControl/>
              <w:rPr>
                <w:rFonts w:ascii="Times New Roman Regular" w:hAnsi="Times New Roman Regular" w:cs="Times New Roman Regular"/>
                <w:sz w:val="20"/>
                <w:szCs w:val="20"/>
              </w:rPr>
            </w:pPr>
            <w:r>
              <w:rPr>
                <w:rFonts w:ascii="Times New Roman Regular" w:hAnsi="Times New Roman Regular" w:eastAsia="宋体" w:cs="Times New Roman Regular"/>
                <w:kern w:val="0"/>
                <w:sz w:val="20"/>
                <w:szCs w:val="20"/>
                <w:lang w:bidi="ar"/>
              </w:rPr>
              <w:t>Number of social security and welfare institutions</w:t>
            </w:r>
          </w:p>
        </w:tc>
        <w:tc>
          <w:tcPr>
            <w:tcW w:w="1440" w:type="dxa"/>
            <w:tcBorders>
              <w:top w:val="nil"/>
              <w:left w:val="nil"/>
              <w:bottom w:val="nil"/>
              <w:right w:val="nil"/>
            </w:tcBorders>
          </w:tcPr>
          <w:p>
            <w:pPr>
              <w:widowControl/>
              <w:jc w:val="center"/>
              <w:rPr>
                <w:rFonts w:ascii="Times New Roman Regular" w:hAnsi="Times New Roman Regular" w:cs="Times New Roman Regular"/>
                <w:sz w:val="20"/>
                <w:szCs w:val="20"/>
              </w:rPr>
            </w:pPr>
            <w:r>
              <w:rPr>
                <w:rFonts w:ascii="Times New Roman Regular" w:hAnsi="Times New Roman Regular" w:eastAsia="宋体" w:cs="Times New Roman Regular"/>
                <w:kern w:val="0"/>
                <w:sz w:val="20"/>
                <w:szCs w:val="20"/>
                <w:lang w:bidi="ar"/>
              </w:rPr>
              <w:t>Positive (+)</w:t>
            </w:r>
          </w:p>
        </w:tc>
      </w:tr>
      <w:tr>
        <w:tc>
          <w:tcPr>
            <w:tcW w:w="2071" w:type="dxa"/>
            <w:vMerge w:val="continue"/>
            <w:tcBorders>
              <w:top w:val="nil"/>
              <w:left w:val="nil"/>
              <w:bottom w:val="nil"/>
              <w:right w:val="nil"/>
            </w:tcBorders>
          </w:tcPr>
          <w:p>
            <w:pPr>
              <w:widowControl/>
              <w:rPr>
                <w:rFonts w:ascii="Times New Roman Regular" w:hAnsi="Times New Roman Regular" w:cs="Times New Roman Regular"/>
                <w:sz w:val="20"/>
                <w:szCs w:val="20"/>
              </w:rPr>
            </w:pPr>
          </w:p>
        </w:tc>
        <w:tc>
          <w:tcPr>
            <w:tcW w:w="5011" w:type="dxa"/>
            <w:tcBorders>
              <w:top w:val="nil"/>
              <w:left w:val="nil"/>
              <w:bottom w:val="nil"/>
              <w:right w:val="nil"/>
            </w:tcBorders>
          </w:tcPr>
          <w:p>
            <w:pPr>
              <w:widowControl/>
              <w:rPr>
                <w:rFonts w:ascii="Times New Roman Regular" w:hAnsi="Times New Roman Regular" w:cs="Times New Roman Regular"/>
                <w:sz w:val="20"/>
                <w:szCs w:val="20"/>
              </w:rPr>
            </w:pPr>
            <w:r>
              <w:rPr>
                <w:rFonts w:ascii="Times New Roman Regular" w:hAnsi="Times New Roman Regular" w:eastAsia="宋体" w:cs="Times New Roman Regular"/>
                <w:kern w:val="0"/>
                <w:sz w:val="20"/>
                <w:szCs w:val="20"/>
                <w:lang w:bidi="ar"/>
              </w:rPr>
              <w:t>Number of books in public libraries</w:t>
            </w:r>
          </w:p>
        </w:tc>
        <w:tc>
          <w:tcPr>
            <w:tcW w:w="1440" w:type="dxa"/>
            <w:tcBorders>
              <w:top w:val="nil"/>
              <w:left w:val="nil"/>
              <w:bottom w:val="nil"/>
              <w:right w:val="nil"/>
            </w:tcBorders>
          </w:tcPr>
          <w:p>
            <w:pPr>
              <w:widowControl/>
              <w:jc w:val="center"/>
              <w:rPr>
                <w:rFonts w:ascii="Times New Roman Regular" w:hAnsi="Times New Roman Regular" w:cs="Times New Roman Regular"/>
                <w:sz w:val="20"/>
                <w:szCs w:val="20"/>
              </w:rPr>
            </w:pPr>
            <w:r>
              <w:rPr>
                <w:rFonts w:ascii="Times New Roman Regular" w:hAnsi="Times New Roman Regular" w:eastAsia="宋体" w:cs="Times New Roman Regular"/>
                <w:kern w:val="0"/>
                <w:sz w:val="20"/>
                <w:szCs w:val="20"/>
                <w:lang w:bidi="ar"/>
              </w:rPr>
              <w:t>Positive (+)</w:t>
            </w:r>
          </w:p>
        </w:tc>
      </w:tr>
      <w:tr>
        <w:tc>
          <w:tcPr>
            <w:tcW w:w="2071" w:type="dxa"/>
            <w:vMerge w:val="continue"/>
            <w:tcBorders>
              <w:top w:val="nil"/>
              <w:left w:val="nil"/>
              <w:bottom w:val="double" w:color="auto" w:sz="4" w:space="0"/>
              <w:right w:val="nil"/>
            </w:tcBorders>
          </w:tcPr>
          <w:p>
            <w:pPr>
              <w:widowControl/>
              <w:rPr>
                <w:rFonts w:ascii="Times New Roman Regular" w:hAnsi="Times New Roman Regular" w:cs="Times New Roman Regular"/>
                <w:sz w:val="20"/>
                <w:szCs w:val="20"/>
              </w:rPr>
            </w:pPr>
          </w:p>
        </w:tc>
        <w:tc>
          <w:tcPr>
            <w:tcW w:w="5011" w:type="dxa"/>
            <w:tcBorders>
              <w:top w:val="nil"/>
              <w:left w:val="nil"/>
              <w:bottom w:val="double" w:color="auto" w:sz="4" w:space="0"/>
              <w:right w:val="nil"/>
            </w:tcBorders>
          </w:tcPr>
          <w:p>
            <w:pPr>
              <w:widowControl/>
              <w:rPr>
                <w:rFonts w:ascii="Times New Roman Regular" w:hAnsi="Times New Roman Regular" w:cs="Times New Roman Regular"/>
                <w:sz w:val="20"/>
                <w:szCs w:val="20"/>
              </w:rPr>
            </w:pPr>
            <w:r>
              <w:rPr>
                <w:rFonts w:ascii="Times New Roman Regular" w:hAnsi="Times New Roman Regular" w:eastAsia="宋体" w:cs="Times New Roman Regular"/>
                <w:kern w:val="0"/>
                <w:sz w:val="20"/>
                <w:szCs w:val="20"/>
                <w:lang w:bidi="ar"/>
              </w:rPr>
              <w:t>Number of hospital beds</w:t>
            </w:r>
          </w:p>
        </w:tc>
        <w:tc>
          <w:tcPr>
            <w:tcW w:w="1440" w:type="dxa"/>
            <w:tcBorders>
              <w:top w:val="nil"/>
              <w:left w:val="nil"/>
              <w:bottom w:val="double" w:color="auto" w:sz="4" w:space="0"/>
              <w:right w:val="nil"/>
            </w:tcBorders>
          </w:tcPr>
          <w:p>
            <w:pPr>
              <w:widowControl/>
              <w:jc w:val="center"/>
              <w:rPr>
                <w:rFonts w:ascii="Times New Roman Regular" w:hAnsi="Times New Roman Regular" w:cs="Times New Roman Regular"/>
                <w:sz w:val="20"/>
                <w:szCs w:val="20"/>
              </w:rPr>
            </w:pPr>
            <w:r>
              <w:rPr>
                <w:rFonts w:ascii="Times New Roman Regular" w:hAnsi="Times New Roman Regular" w:eastAsia="宋体" w:cs="Times New Roman Regular"/>
                <w:kern w:val="0"/>
                <w:sz w:val="20"/>
                <w:szCs w:val="20"/>
                <w:lang w:bidi="ar"/>
              </w:rPr>
              <w:t>Positive (+)</w:t>
            </w:r>
          </w:p>
        </w:tc>
      </w:tr>
    </w:tbl>
    <w:p>
      <w:pPr>
        <w:rPr>
          <w:rFonts w:ascii="Times New Roman Regular" w:hAnsi="Times New Roman Regular" w:cs="Times New Roman Regular"/>
          <w:b/>
          <w:bCs/>
          <w:sz w:val="22"/>
          <w:szCs w:val="22"/>
        </w:rPr>
      </w:pPr>
    </w:p>
    <w:p>
      <w:pPr>
        <w:spacing w:before="0" w:beforeLines="0" w:after="157" w:afterLines="50"/>
        <w:rPr>
          <w:rFonts w:ascii="Times New Roman Bold Italic" w:hAnsi="Times New Roman Bold Italic" w:cs="Times New Roman Bold Italic"/>
          <w:b/>
          <w:bCs/>
          <w:i/>
          <w:iCs/>
          <w:sz w:val="24"/>
        </w:rPr>
      </w:pPr>
      <w:r>
        <w:rPr>
          <w:rFonts w:hint="eastAsia" w:ascii="Times New Roman Bold Italic" w:hAnsi="Times New Roman Bold Italic" w:cs="Times New Roman Bold Italic"/>
          <w:b/>
          <w:bCs/>
          <w:i/>
          <w:iCs/>
          <w:sz w:val="24"/>
          <w:lang w:val="en-US" w:eastAsia="zh-CN"/>
        </w:rPr>
        <w:t>3</w:t>
      </w:r>
      <w:r>
        <w:rPr>
          <w:rFonts w:ascii="Times New Roman Bold Italic" w:hAnsi="Times New Roman Bold Italic" w:cs="Times New Roman Bold Italic"/>
          <w:b/>
          <w:bCs/>
          <w:i/>
          <w:iCs/>
          <w:sz w:val="24"/>
        </w:rPr>
        <w:t xml:space="preserve">.2.2. </w:t>
      </w:r>
      <w:r>
        <w:rPr>
          <w:rFonts w:ascii="Times New Roman Bold" w:hAnsi="Times New Roman Bold" w:cs="Times New Roman Bold"/>
          <w:b/>
          <w:bCs/>
          <w:sz w:val="24"/>
        </w:rPr>
        <w:t xml:space="preserve">Explanatory </w:t>
      </w:r>
      <w:r>
        <w:rPr>
          <w:rFonts w:ascii="Times New Roman Bold Italic" w:hAnsi="Times New Roman Bold Italic" w:cs="Times New Roman Bold Italic"/>
          <w:b/>
          <w:bCs/>
          <w:i/>
          <w:iCs/>
          <w:sz w:val="24"/>
        </w:rPr>
        <w:t>variables</w:t>
      </w:r>
    </w:p>
    <w:p>
      <w:pPr>
        <w:spacing w:before="0" w:beforeLines="0"/>
        <w:ind w:firstLine="240" w:firstLineChars="100"/>
        <w:rPr>
          <w:rFonts w:ascii="Times New Roman Regular" w:hAnsi="Times New Roman Regular" w:cs="Times New Roman Regular"/>
          <w:sz w:val="24"/>
        </w:rPr>
      </w:pPr>
      <w:r>
        <w:rPr>
          <w:rFonts w:ascii="Times New Roman Regular" w:hAnsi="Times New Roman Regular" w:cs="Times New Roman Regular"/>
          <w:sz w:val="24"/>
        </w:rPr>
        <w:t xml:space="preserve">The core explanatory variable in this study is the interaction term treatit*postit, representing the implementation effect of China’s National New-type Urbanization Pilot Policy. Specifically, treatit is a dummy variable equal to 1 if cityi is designated as a pilot city, and 0 otherwise; postit is a time dummy equal to 1 for years after the policy implementation, and 0 before. The interaction term captures the </w:t>
      </w:r>
      <w:r>
        <w:rPr>
          <w:rFonts w:hint="eastAsia" w:ascii="Times New Roman Regular" w:hAnsi="Times New Roman Regular" w:cs="Times New Roman Regular"/>
          <w:sz w:val="24"/>
          <w:lang w:val="en-US" w:eastAsia="zh-CN"/>
        </w:rPr>
        <w:t>DID</w:t>
      </w:r>
      <w:r>
        <w:rPr>
          <w:rFonts w:ascii="Times New Roman Regular" w:hAnsi="Times New Roman Regular" w:cs="Times New Roman Regular"/>
          <w:sz w:val="24"/>
        </w:rPr>
        <w:t xml:space="preserve"> effect, measuring the average treatment effect of the urbanization policy on treated cities over time.</w:t>
      </w:r>
    </w:p>
    <w:p>
      <w:pPr>
        <w:spacing w:before="157" w:beforeLines="50" w:after="157" w:afterLines="50"/>
        <w:rPr>
          <w:rFonts w:ascii="Times New Roman Bold Italic" w:hAnsi="Times New Roman Bold Italic" w:cs="Times New Roman Bold Italic"/>
          <w:b/>
          <w:bCs/>
          <w:i/>
          <w:iCs/>
          <w:sz w:val="24"/>
        </w:rPr>
      </w:pPr>
      <w:r>
        <w:rPr>
          <w:rFonts w:hint="eastAsia" w:ascii="Times New Roman Bold Italic" w:hAnsi="Times New Roman Bold Italic" w:cs="Times New Roman Bold Italic"/>
          <w:b/>
          <w:bCs/>
          <w:i/>
          <w:iCs/>
          <w:sz w:val="24"/>
          <w:lang w:val="en-US" w:eastAsia="zh-CN"/>
        </w:rPr>
        <w:t>3</w:t>
      </w:r>
      <w:r>
        <w:rPr>
          <w:rFonts w:ascii="Times New Roman Bold Italic" w:hAnsi="Times New Roman Bold Italic" w:cs="Times New Roman Bold Italic"/>
          <w:b/>
          <w:bCs/>
          <w:i/>
          <w:iCs/>
          <w:sz w:val="24"/>
        </w:rPr>
        <w:t xml:space="preserve">.2.3. Control </w:t>
      </w:r>
      <w:r>
        <w:rPr>
          <w:rFonts w:ascii="Times New Roman Bold" w:hAnsi="Times New Roman Bold" w:cs="Times New Roman Bold"/>
          <w:b/>
          <w:bCs/>
          <w:i/>
          <w:iCs/>
          <w:sz w:val="24"/>
        </w:rPr>
        <w:t>variables</w:t>
      </w:r>
    </w:p>
    <w:p>
      <w:pPr>
        <w:widowControl/>
        <w:spacing w:before="0" w:beforeLines="-2147483648"/>
        <w:ind w:firstLine="0" w:firstLineChars="0"/>
        <w:rPr>
          <w:rStyle w:val="16"/>
          <w:rFonts w:hint="default"/>
          <w:lang w:val="en-US" w:eastAsia="zh-CN"/>
        </w:rPr>
      </w:pPr>
      <w:r>
        <w:rPr>
          <w:rFonts w:ascii="Times New Roman Regular" w:hAnsi="Times New Roman Regular" w:eastAsia="宋体" w:cs="Times New Roman Regular"/>
          <w:kern w:val="0"/>
          <w:sz w:val="24"/>
          <w:szCs w:val="24"/>
          <w:lang w:val="en-US" w:eastAsia="zh-CN" w:bidi="ar"/>
        </w:rPr>
        <w:t xml:space="preserve">To account for confounding factors affecting urban employment quality, this study includes several city-level control variables widely adopted in urban and regional economics. </w:t>
      </w:r>
      <w:r>
        <w:rPr>
          <w:rStyle w:val="13"/>
          <w:rFonts w:ascii="Times New Roman Regular" w:hAnsi="Times New Roman Regular" w:eastAsia="宋体" w:cs="Times New Roman Regular"/>
          <w:b w:val="0"/>
          <w:kern w:val="0"/>
          <w:sz w:val="24"/>
          <w:szCs w:val="24"/>
          <w:lang w:val="en-US" w:eastAsia="zh-CN" w:bidi="ar"/>
        </w:rPr>
        <w:t>Economic development (</w:t>
      </w:r>
      <w:r>
        <w:rPr>
          <w:rStyle w:val="13"/>
          <w:rFonts w:ascii="Times New Roman Italic" w:hAnsi="Times New Roman Italic" w:eastAsia="宋体" w:cs="Times New Roman Italic"/>
          <w:b w:val="0"/>
          <w:i/>
          <w:iCs/>
          <w:kern w:val="0"/>
          <w:sz w:val="24"/>
          <w:szCs w:val="24"/>
          <w:lang w:val="en-US" w:eastAsia="zh-CN" w:bidi="ar"/>
        </w:rPr>
        <w:t>econ</w:t>
      </w:r>
      <w:r>
        <w:rPr>
          <w:rStyle w:val="13"/>
          <w:rFonts w:ascii="Times New Roman Regular" w:hAnsi="Times New Roman Regular" w:eastAsia="宋体" w:cs="Times New Roman Regular"/>
          <w:b w:val="0"/>
          <w:kern w:val="0"/>
          <w:sz w:val="24"/>
          <w:szCs w:val="24"/>
          <w:lang w:val="en-US" w:eastAsia="zh-CN" w:bidi="ar"/>
        </w:rPr>
        <w:t>)</w:t>
      </w:r>
      <w:r>
        <w:rPr>
          <w:rFonts w:ascii="Times New Roman Regular" w:hAnsi="Times New Roman Regular" w:eastAsia="宋体" w:cs="Times New Roman Regular"/>
          <w:kern w:val="0"/>
          <w:sz w:val="24"/>
          <w:szCs w:val="24"/>
          <w:lang w:val="en-US" w:eastAsia="zh-CN" w:bidi="ar"/>
        </w:rPr>
        <w:t xml:space="preserve"> reflects income and productivity differences that shape labor demand (</w:t>
      </w:r>
      <w:r>
        <w:rPr>
          <w:rFonts w:ascii="Times New Roman Regular" w:hAnsi="Times New Roman Regular" w:eastAsia="宋体" w:cs="Times New Roman Regular"/>
          <w:i w:val="0"/>
          <w:iCs w:val="0"/>
          <w:caps w:val="0"/>
          <w:color w:val="222222"/>
          <w:spacing w:val="0"/>
          <w:kern w:val="0"/>
          <w:sz w:val="24"/>
          <w:szCs w:val="24"/>
          <w:shd w:val="clear" w:fill="FFFFFF"/>
          <w:lang w:val="en-US" w:eastAsia="zh-CN" w:bidi="ar"/>
        </w:rPr>
        <w:t>Aghion</w:t>
      </w:r>
      <w:r>
        <w:rPr>
          <w:rFonts w:hint="default" w:ascii="Times New Roman Regular" w:hAnsi="Times New Roman Regular" w:eastAsia="宋体" w:cs="Times New Roman Regular"/>
          <w:i w:val="0"/>
          <w:iCs w:val="0"/>
          <w:caps w:val="0"/>
          <w:color w:val="222222"/>
          <w:spacing w:val="0"/>
          <w:kern w:val="0"/>
          <w:sz w:val="24"/>
          <w:szCs w:val="24"/>
          <w:shd w:val="clear" w:fill="FFFFFF"/>
          <w:lang w:val="en-US" w:eastAsia="zh-CN" w:bidi="ar"/>
        </w:rPr>
        <w:t xml:space="preserve"> et.al</w:t>
      </w:r>
      <w:r>
        <w:rPr>
          <w:rFonts w:ascii="Times New Roman Regular" w:hAnsi="Times New Roman Regular" w:eastAsia="宋体" w:cs="Times New Roman Regular"/>
          <w:kern w:val="0"/>
          <w:sz w:val="24"/>
          <w:szCs w:val="24"/>
          <w:lang w:val="en-US" w:eastAsia="zh-CN" w:bidi="ar"/>
        </w:rPr>
        <w:t>, 20</w:t>
      </w:r>
      <w:r>
        <w:rPr>
          <w:rFonts w:hint="default" w:ascii="Times New Roman Regular" w:hAnsi="Times New Roman Regular" w:eastAsia="宋体" w:cs="Times New Roman Regular"/>
          <w:kern w:val="0"/>
          <w:sz w:val="24"/>
          <w:szCs w:val="24"/>
          <w:lang w:val="en-US" w:eastAsia="zh-CN" w:bidi="ar"/>
        </w:rPr>
        <w:t>21</w:t>
      </w:r>
      <w:r>
        <w:rPr>
          <w:rFonts w:ascii="Times New Roman Regular" w:hAnsi="Times New Roman Regular" w:eastAsia="宋体" w:cs="Times New Roman Regular"/>
          <w:kern w:val="0"/>
          <w:sz w:val="24"/>
          <w:szCs w:val="24"/>
          <w:lang w:val="en-US" w:eastAsia="zh-CN" w:bidi="ar"/>
        </w:rPr>
        <w:t xml:space="preserve">). </w:t>
      </w:r>
      <w:r>
        <w:rPr>
          <w:rStyle w:val="13"/>
          <w:rFonts w:ascii="Times New Roman Regular" w:hAnsi="Times New Roman Regular" w:eastAsia="宋体" w:cs="Times New Roman Regular"/>
          <w:b w:val="0"/>
          <w:kern w:val="0"/>
          <w:sz w:val="24"/>
          <w:szCs w:val="24"/>
          <w:lang w:val="en-US" w:eastAsia="zh-CN" w:bidi="ar"/>
        </w:rPr>
        <w:t>Government size (</w:t>
      </w:r>
      <w:r>
        <w:rPr>
          <w:rStyle w:val="13"/>
          <w:rFonts w:ascii="Times New Roman Italic" w:hAnsi="Times New Roman Italic" w:eastAsia="宋体" w:cs="Times New Roman Italic"/>
          <w:b w:val="0"/>
          <w:i/>
          <w:iCs/>
          <w:kern w:val="0"/>
          <w:sz w:val="24"/>
          <w:szCs w:val="24"/>
          <w:lang w:val="en-US" w:eastAsia="zh-CN" w:bidi="ar"/>
        </w:rPr>
        <w:t>gov</w:t>
      </w:r>
      <w:r>
        <w:rPr>
          <w:rStyle w:val="13"/>
          <w:rFonts w:ascii="Times New Roman Regular" w:hAnsi="Times New Roman Regular" w:eastAsia="宋体" w:cs="Times New Roman Regular"/>
          <w:b w:val="0"/>
          <w:kern w:val="0"/>
          <w:sz w:val="24"/>
          <w:szCs w:val="24"/>
          <w:lang w:val="en-US" w:eastAsia="zh-CN" w:bidi="ar"/>
        </w:rPr>
        <w:t>)</w:t>
      </w:r>
      <w:r>
        <w:rPr>
          <w:rFonts w:ascii="Times New Roman Regular" w:hAnsi="Times New Roman Regular" w:eastAsia="宋体" w:cs="Times New Roman Regular"/>
          <w:kern w:val="0"/>
          <w:sz w:val="24"/>
          <w:szCs w:val="24"/>
          <w:lang w:val="en-US" w:eastAsia="zh-CN" w:bidi="ar"/>
        </w:rPr>
        <w:t xml:space="preserve"> captures fiscal capacity and public service provision influencing employment quality (</w:t>
      </w:r>
      <w:r>
        <w:rPr>
          <w:rFonts w:ascii="Times New Roman Regular" w:hAnsi="Times New Roman Regular" w:eastAsia="宋体" w:cs="Times New Roman Regular"/>
          <w:i w:val="0"/>
          <w:iCs w:val="0"/>
          <w:caps w:val="0"/>
          <w:color w:val="222222"/>
          <w:spacing w:val="0"/>
          <w:kern w:val="0"/>
          <w:sz w:val="24"/>
          <w:szCs w:val="24"/>
          <w:shd w:val="clear" w:fill="FFFFFF"/>
          <w:lang w:val="en-US" w:eastAsia="zh-CN" w:bidi="ar"/>
        </w:rPr>
        <w:t>Banerjee</w:t>
      </w:r>
      <w:r>
        <w:rPr>
          <w:rFonts w:ascii="Times New Roman Regular" w:hAnsi="Times New Roman Regular" w:eastAsia="宋体" w:cs="Times New Roman Regular"/>
          <w:kern w:val="0"/>
          <w:sz w:val="24"/>
          <w:szCs w:val="24"/>
          <w:lang w:val="en-US" w:eastAsia="zh-CN" w:bidi="ar"/>
        </w:rPr>
        <w:t xml:space="preserve"> et al., 2020). While conceptually related, labor participation rate</w:t>
      </w:r>
      <w:r>
        <w:rPr>
          <w:rFonts w:hint="default" w:ascii="Times New Roman Regular" w:hAnsi="Times New Roman Regular" w:eastAsia="宋体" w:cs="Times New Roman Regular"/>
          <w:kern w:val="0"/>
          <w:sz w:val="24"/>
          <w:szCs w:val="24"/>
          <w:lang w:val="en-US" w:eastAsia="zh-CN" w:bidi="ar"/>
        </w:rPr>
        <w:t xml:space="preserve"> (</w:t>
      </w:r>
      <w:r>
        <w:rPr>
          <w:rFonts w:hint="default" w:ascii="Times New Roman Italic" w:hAnsi="Times New Roman Italic" w:eastAsia="宋体" w:cs="Times New Roman Italic"/>
          <w:i/>
          <w:iCs/>
          <w:kern w:val="0"/>
          <w:sz w:val="24"/>
          <w:szCs w:val="24"/>
          <w:lang w:val="en-US" w:eastAsia="zh-CN" w:bidi="ar"/>
        </w:rPr>
        <w:t>l</w:t>
      </w:r>
      <w:r>
        <w:rPr>
          <w:rFonts w:hint="eastAsia" w:ascii="Times New Roman Italic" w:hAnsi="Times New Roman Italic" w:eastAsia="宋体" w:cs="Times New Roman Italic"/>
          <w:i/>
          <w:iCs/>
          <w:kern w:val="0"/>
          <w:sz w:val="24"/>
          <w:szCs w:val="24"/>
          <w:lang w:val="en-US" w:eastAsia="zh-CN" w:bidi="ar"/>
        </w:rPr>
        <w:t>pr</w:t>
      </w:r>
      <w:r>
        <w:rPr>
          <w:rFonts w:hint="default" w:ascii="Times New Roman Regular" w:hAnsi="Times New Roman Regular" w:eastAsia="宋体" w:cs="Times New Roman Regular"/>
          <w:kern w:val="0"/>
          <w:sz w:val="24"/>
          <w:szCs w:val="24"/>
          <w:lang w:val="en-US" w:eastAsia="zh-CN" w:bidi="ar"/>
        </w:rPr>
        <w:t>)</w:t>
      </w:r>
      <w:r>
        <w:rPr>
          <w:rFonts w:ascii="Times New Roman Regular" w:hAnsi="Times New Roman Regular" w:eastAsia="宋体" w:cs="Times New Roman Regular"/>
          <w:kern w:val="0"/>
          <w:sz w:val="24"/>
          <w:szCs w:val="24"/>
          <w:lang w:val="en-US" w:eastAsia="zh-CN" w:bidi="ar"/>
        </w:rPr>
        <w:t xml:space="preserve"> reflects labor supply rather than employment outcomes; thus, it is included as a complementary control.</w:t>
      </w:r>
      <w:r>
        <w:rPr>
          <w:rFonts w:hint="default" w:ascii="Times New Roman Regular" w:hAnsi="Times New Roman Regular" w:eastAsia="宋体" w:cs="Times New Roman Regular"/>
          <w:kern w:val="0"/>
          <w:sz w:val="24"/>
          <w:szCs w:val="24"/>
          <w:lang w:val="en-US" w:eastAsia="zh-CN" w:bidi="ar"/>
        </w:rPr>
        <w:t xml:space="preserve"> </w:t>
      </w:r>
      <w:r>
        <w:rPr>
          <w:rStyle w:val="13"/>
          <w:rFonts w:ascii="Times New Roman Regular" w:hAnsi="Times New Roman Regular" w:eastAsia="宋体" w:cs="Times New Roman Regular"/>
          <w:b w:val="0"/>
          <w:kern w:val="0"/>
          <w:sz w:val="24"/>
          <w:szCs w:val="24"/>
          <w:lang w:val="en-US" w:eastAsia="zh-CN" w:bidi="ar"/>
        </w:rPr>
        <w:t>Infrastructure (</w:t>
      </w:r>
      <w:r>
        <w:rPr>
          <w:rStyle w:val="13"/>
          <w:rFonts w:ascii="Times New Roman Italic" w:hAnsi="Times New Roman Italic" w:eastAsia="宋体" w:cs="Times New Roman Italic"/>
          <w:b w:val="0"/>
          <w:i/>
          <w:iCs/>
          <w:kern w:val="0"/>
          <w:sz w:val="24"/>
          <w:szCs w:val="24"/>
          <w:lang w:val="en-US" w:eastAsia="zh-CN" w:bidi="ar"/>
        </w:rPr>
        <w:t>infra</w:t>
      </w:r>
      <w:r>
        <w:rPr>
          <w:rStyle w:val="13"/>
          <w:rFonts w:ascii="Times New Roman Regular" w:hAnsi="Times New Roman Regular" w:eastAsia="宋体" w:cs="Times New Roman Regular"/>
          <w:b w:val="0"/>
          <w:kern w:val="0"/>
          <w:sz w:val="24"/>
          <w:szCs w:val="24"/>
          <w:lang w:val="en-US" w:eastAsia="zh-CN" w:bidi="ar"/>
        </w:rPr>
        <w:t>)</w:t>
      </w:r>
      <w:r>
        <w:rPr>
          <w:rFonts w:ascii="Times New Roman Regular" w:hAnsi="Times New Roman Regular" w:eastAsia="宋体" w:cs="Times New Roman Regular"/>
          <w:kern w:val="0"/>
          <w:sz w:val="24"/>
          <w:szCs w:val="24"/>
          <w:lang w:val="en-US" w:eastAsia="zh-CN" w:bidi="ar"/>
        </w:rPr>
        <w:t xml:space="preserve"> affects accessibility and firm agglomeration (</w:t>
      </w:r>
      <w:r>
        <w:rPr>
          <w:rFonts w:ascii="Times New Roman Regular" w:hAnsi="Times New Roman Regular" w:eastAsia="宋体" w:cs="Times New Roman Regular"/>
          <w:i w:val="0"/>
          <w:iCs w:val="0"/>
          <w:caps w:val="0"/>
          <w:color w:val="222222"/>
          <w:spacing w:val="0"/>
          <w:kern w:val="0"/>
          <w:sz w:val="24"/>
          <w:szCs w:val="24"/>
          <w:shd w:val="clear" w:fill="FFFFFF"/>
          <w:lang w:val="en-US" w:eastAsia="zh-CN" w:bidi="ar"/>
        </w:rPr>
        <w:t>Duranton</w:t>
      </w:r>
      <w:r>
        <w:rPr>
          <w:rFonts w:ascii="Times New Roman Regular" w:hAnsi="Times New Roman Regular" w:eastAsia="宋体" w:cs="Times New Roman Regular"/>
          <w:kern w:val="0"/>
          <w:sz w:val="24"/>
          <w:szCs w:val="24"/>
          <w:lang w:val="en-US" w:eastAsia="zh-CN" w:bidi="ar"/>
        </w:rPr>
        <w:t xml:space="preserve"> et al., 20</w:t>
      </w:r>
      <w:r>
        <w:rPr>
          <w:rFonts w:hint="default" w:ascii="Times New Roman Regular" w:hAnsi="Times New Roman Regular" w:eastAsia="宋体" w:cs="Times New Roman Regular"/>
          <w:kern w:val="0"/>
          <w:sz w:val="24"/>
          <w:szCs w:val="24"/>
          <w:lang w:val="en-US" w:eastAsia="zh-CN" w:bidi="ar"/>
        </w:rPr>
        <w:t>23</w:t>
      </w:r>
      <w:r>
        <w:rPr>
          <w:rFonts w:ascii="Times New Roman Regular" w:hAnsi="Times New Roman Regular" w:eastAsia="宋体" w:cs="Times New Roman Regular"/>
          <w:kern w:val="0"/>
          <w:sz w:val="24"/>
          <w:szCs w:val="24"/>
          <w:lang w:val="en-US" w:eastAsia="zh-CN" w:bidi="ar"/>
        </w:rPr>
        <w:t xml:space="preserve">). </w:t>
      </w:r>
      <w:r>
        <w:rPr>
          <w:rStyle w:val="13"/>
          <w:rFonts w:ascii="Times New Roman Regular" w:hAnsi="Times New Roman Regular" w:eastAsia="宋体" w:cs="Times New Roman Regular"/>
          <w:b w:val="0"/>
          <w:kern w:val="0"/>
          <w:sz w:val="24"/>
          <w:szCs w:val="24"/>
          <w:lang w:val="en-US" w:eastAsia="zh-CN" w:bidi="ar"/>
        </w:rPr>
        <w:t>Openness (</w:t>
      </w:r>
      <w:r>
        <w:rPr>
          <w:rStyle w:val="13"/>
          <w:rFonts w:ascii="Times New Roman Italic" w:hAnsi="Times New Roman Italic" w:eastAsia="宋体" w:cs="Times New Roman Italic"/>
          <w:b w:val="0"/>
          <w:i/>
          <w:iCs/>
          <w:kern w:val="0"/>
          <w:sz w:val="24"/>
          <w:szCs w:val="24"/>
          <w:lang w:val="en-US" w:eastAsia="zh-CN" w:bidi="ar"/>
        </w:rPr>
        <w:t>open</w:t>
      </w:r>
      <w:r>
        <w:rPr>
          <w:rStyle w:val="13"/>
          <w:rFonts w:ascii="Times New Roman Regular" w:hAnsi="Times New Roman Regular" w:eastAsia="宋体" w:cs="Times New Roman Regular"/>
          <w:b w:val="0"/>
          <w:kern w:val="0"/>
          <w:sz w:val="24"/>
          <w:szCs w:val="24"/>
          <w:lang w:val="en-US" w:eastAsia="zh-CN" w:bidi="ar"/>
        </w:rPr>
        <w:t>)</w:t>
      </w:r>
      <w:r>
        <w:rPr>
          <w:rFonts w:ascii="Times New Roman Regular" w:hAnsi="Times New Roman Regular" w:eastAsia="宋体" w:cs="Times New Roman Regular"/>
          <w:kern w:val="0"/>
          <w:sz w:val="24"/>
          <w:szCs w:val="24"/>
          <w:lang w:val="en-US" w:eastAsia="zh-CN" w:bidi="ar"/>
        </w:rPr>
        <w:t xml:space="preserve"> promotes technology spillovers through FDI (</w:t>
      </w:r>
      <w:r>
        <w:rPr>
          <w:rFonts w:hint="eastAsia" w:ascii="Times New Roman Regular" w:hAnsi="Times New Roman Regular" w:eastAsia="宋体" w:cs="Times New Roman Regular"/>
          <w:kern w:val="0"/>
          <w:sz w:val="24"/>
          <w:szCs w:val="24"/>
          <w:lang w:val="en-US" w:eastAsia="zh-CN" w:bidi="ar"/>
        </w:rPr>
        <w:t>Yuan</w:t>
      </w:r>
      <w:r>
        <w:rPr>
          <w:rFonts w:ascii="Times New Roman Regular" w:hAnsi="Times New Roman Regular" w:eastAsia="宋体" w:cs="Times New Roman Regular"/>
          <w:kern w:val="0"/>
          <w:sz w:val="24"/>
          <w:szCs w:val="24"/>
          <w:lang w:val="en-US" w:eastAsia="zh-CN" w:bidi="ar"/>
        </w:rPr>
        <w:t xml:space="preserve"> et al., 202</w:t>
      </w:r>
      <w:r>
        <w:rPr>
          <w:rFonts w:hint="eastAsia" w:ascii="Times New Roman Regular" w:hAnsi="Times New Roman Regular" w:eastAsia="宋体" w:cs="Times New Roman Regular"/>
          <w:kern w:val="0"/>
          <w:sz w:val="24"/>
          <w:szCs w:val="24"/>
          <w:lang w:val="en-US" w:eastAsia="zh-CN" w:bidi="ar"/>
        </w:rPr>
        <w:t>5</w:t>
      </w:r>
      <w:r>
        <w:rPr>
          <w:rFonts w:ascii="Times New Roman Regular" w:hAnsi="Times New Roman Regular" w:eastAsia="宋体" w:cs="Times New Roman Regular"/>
          <w:kern w:val="0"/>
          <w:sz w:val="24"/>
          <w:szCs w:val="24"/>
          <w:lang w:val="en-US" w:eastAsia="zh-CN" w:bidi="ar"/>
        </w:rPr>
        <w:t xml:space="preserve">). </w:t>
      </w:r>
      <w:r>
        <w:rPr>
          <w:rStyle w:val="13"/>
          <w:rFonts w:ascii="Times New Roman Regular" w:hAnsi="Times New Roman Regular" w:eastAsia="宋体" w:cs="Times New Roman Regular"/>
          <w:b w:val="0"/>
          <w:kern w:val="0"/>
          <w:sz w:val="24"/>
          <w:szCs w:val="24"/>
          <w:lang w:val="en-US" w:eastAsia="zh-CN" w:bidi="ar"/>
        </w:rPr>
        <w:t>Urbanization rate (</w:t>
      </w:r>
      <w:r>
        <w:rPr>
          <w:rStyle w:val="13"/>
          <w:rFonts w:ascii="Times New Roman Italic" w:hAnsi="Times New Roman Italic" w:eastAsia="宋体" w:cs="Times New Roman Italic"/>
          <w:b w:val="0"/>
          <w:i/>
          <w:iCs/>
          <w:kern w:val="0"/>
          <w:sz w:val="24"/>
          <w:szCs w:val="24"/>
          <w:lang w:val="en-US" w:eastAsia="zh-CN" w:bidi="ar"/>
        </w:rPr>
        <w:t>urban</w:t>
      </w:r>
      <w:r>
        <w:rPr>
          <w:rStyle w:val="13"/>
          <w:rFonts w:ascii="Times New Roman Regular" w:hAnsi="Times New Roman Regular" w:eastAsia="宋体" w:cs="Times New Roman Regular"/>
          <w:b w:val="0"/>
          <w:kern w:val="0"/>
          <w:sz w:val="24"/>
          <w:szCs w:val="24"/>
          <w:lang w:val="en-US" w:eastAsia="zh-CN" w:bidi="ar"/>
        </w:rPr>
        <w:t>)</w:t>
      </w:r>
      <w:r>
        <w:rPr>
          <w:rFonts w:ascii="Times New Roman Regular" w:hAnsi="Times New Roman Regular" w:eastAsia="宋体" w:cs="Times New Roman Regular"/>
          <w:kern w:val="0"/>
          <w:sz w:val="24"/>
          <w:szCs w:val="24"/>
          <w:lang w:val="en-US" w:eastAsia="zh-CN" w:bidi="ar"/>
        </w:rPr>
        <w:t xml:space="preserve"> represents agglomeration effects(</w:t>
      </w:r>
      <w:r>
        <w:rPr>
          <w:rFonts w:hint="eastAsia" w:ascii="Times New Roman Regular" w:hAnsi="Times New Roman Regular" w:eastAsia="宋体" w:cs="Times New Roman Regular"/>
          <w:kern w:val="0"/>
          <w:sz w:val="24"/>
          <w:szCs w:val="24"/>
          <w:lang w:val="en-US" w:eastAsia="zh-CN" w:bidi="ar"/>
        </w:rPr>
        <w:t>Yuan</w:t>
      </w:r>
      <w:r>
        <w:rPr>
          <w:rFonts w:ascii="Times New Roman Regular" w:hAnsi="Times New Roman Regular" w:eastAsia="宋体" w:cs="Times New Roman Regular"/>
          <w:kern w:val="0"/>
          <w:sz w:val="24"/>
          <w:szCs w:val="24"/>
          <w:lang w:val="en-US" w:eastAsia="zh-CN" w:bidi="ar"/>
        </w:rPr>
        <w:t xml:space="preserve"> et al., 202</w:t>
      </w:r>
      <w:r>
        <w:rPr>
          <w:rFonts w:hint="eastAsia" w:ascii="Times New Roman Regular" w:hAnsi="Times New Roman Regular" w:eastAsia="宋体" w:cs="Times New Roman Regular"/>
          <w:kern w:val="0"/>
          <w:sz w:val="24"/>
          <w:szCs w:val="24"/>
          <w:lang w:val="en-US" w:eastAsia="zh-CN" w:bidi="ar"/>
        </w:rPr>
        <w:t>5</w:t>
      </w:r>
      <w:r>
        <w:rPr>
          <w:rFonts w:ascii="Times New Roman Regular" w:hAnsi="Times New Roman Regular" w:eastAsia="宋体" w:cs="Times New Roman Regular"/>
          <w:kern w:val="0"/>
          <w:sz w:val="24"/>
          <w:szCs w:val="24"/>
          <w:lang w:val="en-US" w:eastAsia="zh-CN" w:bidi="ar"/>
        </w:rPr>
        <w:t xml:space="preserve">). </w:t>
      </w:r>
      <w:r>
        <w:rPr>
          <w:rStyle w:val="13"/>
          <w:rFonts w:ascii="Times New Roman Regular" w:hAnsi="Times New Roman Regular" w:eastAsia="宋体" w:cs="Times New Roman Regular"/>
          <w:b w:val="0"/>
          <w:kern w:val="0"/>
          <w:sz w:val="24"/>
          <w:szCs w:val="24"/>
          <w:lang w:val="en-US" w:eastAsia="zh-CN" w:bidi="ar"/>
        </w:rPr>
        <w:t>Education level (</w:t>
      </w:r>
      <w:r>
        <w:rPr>
          <w:rStyle w:val="13"/>
          <w:rFonts w:ascii="Times New Roman Italic" w:hAnsi="Times New Roman Italic" w:eastAsia="宋体" w:cs="Times New Roman Italic"/>
          <w:b w:val="0"/>
          <w:i/>
          <w:iCs/>
          <w:kern w:val="0"/>
          <w:sz w:val="24"/>
          <w:szCs w:val="24"/>
          <w:lang w:val="en-US" w:eastAsia="zh-CN" w:bidi="ar"/>
        </w:rPr>
        <w:t>edu</w:t>
      </w:r>
      <w:r>
        <w:rPr>
          <w:rStyle w:val="13"/>
          <w:rFonts w:ascii="Times New Roman Regular" w:hAnsi="Times New Roman Regular" w:eastAsia="宋体" w:cs="Times New Roman Regular"/>
          <w:b w:val="0"/>
          <w:kern w:val="0"/>
          <w:sz w:val="24"/>
          <w:szCs w:val="24"/>
          <w:lang w:val="en-US" w:eastAsia="zh-CN" w:bidi="ar"/>
        </w:rPr>
        <w:t>)</w:t>
      </w:r>
      <w:r>
        <w:rPr>
          <w:rFonts w:ascii="Times New Roman Regular" w:hAnsi="Times New Roman Regular" w:eastAsia="宋体" w:cs="Times New Roman Regular"/>
          <w:kern w:val="0"/>
          <w:sz w:val="24"/>
          <w:szCs w:val="24"/>
          <w:lang w:val="en-US" w:eastAsia="zh-CN" w:bidi="ar"/>
        </w:rPr>
        <w:t xml:space="preserve">  proxy human capital and innovation dynamics (</w:t>
      </w:r>
      <w:r>
        <w:rPr>
          <w:rFonts w:hint="eastAsia" w:ascii="Times New Roman Regular" w:hAnsi="Times New Roman Regular" w:eastAsia="宋体" w:cs="Times New Roman Regular"/>
          <w:kern w:val="0"/>
          <w:sz w:val="24"/>
          <w:szCs w:val="24"/>
          <w:lang w:val="en-US" w:eastAsia="zh-CN" w:bidi="ar"/>
        </w:rPr>
        <w:t>Zhang</w:t>
      </w:r>
      <w:r>
        <w:rPr>
          <w:rFonts w:ascii="Times New Roman Regular" w:hAnsi="Times New Roman Regular" w:eastAsia="宋体" w:cs="Times New Roman Regular"/>
          <w:kern w:val="0"/>
          <w:sz w:val="24"/>
          <w:szCs w:val="24"/>
          <w:lang w:val="en-US" w:eastAsia="zh-CN" w:bidi="ar"/>
        </w:rPr>
        <w:t xml:space="preserve"> et al., 202</w:t>
      </w:r>
      <w:r>
        <w:rPr>
          <w:rFonts w:hint="eastAsia" w:ascii="Times New Roman Regular" w:hAnsi="Times New Roman Regular" w:eastAsia="宋体" w:cs="Times New Roman Regular"/>
          <w:kern w:val="0"/>
          <w:sz w:val="24"/>
          <w:szCs w:val="24"/>
          <w:lang w:val="en-US" w:eastAsia="zh-CN" w:bidi="ar"/>
        </w:rPr>
        <w:t>0</w:t>
      </w:r>
      <w:r>
        <w:rPr>
          <w:rFonts w:ascii="Times New Roman Regular" w:hAnsi="Times New Roman Regular" w:eastAsia="宋体" w:cs="Times New Roman Regular"/>
          <w:kern w:val="0"/>
          <w:sz w:val="24"/>
          <w:szCs w:val="24"/>
          <w:lang w:val="en-US" w:eastAsia="zh-CN" w:bidi="ar"/>
        </w:rPr>
        <w:t>).  These variables collectively capture major socioeconomic dimensions relevant to both the policy implementation and employment outcomes.</w:t>
      </w:r>
    </w:p>
    <w:p>
      <w:pPr>
        <w:widowControl/>
        <w:spacing w:before="157" w:beforeLines="50" w:after="157" w:afterLines="50"/>
        <w:jc w:val="left"/>
        <w:rPr>
          <w:rFonts w:hint="default" w:ascii="Times New Roman Bold" w:hAnsi="Times New Roman Bold" w:cs="Times New Roman Bold" w:eastAsiaTheme="minorEastAsia"/>
          <w:b/>
          <w:bCs w:val="0"/>
          <w:i w:val="0"/>
          <w:iCs w:val="0"/>
          <w:sz w:val="24"/>
          <w:lang w:val="en-US" w:eastAsia="zh-CN"/>
        </w:rPr>
      </w:pPr>
      <w:r>
        <w:rPr>
          <w:rFonts w:hint="default" w:ascii="Times New Roman Bold" w:hAnsi="Times New Roman Bold" w:cs="Times New Roman Bold"/>
          <w:b/>
          <w:bCs w:val="0"/>
          <w:i w:val="0"/>
          <w:iCs w:val="0"/>
          <w:sz w:val="24"/>
          <w:lang w:val="en-US" w:eastAsia="zh-CN"/>
        </w:rPr>
        <w:t>3</w:t>
      </w:r>
      <w:r>
        <w:rPr>
          <w:rFonts w:ascii="Times New Roman Bold" w:hAnsi="Times New Roman Bold" w:cs="Times New Roman Bold"/>
          <w:b/>
          <w:bCs w:val="0"/>
          <w:i w:val="0"/>
          <w:iCs w:val="0"/>
          <w:sz w:val="24"/>
        </w:rPr>
        <w:t>.3 Data sources</w:t>
      </w:r>
      <w:r>
        <w:rPr>
          <w:rFonts w:hint="default" w:ascii="Times New Roman Bold" w:hAnsi="Times New Roman Bold" w:cs="Times New Roman Bold"/>
          <w:b/>
          <w:bCs w:val="0"/>
          <w:i w:val="0"/>
          <w:iCs w:val="0"/>
          <w:sz w:val="24"/>
          <w:lang w:val="en-US" w:eastAsia="zh-CN"/>
        </w:rPr>
        <w:t xml:space="preserve"> and </w:t>
      </w:r>
      <w:r>
        <w:rPr>
          <w:rFonts w:ascii="Times New Roman Bold" w:hAnsi="Times New Roman Bold" w:eastAsia="CharisSIL-Italic" w:cs="Times New Roman Bold"/>
          <w:b/>
          <w:bCs w:val="0"/>
          <w:i w:val="0"/>
          <w:iCs w:val="0"/>
          <w:color w:val="000000"/>
          <w:kern w:val="0"/>
          <w:sz w:val="24"/>
          <w:szCs w:val="24"/>
          <w:lang w:val="en-US" w:eastAsia="zh-CN" w:bidi="ar"/>
        </w:rPr>
        <w:t>descriptive statistics</w:t>
      </w:r>
    </w:p>
    <w:p>
      <w:pPr>
        <w:spacing w:before="157" w:beforeLines="50" w:after="157" w:afterLines="50"/>
        <w:ind w:firstLine="240" w:firstLineChars="100"/>
        <w:rPr>
          <w:rFonts w:ascii="Times New Roman Regular" w:hAnsi="Times New Roman Regular" w:cs="Times New Roman Regular"/>
          <w:sz w:val="24"/>
        </w:rPr>
      </w:pPr>
      <w:r>
        <w:rPr>
          <w:rFonts w:ascii="Times New Roman Regular" w:hAnsi="Times New Roman Regular" w:cs="Times New Roman Regular"/>
          <w:sz w:val="24"/>
        </w:rPr>
        <w:t>Considerin</w:t>
      </w:r>
      <w:r>
        <w:rPr>
          <w:rFonts w:ascii="Times New Roman Regular" w:hAnsi="Times New Roman Regular" w:cs="Times New Roman Regular"/>
          <w:b w:val="0"/>
          <w:bCs w:val="0"/>
          <w:sz w:val="24"/>
        </w:rPr>
        <w:t xml:space="preserve">g </w:t>
      </w:r>
      <w:r>
        <w:rPr>
          <w:rFonts w:ascii="Times New Roman" w:hAnsi="Times New Roman" w:cs="Times New Roman"/>
          <w:b w:val="0"/>
          <w:bCs w:val="0"/>
          <w:sz w:val="24"/>
        </w:rPr>
        <w:t>the</w:t>
      </w:r>
      <w:r>
        <w:rPr>
          <w:rFonts w:ascii="Times New Roman Bold" w:hAnsi="Times New Roman Bold" w:cs="Times New Roman Bold"/>
          <w:b w:val="0"/>
          <w:bCs w:val="0"/>
          <w:sz w:val="24"/>
        </w:rPr>
        <w:t xml:space="preserve"> </w:t>
      </w:r>
      <w:r>
        <w:rPr>
          <w:rFonts w:ascii="Times New Roman Regular" w:hAnsi="Times New Roman Regular" w:cs="Times New Roman Regular"/>
          <w:b w:val="0"/>
          <w:bCs w:val="0"/>
          <w:sz w:val="24"/>
        </w:rPr>
        <w:t>parallel</w:t>
      </w:r>
      <w:r>
        <w:rPr>
          <w:rFonts w:ascii="Times New Roman Regular" w:hAnsi="Times New Roman Regular" w:cs="Times New Roman Regular"/>
          <w:sz w:val="24"/>
        </w:rPr>
        <w:t xml:space="preserve"> trend assumption required for the </w:t>
      </w:r>
      <w:r>
        <w:rPr>
          <w:rFonts w:hint="eastAsia" w:ascii="Times New Roman Regular" w:hAnsi="Times New Roman Regular" w:cs="Times New Roman Regular"/>
          <w:sz w:val="24"/>
          <w:lang w:val="en-US" w:eastAsia="zh-CN"/>
        </w:rPr>
        <w:t>DID</w:t>
      </w:r>
      <w:r>
        <w:rPr>
          <w:rFonts w:ascii="Times New Roman Regular" w:hAnsi="Times New Roman Regular" w:cs="Times New Roman Regular"/>
          <w:sz w:val="24"/>
        </w:rPr>
        <w:t xml:space="preserve"> model, the study period should be sufficiently long to capture policy dynamics before and after implementation. This study selects the period from 2007 to 2021, based on the following rationale: prior to 2006, many cities exhibited inconsistencies and data gaps in statistical indicators due to non-standardized reporting practices in official yearbooks. From 2007 onward, statistical systems became more standardized and data quality improved significantly, providing a more reliable foundation for constructing a consistent and comparable panel dataset.The socioeconomic and policy variables used in this study are obtained from multiple authoritative sources, including the WIND database, the China City Statistical Yearbook, the China Urban Construction Statistical Yearbook, and provincial statistical yearbooks. To ensure data quality and the robustness of empirical results, two adjustments are made to the sample: (1) regions with substantial data gaps are excluded; (2) cities with missing or abnormal values in key variables are removed from the dataset. For variables with minor missing values, linear interpolation is applied. In the end, we construct a balanced panel dataset covering 287 prefecture-level and above cities over 15 years (2007–2021) as the basis for empirical analysis.</w:t>
      </w:r>
    </w:p>
    <w:p>
      <w:pPr>
        <w:widowControl/>
        <w:spacing w:before="0" w:beforeLines="0" w:after="157" w:afterLines="50"/>
        <w:ind w:firstLine="240" w:firstLineChars="100"/>
        <w:jc w:val="both"/>
        <w:rPr>
          <w:rFonts w:ascii="Times New Roman Regular" w:hAnsi="Times New Roman Regular" w:cs="Times New Roman Regular"/>
          <w:sz w:val="24"/>
        </w:rPr>
      </w:pPr>
      <w:r>
        <w:rPr>
          <w:rFonts w:ascii="Times New Roman Regular" w:hAnsi="Times New Roman Regular" w:cs="Times New Roman Regular"/>
          <w:sz w:val="24"/>
        </w:rPr>
        <w:t>To further capture the spatial dimension of urban development, we integrate a novel dataset on building surface fraction (BSF) and mean building height (MBH) derived from the China Building Height Dataset at 30 m resolution (CBHD30)</w:t>
      </w:r>
      <w:r>
        <w:rPr>
          <w:rFonts w:hint="eastAsia" w:ascii="Times New Roman Regular" w:hAnsi="Times New Roman Regular" w:cs="Times New Roman Regular"/>
          <w:sz w:val="24"/>
          <w:lang w:val="en-US" w:eastAsia="zh-CN"/>
        </w:rPr>
        <w:t xml:space="preserve"> from </w:t>
      </w:r>
      <w:r>
        <w:rPr>
          <w:rFonts w:ascii="Times New Roman Regular" w:hAnsi="Times New Roman Regular" w:eastAsia="宋体" w:cs="Times New Roman Regular"/>
          <w:kern w:val="0"/>
          <w:sz w:val="24"/>
          <w:szCs w:val="24"/>
          <w:lang w:val="en-US" w:eastAsia="zh-CN" w:bidi="ar"/>
        </w:rPr>
        <w:t>Yang et al. (2024)</w:t>
      </w:r>
      <w:r>
        <w:rPr>
          <w:rFonts w:ascii="Times New Roman Regular" w:hAnsi="Times New Roman Regular" w:cs="Times New Roman Regular"/>
          <w:sz w:val="24"/>
        </w:rPr>
        <w:t>. This dataset is developed by combining NASADEM (2000), ALOS AW3D30 (2010), and Copernicus DEM (2015) with the Global Artificial Impervious Area (GAIA) data to estimate building heights across China, employing slope correction and multi-source validation techniques. The CBHD30 provides temporally consistent building height data for 2000, 2010, and 2020, with a nationwide RMSE of approximately 9.15 m and a MAE of 6.25 m, validated against Baidu Map building floor data and field measurements. This long-term, high-resolution dataset enables us to characterize both horizontal (BSF) and vertical (MBH) dimensions of urban expansion, which are then matched with the socioeconomic panel to explore the interaction between urban morphology, policy implementation, and employment quality.</w:t>
      </w:r>
    </w:p>
    <w:p>
      <w:pPr>
        <w:spacing w:before="0" w:beforeLines="0" w:after="157" w:afterLines="50"/>
        <w:ind w:firstLine="240" w:firstLineChars="100"/>
        <w:rPr>
          <w:rFonts w:ascii="Times New Roman Regular" w:hAnsi="Times New Roman Regular" w:cs="Times New Roman Regular"/>
          <w:sz w:val="24"/>
        </w:rPr>
      </w:pPr>
      <w:r>
        <w:rPr>
          <w:rFonts w:ascii="Times New Roman Regular" w:hAnsi="Times New Roman Regular" w:cs="Times New Roman Regular"/>
          <w:sz w:val="24"/>
        </w:rPr>
        <w:t>Table 2 presents the descriptive statistics for the treatment and control groups. A two-sample t test with equal variances is conducted to examine group differences in key variables. The mean value of the core dependent variable, EMP, is significantly lower in the treatment group than in the control group, with a t-statistic of −1.568, which is significant at 1% level. This provides preliminary statistical evidence in support of Hypothesis 1 (H1), suggesting that the treated cities may have experienced a decline in employment quality prior to policy implementation. Differences in most control variables are also statistically significant, which highlights the necessity of employing regression-based methods to control for covariates.</w:t>
      </w:r>
    </w:p>
    <w:tbl>
      <w:tblPr>
        <w:tblStyle w:val="10"/>
        <w:tblW w:w="8419" w:type="dxa"/>
        <w:tblInd w:w="0" w:type="dxa"/>
        <w:tblLayout w:type="fixed"/>
        <w:tblCellMar>
          <w:top w:w="0" w:type="dxa"/>
          <w:left w:w="0" w:type="dxa"/>
          <w:bottom w:w="0" w:type="dxa"/>
          <w:right w:w="0" w:type="dxa"/>
        </w:tblCellMar>
      </w:tblPr>
      <w:tblGrid>
        <w:gridCol w:w="1403"/>
        <w:gridCol w:w="1403"/>
        <w:gridCol w:w="1403"/>
        <w:gridCol w:w="1403"/>
        <w:gridCol w:w="1403"/>
        <w:gridCol w:w="1404"/>
      </w:tblGrid>
      <w:tr>
        <w:tc>
          <w:tcPr>
            <w:tcW w:w="8419" w:type="dxa"/>
            <w:gridSpan w:val="6"/>
            <w:tcBorders>
              <w:top w:val="nil"/>
              <w:left w:val="nil"/>
              <w:bottom w:val="double" w:color="auto" w:sz="4" w:space="0"/>
              <w:right w:val="nil"/>
            </w:tcBorders>
            <w:shd w:val="clear" w:color="auto" w:fill="auto"/>
            <w:tcMar>
              <w:left w:w="100" w:type="dxa"/>
              <w:right w:w="100" w:type="dxa"/>
            </w:tcMar>
            <w:vAlign w:val="center"/>
          </w:tcPr>
          <w:p>
            <w:pPr>
              <w:rPr>
                <w:rFonts w:ascii="Times New Roman Regular" w:hAnsi="Times New Roman Regular" w:cs="Times New Roman Regular"/>
                <w:color w:val="000000" w:themeColor="text1"/>
                <w:sz w:val="20"/>
                <w:szCs w:val="20"/>
                <w14:textFill>
                  <w14:solidFill>
                    <w14:schemeClr w14:val="tx1"/>
                  </w14:solidFill>
                </w14:textFill>
              </w:rPr>
            </w:pPr>
            <w:r>
              <w:rPr>
                <w:rFonts w:ascii="Times New Roman Bold" w:hAnsi="Times New Roman Bold" w:cs="Times New Roman Bold"/>
                <w:b/>
                <w:bCs w:val="0"/>
                <w:color w:val="000000" w:themeColor="text1"/>
                <w:sz w:val="20"/>
                <w:szCs w:val="20"/>
                <w14:textFill>
                  <w14:solidFill>
                    <w14:schemeClr w14:val="tx1"/>
                  </w14:solidFill>
                </w14:textFill>
              </w:rPr>
              <w:t>Table</w:t>
            </w:r>
            <w:r>
              <w:rPr>
                <w:rFonts w:hint="eastAsia" w:ascii="Times New Roman Bold" w:hAnsi="Times New Roman Bold" w:cs="Times New Roman Bold"/>
                <w:b/>
                <w:bCs w:val="0"/>
                <w:color w:val="000000" w:themeColor="text1"/>
                <w:sz w:val="20"/>
                <w:szCs w:val="20"/>
                <w:lang w:val="en-US" w:eastAsia="zh-CN"/>
                <w14:textFill>
                  <w14:solidFill>
                    <w14:schemeClr w14:val="tx1"/>
                  </w14:solidFill>
                </w14:textFill>
              </w:rPr>
              <w:t xml:space="preserve"> </w:t>
            </w:r>
            <w:r>
              <w:rPr>
                <w:rFonts w:ascii="Times New Roman Bold" w:hAnsi="Times New Roman Bold" w:cs="Times New Roman Bold"/>
                <w:b/>
                <w:bCs w:val="0"/>
                <w:color w:val="000000" w:themeColor="text1"/>
                <w:sz w:val="20"/>
                <w:szCs w:val="20"/>
                <w14:textFill>
                  <w14:solidFill>
                    <w14:schemeClr w14:val="tx1"/>
                  </w14:solidFill>
                </w14:textFill>
              </w:rPr>
              <w:t>2</w:t>
            </w:r>
            <w:r>
              <w:rPr>
                <w:rFonts w:hint="default" w:ascii="Times New Roman Bold" w:hAnsi="Times New Roman Bold" w:cs="Times New Roman Bold"/>
                <w:b/>
                <w:bCs w:val="0"/>
                <w:color w:val="000000" w:themeColor="text1"/>
                <w:sz w:val="20"/>
                <w:szCs w:val="20"/>
                <w14:textFill>
                  <w14:solidFill>
                    <w14:schemeClr w14:val="tx1"/>
                  </w14:solidFill>
                </w14:textFill>
              </w:rPr>
              <w:t xml:space="preserve"> </w:t>
            </w:r>
            <w:r>
              <w:rPr>
                <w:rFonts w:ascii="Times New Roman Regular" w:hAnsi="Times New Roman Regular" w:cs="Times New Roman Regular"/>
                <w:bCs/>
                <w:color w:val="000000" w:themeColor="text1"/>
                <w:sz w:val="20"/>
                <w:szCs w:val="20"/>
                <w14:textFill>
                  <w14:solidFill>
                    <w14:schemeClr w14:val="tx1"/>
                  </w14:solidFill>
                </w14:textFill>
              </w:rPr>
              <w:t>Descriptive statistics</w:t>
            </w:r>
          </w:p>
        </w:tc>
      </w:tr>
      <w:tr>
        <w:tc>
          <w:tcPr>
            <w:tcW w:w="1403" w:type="dxa"/>
            <w:tcBorders>
              <w:top w:val="double" w:color="auto" w:sz="4" w:space="0"/>
              <w:left w:val="nil"/>
              <w:bottom w:val="single" w:color="auto" w:sz="4" w:space="0"/>
              <w:right w:val="nil"/>
            </w:tcBorders>
            <w:shd w:val="clear" w:color="auto" w:fill="auto"/>
            <w:tcMar>
              <w:left w:w="100" w:type="dxa"/>
              <w:right w:w="100" w:type="dxa"/>
            </w:tcMar>
            <w:vAlign w:val="center"/>
          </w:tcPr>
          <w:p>
            <w:pPr>
              <w:rPr>
                <w:rFonts w:ascii="Times New Roman Regular" w:hAnsi="Times New Roman Regular" w:cs="Times New Roman Regular"/>
                <w:color w:val="000000" w:themeColor="text1"/>
                <w:sz w:val="20"/>
                <w:szCs w:val="20"/>
                <w14:textFill>
                  <w14:solidFill>
                    <w14:schemeClr w14:val="tx1"/>
                  </w14:solidFill>
                </w14:textFill>
              </w:rPr>
            </w:pPr>
          </w:p>
        </w:tc>
        <w:tc>
          <w:tcPr>
            <w:tcW w:w="2806" w:type="dxa"/>
            <w:gridSpan w:val="2"/>
            <w:tcBorders>
              <w:top w:val="double" w:color="auto" w:sz="4" w:space="0"/>
              <w:left w:val="nil"/>
              <w:bottom w:val="single" w:color="auto" w:sz="4" w:space="0"/>
              <w:right w:val="nil"/>
            </w:tcBorders>
            <w:shd w:val="clear" w:color="auto" w:fill="auto"/>
            <w:tcMar>
              <w:left w:w="100" w:type="dxa"/>
              <w:right w:w="100" w:type="dxa"/>
            </w:tcMar>
            <w:vAlign w:val="center"/>
          </w:tcPr>
          <w:p>
            <w:pPr>
              <w:jc w:val="center"/>
              <w:rPr>
                <w:rFonts w:ascii="Times New Roman Regular" w:hAnsi="Times New Roman Regular" w:eastAsia="PMingLiU" w:cs="Times New Roman Regular"/>
                <w:color w:val="000000" w:themeColor="text1"/>
                <w:sz w:val="20"/>
                <w:szCs w:val="20"/>
                <w:lang w:eastAsia="zh-TW"/>
                <w14:textFill>
                  <w14:solidFill>
                    <w14:schemeClr w14:val="tx1"/>
                  </w14:solidFill>
                </w14:textFill>
              </w:rPr>
            </w:pPr>
            <w:r>
              <w:rPr>
                <w:rFonts w:ascii="Times New Roman Regular" w:hAnsi="Times New Roman Regular" w:eastAsia="PMingLiU" w:cs="Times New Roman Regular"/>
                <w:color w:val="000000" w:themeColor="text1"/>
                <w:sz w:val="20"/>
                <w:szCs w:val="20"/>
                <w:lang w:eastAsia="zh-TW"/>
                <w14:textFill>
                  <w14:solidFill>
                    <w14:schemeClr w14:val="tx1"/>
                  </w14:solidFill>
                </w14:textFill>
              </w:rPr>
              <w:t>Treatment Group</w:t>
            </w:r>
          </w:p>
          <w:p>
            <w:pPr>
              <w:jc w:val="center"/>
              <w:rPr>
                <w:rFonts w:ascii="Times New Roman Regular" w:hAnsi="Times New Roman Regular" w:cs="Times New Roman Regular"/>
                <w:color w:val="000000" w:themeColor="text1"/>
                <w:sz w:val="20"/>
                <w:szCs w:val="20"/>
                <w14:textFill>
                  <w14:solidFill>
                    <w14:schemeClr w14:val="tx1"/>
                  </w14:solidFill>
                </w14:textFill>
              </w:rPr>
            </w:pPr>
          </w:p>
        </w:tc>
        <w:tc>
          <w:tcPr>
            <w:tcW w:w="2806" w:type="dxa"/>
            <w:gridSpan w:val="2"/>
            <w:tcBorders>
              <w:top w:val="double" w:color="auto" w:sz="4" w:space="0"/>
              <w:left w:val="nil"/>
              <w:bottom w:val="single" w:color="auto" w:sz="4" w:space="0"/>
              <w:right w:val="nil"/>
            </w:tcBorders>
            <w:shd w:val="clear" w:color="auto" w:fill="auto"/>
            <w:tcMar>
              <w:left w:w="100" w:type="dxa"/>
              <w:right w:w="100" w:type="dxa"/>
            </w:tcMar>
            <w:vAlign w:val="center"/>
          </w:tcPr>
          <w:p>
            <w:pPr>
              <w:jc w:val="center"/>
              <w:rPr>
                <w:rFonts w:ascii="Times New Roman Regular" w:hAnsi="Times New Roman Regular" w:eastAsia="PMingLiU" w:cs="Times New Roman Regular"/>
                <w:color w:val="000000" w:themeColor="text1"/>
                <w:sz w:val="20"/>
                <w:szCs w:val="20"/>
                <w:lang w:eastAsia="zh-TW"/>
                <w14:textFill>
                  <w14:solidFill>
                    <w14:schemeClr w14:val="tx1"/>
                  </w14:solidFill>
                </w14:textFill>
              </w:rPr>
            </w:pPr>
            <w:r>
              <w:rPr>
                <w:rFonts w:ascii="Times New Roman Regular" w:hAnsi="Times New Roman Regular" w:eastAsia="PMingLiU" w:cs="Times New Roman Regular"/>
                <w:color w:val="000000" w:themeColor="text1"/>
                <w:sz w:val="20"/>
                <w:szCs w:val="20"/>
                <w:lang w:eastAsia="zh-TW"/>
                <w14:textFill>
                  <w14:solidFill>
                    <w14:schemeClr w14:val="tx1"/>
                  </w14:solidFill>
                </w14:textFill>
              </w:rPr>
              <w:t>Control Group</w:t>
            </w:r>
          </w:p>
          <w:p>
            <w:pPr>
              <w:jc w:val="center"/>
              <w:rPr>
                <w:rFonts w:ascii="Times New Roman Regular" w:hAnsi="Times New Roman Regular" w:cs="Times New Roman Regular"/>
                <w:color w:val="000000" w:themeColor="text1"/>
                <w:sz w:val="20"/>
                <w:szCs w:val="20"/>
                <w14:textFill>
                  <w14:solidFill>
                    <w14:schemeClr w14:val="tx1"/>
                  </w14:solidFill>
                </w14:textFill>
              </w:rPr>
            </w:pPr>
          </w:p>
        </w:tc>
        <w:tc>
          <w:tcPr>
            <w:tcW w:w="1404" w:type="dxa"/>
            <w:vMerge w:val="restart"/>
            <w:tcBorders>
              <w:top w:val="double" w:color="auto" w:sz="4" w:space="0"/>
              <w:left w:val="nil"/>
              <w:bottom w:val="single" w:color="auto" w:sz="4" w:space="0"/>
              <w:right w:val="nil"/>
            </w:tcBorders>
            <w:shd w:val="clear" w:color="auto" w:fill="auto"/>
            <w:tcMar>
              <w:left w:w="100" w:type="dxa"/>
              <w:right w:w="100" w:type="dxa"/>
            </w:tcMar>
            <w:vAlign w:val="center"/>
          </w:tcPr>
          <w:p>
            <w:pPr>
              <w:jc w:val="center"/>
              <w:rPr>
                <w:rFonts w:ascii="Times New Roman Regular" w:hAnsi="Times New Roman Regular" w:cs="Times New Roman Regular"/>
                <w:color w:val="000000" w:themeColor="text1"/>
                <w:sz w:val="20"/>
                <w:szCs w:val="20"/>
                <w14:textFill>
                  <w14:solidFill>
                    <w14:schemeClr w14:val="tx1"/>
                  </w14:solidFill>
                </w14:textFill>
              </w:rPr>
            </w:pPr>
            <w:r>
              <w:rPr>
                <w:rFonts w:ascii="Times New Roman Regular" w:hAnsi="Times New Roman Regular" w:cs="Times New Roman Regular"/>
                <w:color w:val="000000" w:themeColor="text1"/>
                <w:sz w:val="20"/>
                <w:szCs w:val="20"/>
                <w14:textFill>
                  <w14:solidFill>
                    <w14:schemeClr w14:val="tx1"/>
                  </w14:solidFill>
                </w14:textFill>
              </w:rPr>
              <w:t>Two-sample t test with equal variances</w:t>
            </w:r>
          </w:p>
        </w:tc>
      </w:tr>
      <w:tr>
        <w:tc>
          <w:tcPr>
            <w:tcW w:w="1403" w:type="dxa"/>
            <w:tcBorders>
              <w:top w:val="single" w:color="auto" w:sz="4" w:space="0"/>
              <w:left w:val="nil"/>
              <w:bottom w:val="single" w:color="auto" w:sz="4" w:space="0"/>
              <w:right w:val="nil"/>
            </w:tcBorders>
            <w:shd w:val="clear" w:color="auto" w:fill="auto"/>
            <w:tcMar>
              <w:left w:w="100" w:type="dxa"/>
              <w:right w:w="100" w:type="dxa"/>
            </w:tcMar>
            <w:vAlign w:val="center"/>
          </w:tcPr>
          <w:p>
            <w:pPr>
              <w:rPr>
                <w:rFonts w:ascii="Times New Roman Regular" w:hAnsi="Times New Roman Regular" w:cs="Times New Roman Regular"/>
                <w:color w:val="000000" w:themeColor="text1"/>
                <w:sz w:val="20"/>
                <w:szCs w:val="20"/>
                <w14:textFill>
                  <w14:solidFill>
                    <w14:schemeClr w14:val="tx1"/>
                  </w14:solidFill>
                </w14:textFill>
              </w:rPr>
            </w:pPr>
          </w:p>
        </w:tc>
        <w:tc>
          <w:tcPr>
            <w:tcW w:w="1403" w:type="dxa"/>
            <w:tcBorders>
              <w:top w:val="single" w:color="auto" w:sz="4" w:space="0"/>
              <w:left w:val="nil"/>
              <w:bottom w:val="single" w:color="auto" w:sz="4" w:space="0"/>
              <w:right w:val="nil"/>
            </w:tcBorders>
            <w:shd w:val="clear" w:color="auto" w:fill="auto"/>
            <w:tcMar>
              <w:left w:w="100" w:type="dxa"/>
              <w:right w:w="100" w:type="dxa"/>
            </w:tcMar>
            <w:vAlign w:val="center"/>
          </w:tcPr>
          <w:p>
            <w:pPr>
              <w:jc w:val="center"/>
              <w:rPr>
                <w:rFonts w:ascii="Times New Roman Regular" w:hAnsi="Times New Roman Regular" w:cs="Times New Roman Regular"/>
                <w:color w:val="000000" w:themeColor="text1"/>
                <w:sz w:val="20"/>
                <w:szCs w:val="20"/>
                <w14:textFill>
                  <w14:solidFill>
                    <w14:schemeClr w14:val="tx1"/>
                  </w14:solidFill>
                </w14:textFill>
              </w:rPr>
            </w:pPr>
            <w:r>
              <w:rPr>
                <w:rFonts w:ascii="Times New Roman Regular" w:hAnsi="Times New Roman Regular" w:cs="Times New Roman Regular"/>
                <w:color w:val="000000" w:themeColor="text1"/>
                <w:sz w:val="20"/>
                <w:szCs w:val="20"/>
                <w14:textFill>
                  <w14:solidFill>
                    <w14:schemeClr w14:val="tx1"/>
                  </w14:solidFill>
                </w14:textFill>
              </w:rPr>
              <w:t>Mean</w:t>
            </w:r>
          </w:p>
        </w:tc>
        <w:tc>
          <w:tcPr>
            <w:tcW w:w="1403" w:type="dxa"/>
            <w:tcBorders>
              <w:top w:val="single" w:color="auto" w:sz="4" w:space="0"/>
              <w:left w:val="nil"/>
              <w:bottom w:val="single" w:color="auto" w:sz="4" w:space="0"/>
              <w:right w:val="nil"/>
            </w:tcBorders>
            <w:shd w:val="clear" w:color="auto" w:fill="auto"/>
            <w:tcMar>
              <w:left w:w="100" w:type="dxa"/>
              <w:right w:w="100" w:type="dxa"/>
            </w:tcMar>
            <w:vAlign w:val="center"/>
          </w:tcPr>
          <w:p>
            <w:pPr>
              <w:jc w:val="center"/>
              <w:rPr>
                <w:rFonts w:ascii="Times New Roman Regular" w:hAnsi="Times New Roman Regular" w:cs="Times New Roman Regular"/>
                <w:color w:val="000000" w:themeColor="text1"/>
                <w:sz w:val="20"/>
                <w:szCs w:val="20"/>
                <w14:textFill>
                  <w14:solidFill>
                    <w14:schemeClr w14:val="tx1"/>
                  </w14:solidFill>
                </w14:textFill>
              </w:rPr>
            </w:pPr>
            <w:r>
              <w:rPr>
                <w:rFonts w:ascii="Times New Roman Regular" w:hAnsi="Times New Roman Regular" w:cs="Times New Roman Regular"/>
                <w:color w:val="000000" w:themeColor="text1"/>
                <w:sz w:val="20"/>
                <w:szCs w:val="20"/>
                <w14:textFill>
                  <w14:solidFill>
                    <w14:schemeClr w14:val="tx1"/>
                  </w14:solidFill>
                </w14:textFill>
              </w:rPr>
              <w:t>SD</w:t>
            </w:r>
          </w:p>
        </w:tc>
        <w:tc>
          <w:tcPr>
            <w:tcW w:w="1403" w:type="dxa"/>
            <w:tcBorders>
              <w:top w:val="single" w:color="auto" w:sz="4" w:space="0"/>
              <w:left w:val="nil"/>
              <w:bottom w:val="single" w:color="auto" w:sz="4" w:space="0"/>
              <w:right w:val="nil"/>
            </w:tcBorders>
            <w:shd w:val="clear" w:color="auto" w:fill="auto"/>
            <w:tcMar>
              <w:left w:w="100" w:type="dxa"/>
              <w:right w:w="100" w:type="dxa"/>
            </w:tcMar>
            <w:vAlign w:val="center"/>
          </w:tcPr>
          <w:p>
            <w:pPr>
              <w:jc w:val="center"/>
              <w:rPr>
                <w:rFonts w:ascii="Times New Roman Regular" w:hAnsi="Times New Roman Regular" w:cs="Times New Roman Regular"/>
                <w:color w:val="000000" w:themeColor="text1"/>
                <w:sz w:val="20"/>
                <w:szCs w:val="20"/>
                <w14:textFill>
                  <w14:solidFill>
                    <w14:schemeClr w14:val="tx1"/>
                  </w14:solidFill>
                </w14:textFill>
              </w:rPr>
            </w:pPr>
            <w:r>
              <w:rPr>
                <w:rFonts w:ascii="Times New Roman Regular" w:hAnsi="Times New Roman Regular" w:cs="Times New Roman Regular"/>
                <w:color w:val="000000" w:themeColor="text1"/>
                <w:sz w:val="20"/>
                <w:szCs w:val="20"/>
                <w14:textFill>
                  <w14:solidFill>
                    <w14:schemeClr w14:val="tx1"/>
                  </w14:solidFill>
                </w14:textFill>
              </w:rPr>
              <w:t>Mean</w:t>
            </w:r>
          </w:p>
        </w:tc>
        <w:tc>
          <w:tcPr>
            <w:tcW w:w="1403" w:type="dxa"/>
            <w:tcBorders>
              <w:top w:val="single" w:color="auto" w:sz="4" w:space="0"/>
              <w:left w:val="nil"/>
              <w:bottom w:val="single" w:color="auto" w:sz="4" w:space="0"/>
              <w:right w:val="nil"/>
            </w:tcBorders>
            <w:shd w:val="clear" w:color="auto" w:fill="auto"/>
            <w:tcMar>
              <w:left w:w="100" w:type="dxa"/>
              <w:right w:w="100" w:type="dxa"/>
            </w:tcMar>
            <w:vAlign w:val="center"/>
          </w:tcPr>
          <w:p>
            <w:pPr>
              <w:jc w:val="center"/>
              <w:rPr>
                <w:rFonts w:ascii="Times New Roman Regular" w:hAnsi="Times New Roman Regular" w:cs="Times New Roman Regular"/>
                <w:color w:val="000000" w:themeColor="text1"/>
                <w:sz w:val="20"/>
                <w:szCs w:val="20"/>
                <w14:textFill>
                  <w14:solidFill>
                    <w14:schemeClr w14:val="tx1"/>
                  </w14:solidFill>
                </w14:textFill>
              </w:rPr>
            </w:pPr>
            <w:r>
              <w:rPr>
                <w:rFonts w:ascii="Times New Roman Regular" w:hAnsi="Times New Roman Regular" w:cs="Times New Roman Regular"/>
                <w:color w:val="000000" w:themeColor="text1"/>
                <w:sz w:val="20"/>
                <w:szCs w:val="20"/>
                <w14:textFill>
                  <w14:solidFill>
                    <w14:schemeClr w14:val="tx1"/>
                  </w14:solidFill>
                </w14:textFill>
              </w:rPr>
              <w:t>SD</w:t>
            </w:r>
          </w:p>
        </w:tc>
        <w:tc>
          <w:tcPr>
            <w:tcW w:w="1404" w:type="dxa"/>
            <w:vMerge w:val="continue"/>
            <w:tcBorders>
              <w:top w:val="single" w:color="auto" w:sz="4" w:space="0"/>
              <w:left w:val="nil"/>
              <w:bottom w:val="single" w:color="auto" w:sz="4" w:space="0"/>
              <w:right w:val="nil"/>
            </w:tcBorders>
            <w:shd w:val="clear" w:color="auto" w:fill="auto"/>
            <w:tcMar>
              <w:left w:w="100" w:type="dxa"/>
              <w:right w:w="100" w:type="dxa"/>
            </w:tcMar>
            <w:vAlign w:val="center"/>
          </w:tcPr>
          <w:p>
            <w:pPr>
              <w:jc w:val="center"/>
              <w:rPr>
                <w:rFonts w:ascii="Times New Roman Regular" w:hAnsi="Times New Roman Regular" w:cs="Times New Roman Regular"/>
                <w:color w:val="000000" w:themeColor="text1"/>
                <w:sz w:val="20"/>
                <w:szCs w:val="20"/>
                <w14:textFill>
                  <w14:solidFill>
                    <w14:schemeClr w14:val="tx1"/>
                  </w14:solidFill>
                </w14:textFill>
              </w:rPr>
            </w:pPr>
          </w:p>
        </w:tc>
      </w:tr>
      <w:tr>
        <w:tc>
          <w:tcPr>
            <w:tcW w:w="1403" w:type="dxa"/>
            <w:tcBorders>
              <w:top w:val="single" w:color="auto" w:sz="4" w:space="0"/>
              <w:left w:val="nil"/>
              <w:bottom w:val="nil"/>
              <w:right w:val="nil"/>
            </w:tcBorders>
            <w:shd w:val="clear" w:color="auto" w:fill="auto"/>
            <w:tcMar>
              <w:left w:w="100" w:type="dxa"/>
              <w:right w:w="100" w:type="dxa"/>
            </w:tcMar>
            <w:vAlign w:val="center"/>
          </w:tcPr>
          <w:p>
            <w:pPr>
              <w:rPr>
                <w:rFonts w:ascii="Times New Roman Regular" w:hAnsi="Times New Roman Regular" w:cs="Times New Roman Regular"/>
                <w:i/>
                <w:iCs/>
                <w:color w:val="000000" w:themeColor="text1"/>
                <w:sz w:val="20"/>
                <w:szCs w:val="20"/>
                <w14:textFill>
                  <w14:solidFill>
                    <w14:schemeClr w14:val="tx1"/>
                  </w14:solidFill>
                </w14:textFill>
              </w:rPr>
            </w:pPr>
            <w:r>
              <w:rPr>
                <w:rFonts w:ascii="Times New Roman Regular" w:hAnsi="Times New Roman Regular" w:cs="Times New Roman Regular"/>
                <w:i/>
                <w:iCs/>
                <w:color w:val="000000" w:themeColor="text1"/>
                <w:sz w:val="20"/>
                <w:szCs w:val="20"/>
                <w14:textFill>
                  <w14:solidFill>
                    <w14:schemeClr w14:val="tx1"/>
                  </w14:solidFill>
                </w14:textFill>
              </w:rPr>
              <w:t>EMP</w:t>
            </w:r>
          </w:p>
        </w:tc>
        <w:tc>
          <w:tcPr>
            <w:tcW w:w="1403" w:type="dxa"/>
            <w:tcBorders>
              <w:top w:val="single" w:color="auto" w:sz="4" w:space="0"/>
              <w:left w:val="nil"/>
              <w:bottom w:val="nil"/>
              <w:right w:val="nil"/>
            </w:tcBorders>
            <w:shd w:val="clear" w:color="auto" w:fill="auto"/>
            <w:tcMar>
              <w:left w:w="100" w:type="dxa"/>
              <w:right w:w="100" w:type="dxa"/>
            </w:tcMar>
            <w:vAlign w:val="center"/>
          </w:tcPr>
          <w:p>
            <w:pPr>
              <w:jc w:val="center"/>
              <w:rPr>
                <w:rFonts w:ascii="Times New Roman Regular" w:hAnsi="Times New Roman Regular" w:cs="Times New Roman Regular"/>
                <w:color w:val="000000" w:themeColor="text1"/>
                <w:sz w:val="20"/>
                <w:szCs w:val="20"/>
                <w14:textFill>
                  <w14:solidFill>
                    <w14:schemeClr w14:val="tx1"/>
                  </w14:solidFill>
                </w14:textFill>
              </w:rPr>
            </w:pPr>
            <w:r>
              <w:rPr>
                <w:rFonts w:ascii="Times New Roman Regular" w:hAnsi="Times New Roman Regular" w:cs="Times New Roman Regular"/>
                <w:color w:val="000000" w:themeColor="text1"/>
                <w:sz w:val="20"/>
                <w:szCs w:val="20"/>
                <w14:textFill>
                  <w14:solidFill>
                    <w14:schemeClr w14:val="tx1"/>
                  </w14:solidFill>
                </w14:textFill>
              </w:rPr>
              <w:t>54.843</w:t>
            </w:r>
          </w:p>
        </w:tc>
        <w:tc>
          <w:tcPr>
            <w:tcW w:w="1403" w:type="dxa"/>
            <w:tcBorders>
              <w:top w:val="single" w:color="auto" w:sz="4" w:space="0"/>
              <w:left w:val="nil"/>
              <w:bottom w:val="nil"/>
              <w:right w:val="nil"/>
            </w:tcBorders>
            <w:shd w:val="clear" w:color="auto" w:fill="auto"/>
            <w:tcMar>
              <w:left w:w="100" w:type="dxa"/>
              <w:right w:w="100" w:type="dxa"/>
            </w:tcMar>
            <w:vAlign w:val="center"/>
          </w:tcPr>
          <w:p>
            <w:pPr>
              <w:jc w:val="center"/>
              <w:rPr>
                <w:rFonts w:ascii="Times New Roman Regular" w:hAnsi="Times New Roman Regular" w:cs="Times New Roman Regular"/>
                <w:color w:val="000000" w:themeColor="text1"/>
                <w:sz w:val="20"/>
                <w:szCs w:val="20"/>
                <w14:textFill>
                  <w14:solidFill>
                    <w14:schemeClr w14:val="tx1"/>
                  </w14:solidFill>
                </w14:textFill>
              </w:rPr>
            </w:pPr>
            <w:r>
              <w:rPr>
                <w:rFonts w:ascii="Times New Roman Regular" w:hAnsi="Times New Roman Regular" w:cs="Times New Roman Regular"/>
                <w:color w:val="000000" w:themeColor="text1"/>
                <w:sz w:val="20"/>
                <w:szCs w:val="20"/>
                <w14:textFill>
                  <w14:solidFill>
                    <w14:schemeClr w14:val="tx1"/>
                  </w14:solidFill>
                </w14:textFill>
              </w:rPr>
              <w:t>3.7</w:t>
            </w:r>
            <w:r>
              <w:rPr>
                <w:rFonts w:hint="default" w:ascii="Times New Roman Regular" w:hAnsi="Times New Roman Regular" w:cs="Times New Roman Regular"/>
                <w:color w:val="000000" w:themeColor="text1"/>
                <w:sz w:val="20"/>
                <w:szCs w:val="20"/>
                <w:lang w:val="en-US"/>
                <w14:textFill>
                  <w14:solidFill>
                    <w14:schemeClr w14:val="tx1"/>
                  </w14:solidFill>
                </w14:textFill>
              </w:rPr>
              <w:t>00</w:t>
            </w:r>
          </w:p>
        </w:tc>
        <w:tc>
          <w:tcPr>
            <w:tcW w:w="1403" w:type="dxa"/>
            <w:tcBorders>
              <w:top w:val="single" w:color="auto" w:sz="4" w:space="0"/>
              <w:left w:val="nil"/>
              <w:bottom w:val="nil"/>
              <w:right w:val="nil"/>
            </w:tcBorders>
            <w:shd w:val="clear" w:color="auto" w:fill="auto"/>
            <w:tcMar>
              <w:left w:w="100" w:type="dxa"/>
              <w:right w:w="100" w:type="dxa"/>
            </w:tcMar>
            <w:vAlign w:val="center"/>
          </w:tcPr>
          <w:p>
            <w:pPr>
              <w:jc w:val="center"/>
              <w:rPr>
                <w:rFonts w:ascii="Times New Roman Regular" w:hAnsi="Times New Roman Regular" w:cs="Times New Roman Regular"/>
                <w:color w:val="000000" w:themeColor="text1"/>
                <w:sz w:val="20"/>
                <w:szCs w:val="20"/>
                <w14:textFill>
                  <w14:solidFill>
                    <w14:schemeClr w14:val="tx1"/>
                  </w14:solidFill>
                </w14:textFill>
              </w:rPr>
            </w:pPr>
            <w:r>
              <w:rPr>
                <w:rFonts w:ascii="Times New Roman Regular" w:hAnsi="Times New Roman Regular" w:cs="Times New Roman Regular"/>
                <w:color w:val="000000" w:themeColor="text1"/>
                <w:sz w:val="20"/>
                <w:szCs w:val="20"/>
                <w14:textFill>
                  <w14:solidFill>
                    <w14:schemeClr w14:val="tx1"/>
                  </w14:solidFill>
                </w14:textFill>
              </w:rPr>
              <w:t>56.412</w:t>
            </w:r>
          </w:p>
        </w:tc>
        <w:tc>
          <w:tcPr>
            <w:tcW w:w="1403" w:type="dxa"/>
            <w:tcBorders>
              <w:top w:val="single" w:color="auto" w:sz="4" w:space="0"/>
              <w:left w:val="nil"/>
              <w:bottom w:val="nil"/>
              <w:right w:val="nil"/>
            </w:tcBorders>
            <w:shd w:val="clear" w:color="auto" w:fill="auto"/>
            <w:tcMar>
              <w:left w:w="100" w:type="dxa"/>
              <w:right w:w="100" w:type="dxa"/>
            </w:tcMar>
            <w:vAlign w:val="center"/>
          </w:tcPr>
          <w:p>
            <w:pPr>
              <w:jc w:val="center"/>
              <w:rPr>
                <w:rFonts w:ascii="Times New Roman Regular" w:hAnsi="Times New Roman Regular" w:cs="Times New Roman Regular"/>
                <w:color w:val="000000" w:themeColor="text1"/>
                <w:sz w:val="20"/>
                <w:szCs w:val="20"/>
                <w14:textFill>
                  <w14:solidFill>
                    <w14:schemeClr w14:val="tx1"/>
                  </w14:solidFill>
                </w14:textFill>
              </w:rPr>
            </w:pPr>
            <w:r>
              <w:rPr>
                <w:rFonts w:ascii="Times New Roman Regular" w:hAnsi="Times New Roman Regular" w:cs="Times New Roman Regular"/>
                <w:color w:val="000000" w:themeColor="text1"/>
                <w:sz w:val="20"/>
                <w:szCs w:val="20"/>
                <w14:textFill>
                  <w14:solidFill>
                    <w14:schemeClr w14:val="tx1"/>
                  </w14:solidFill>
                </w14:textFill>
              </w:rPr>
              <w:t>3.808</w:t>
            </w:r>
          </w:p>
        </w:tc>
        <w:tc>
          <w:tcPr>
            <w:tcW w:w="1404" w:type="dxa"/>
            <w:tcBorders>
              <w:top w:val="single" w:color="auto" w:sz="4" w:space="0"/>
              <w:left w:val="nil"/>
              <w:bottom w:val="nil"/>
              <w:right w:val="nil"/>
            </w:tcBorders>
            <w:shd w:val="clear" w:color="auto" w:fill="auto"/>
            <w:tcMar>
              <w:left w:w="100" w:type="dxa"/>
              <w:right w:w="100" w:type="dxa"/>
            </w:tcMar>
            <w:vAlign w:val="center"/>
          </w:tcPr>
          <w:p>
            <w:pPr>
              <w:jc w:val="center"/>
              <w:rPr>
                <w:rFonts w:ascii="Times New Roman Regular" w:hAnsi="Times New Roman Regular" w:cs="Times New Roman Regular"/>
                <w:color w:val="000000" w:themeColor="text1"/>
                <w:sz w:val="20"/>
                <w:szCs w:val="20"/>
                <w14:textFill>
                  <w14:solidFill>
                    <w14:schemeClr w14:val="tx1"/>
                  </w14:solidFill>
                </w14:textFill>
              </w:rPr>
            </w:pPr>
            <w:r>
              <w:rPr>
                <w:rFonts w:ascii="Times New Roman Regular" w:hAnsi="Times New Roman Regular" w:cs="Times New Roman Regular"/>
                <w:color w:val="000000" w:themeColor="text1"/>
                <w:sz w:val="20"/>
                <w:szCs w:val="20"/>
                <w14:textFill>
                  <w14:solidFill>
                    <w14:schemeClr w14:val="tx1"/>
                  </w14:solidFill>
                </w14:textFill>
              </w:rPr>
              <w:t>-1.568***</w:t>
            </w:r>
          </w:p>
        </w:tc>
      </w:tr>
      <w:tr>
        <w:tc>
          <w:tcPr>
            <w:tcW w:w="1403" w:type="dxa"/>
            <w:tcBorders>
              <w:top w:val="nil"/>
              <w:left w:val="nil"/>
              <w:bottom w:val="nil"/>
              <w:right w:val="nil"/>
            </w:tcBorders>
            <w:shd w:val="clear" w:color="auto" w:fill="auto"/>
            <w:tcMar>
              <w:left w:w="100" w:type="dxa"/>
              <w:right w:w="100" w:type="dxa"/>
            </w:tcMar>
            <w:vAlign w:val="center"/>
          </w:tcPr>
          <w:p>
            <w:pPr>
              <w:rPr>
                <w:rFonts w:ascii="Times New Roman Regular" w:hAnsi="Times New Roman Regular" w:cs="Times New Roman Regular"/>
                <w:i/>
                <w:iCs/>
                <w:color w:val="000000" w:themeColor="text1"/>
                <w:sz w:val="20"/>
                <w:szCs w:val="20"/>
                <w14:textFill>
                  <w14:solidFill>
                    <w14:schemeClr w14:val="tx1"/>
                  </w14:solidFill>
                </w14:textFill>
              </w:rPr>
            </w:pPr>
            <w:r>
              <w:rPr>
                <w:rFonts w:ascii="Times New Roman Regular" w:hAnsi="Times New Roman Regular" w:cs="Times New Roman Regular"/>
                <w:i/>
                <w:iCs/>
                <w:color w:val="000000" w:themeColor="text1"/>
                <w:sz w:val="20"/>
                <w:szCs w:val="20"/>
                <w14:textFill>
                  <w14:solidFill>
                    <w14:schemeClr w14:val="tx1"/>
                  </w14:solidFill>
                </w14:textFill>
              </w:rPr>
              <w:t>treat*post</w:t>
            </w:r>
          </w:p>
        </w:tc>
        <w:tc>
          <w:tcPr>
            <w:tcW w:w="1403" w:type="dxa"/>
            <w:tcBorders>
              <w:top w:val="nil"/>
              <w:left w:val="nil"/>
              <w:bottom w:val="nil"/>
              <w:right w:val="nil"/>
            </w:tcBorders>
            <w:shd w:val="clear" w:color="auto" w:fill="auto"/>
            <w:tcMar>
              <w:left w:w="100" w:type="dxa"/>
              <w:right w:w="100" w:type="dxa"/>
            </w:tcMar>
            <w:vAlign w:val="center"/>
          </w:tcPr>
          <w:p>
            <w:pPr>
              <w:jc w:val="center"/>
              <w:rPr>
                <w:rFonts w:ascii="Times New Roman Regular" w:hAnsi="Times New Roman Regular" w:cs="Times New Roman Regular"/>
                <w:color w:val="000000" w:themeColor="text1"/>
                <w:sz w:val="20"/>
                <w:szCs w:val="20"/>
                <w14:textFill>
                  <w14:solidFill>
                    <w14:schemeClr w14:val="tx1"/>
                  </w14:solidFill>
                </w14:textFill>
              </w:rPr>
            </w:pPr>
            <w:r>
              <w:rPr>
                <w:rFonts w:ascii="Times New Roman Regular" w:hAnsi="Times New Roman Regular" w:cs="Times New Roman Regular"/>
                <w:color w:val="000000" w:themeColor="text1"/>
                <w:sz w:val="20"/>
                <w:szCs w:val="20"/>
                <w14:textFill>
                  <w14:solidFill>
                    <w14:schemeClr w14:val="tx1"/>
                  </w14:solidFill>
                </w14:textFill>
              </w:rPr>
              <w:t>0</w:t>
            </w:r>
            <w:r>
              <w:rPr>
                <w:rFonts w:hint="default" w:ascii="Times New Roman Regular" w:hAnsi="Times New Roman Regular" w:cs="Times New Roman Regular"/>
                <w:color w:val="000000" w:themeColor="text1"/>
                <w:sz w:val="20"/>
                <w:szCs w:val="20"/>
                <w:lang w:val="en-US"/>
                <w14:textFill>
                  <w14:solidFill>
                    <w14:schemeClr w14:val="tx1"/>
                  </w14:solidFill>
                </w14:textFill>
              </w:rPr>
              <w:t>.000</w:t>
            </w:r>
          </w:p>
        </w:tc>
        <w:tc>
          <w:tcPr>
            <w:tcW w:w="1403" w:type="dxa"/>
            <w:tcBorders>
              <w:top w:val="nil"/>
              <w:left w:val="nil"/>
              <w:bottom w:val="nil"/>
              <w:right w:val="nil"/>
            </w:tcBorders>
            <w:shd w:val="clear" w:color="auto" w:fill="auto"/>
            <w:tcMar>
              <w:left w:w="100" w:type="dxa"/>
              <w:right w:w="100" w:type="dxa"/>
            </w:tcMar>
            <w:vAlign w:val="center"/>
          </w:tcPr>
          <w:p>
            <w:pPr>
              <w:jc w:val="center"/>
              <w:rPr>
                <w:rFonts w:ascii="Times New Roman Regular" w:hAnsi="Times New Roman Regular" w:cs="Times New Roman Regular"/>
                <w:color w:val="000000" w:themeColor="text1"/>
                <w:sz w:val="20"/>
                <w:szCs w:val="20"/>
                <w14:textFill>
                  <w14:solidFill>
                    <w14:schemeClr w14:val="tx1"/>
                  </w14:solidFill>
                </w14:textFill>
              </w:rPr>
            </w:pPr>
            <w:r>
              <w:rPr>
                <w:rFonts w:ascii="Times New Roman Regular" w:hAnsi="Times New Roman Regular" w:cs="Times New Roman Regular"/>
                <w:color w:val="000000" w:themeColor="text1"/>
                <w:sz w:val="20"/>
                <w:szCs w:val="20"/>
                <w14:textFill>
                  <w14:solidFill>
                    <w14:schemeClr w14:val="tx1"/>
                  </w14:solidFill>
                </w14:textFill>
              </w:rPr>
              <w:t>0</w:t>
            </w:r>
            <w:r>
              <w:rPr>
                <w:rFonts w:hint="default" w:ascii="Times New Roman Regular" w:hAnsi="Times New Roman Regular" w:cs="Times New Roman Regular"/>
                <w:color w:val="000000" w:themeColor="text1"/>
                <w:sz w:val="20"/>
                <w:szCs w:val="20"/>
                <w:lang w:val="en-US"/>
                <w14:textFill>
                  <w14:solidFill>
                    <w14:schemeClr w14:val="tx1"/>
                  </w14:solidFill>
                </w14:textFill>
              </w:rPr>
              <w:t>.000</w:t>
            </w:r>
          </w:p>
        </w:tc>
        <w:tc>
          <w:tcPr>
            <w:tcW w:w="1403" w:type="dxa"/>
            <w:tcBorders>
              <w:top w:val="nil"/>
              <w:left w:val="nil"/>
              <w:bottom w:val="nil"/>
              <w:right w:val="nil"/>
            </w:tcBorders>
            <w:shd w:val="clear" w:color="auto" w:fill="auto"/>
            <w:tcMar>
              <w:left w:w="100" w:type="dxa"/>
              <w:right w:w="100" w:type="dxa"/>
            </w:tcMar>
            <w:vAlign w:val="center"/>
          </w:tcPr>
          <w:p>
            <w:pPr>
              <w:jc w:val="center"/>
              <w:rPr>
                <w:rFonts w:ascii="Times New Roman Regular" w:hAnsi="Times New Roman Regular" w:cs="Times New Roman Regular"/>
                <w:color w:val="000000" w:themeColor="text1"/>
                <w:sz w:val="20"/>
                <w:szCs w:val="20"/>
                <w14:textFill>
                  <w14:solidFill>
                    <w14:schemeClr w14:val="tx1"/>
                  </w14:solidFill>
                </w14:textFill>
              </w:rPr>
            </w:pPr>
            <w:r>
              <w:rPr>
                <w:rFonts w:hint="default" w:ascii="Times New Roman Regular" w:hAnsi="Times New Roman Regular" w:cs="Times New Roman Regular"/>
                <w:color w:val="000000" w:themeColor="text1"/>
                <w:sz w:val="20"/>
                <w:szCs w:val="20"/>
                <w:lang w:val="en-US"/>
                <w14:textFill>
                  <w14:solidFill>
                    <w14:schemeClr w14:val="tx1"/>
                  </w14:solidFill>
                </w14:textFill>
              </w:rPr>
              <w:t>0</w:t>
            </w:r>
            <w:r>
              <w:rPr>
                <w:rFonts w:ascii="Times New Roman Regular" w:hAnsi="Times New Roman Regular" w:cs="Times New Roman Regular"/>
                <w:color w:val="000000" w:themeColor="text1"/>
                <w:sz w:val="20"/>
                <w:szCs w:val="20"/>
                <w14:textFill>
                  <w14:solidFill>
                    <w14:schemeClr w14:val="tx1"/>
                  </w14:solidFill>
                </w14:textFill>
              </w:rPr>
              <w:t>.572</w:t>
            </w:r>
          </w:p>
        </w:tc>
        <w:tc>
          <w:tcPr>
            <w:tcW w:w="1403" w:type="dxa"/>
            <w:tcBorders>
              <w:top w:val="nil"/>
              <w:left w:val="nil"/>
              <w:bottom w:val="nil"/>
              <w:right w:val="nil"/>
            </w:tcBorders>
            <w:shd w:val="clear" w:color="auto" w:fill="auto"/>
            <w:tcMar>
              <w:left w:w="100" w:type="dxa"/>
              <w:right w:w="100" w:type="dxa"/>
            </w:tcMar>
            <w:vAlign w:val="center"/>
          </w:tcPr>
          <w:p>
            <w:pPr>
              <w:jc w:val="center"/>
              <w:rPr>
                <w:rFonts w:ascii="Times New Roman Regular" w:hAnsi="Times New Roman Regular" w:cs="Times New Roman Regular"/>
                <w:color w:val="000000" w:themeColor="text1"/>
                <w:sz w:val="20"/>
                <w:szCs w:val="20"/>
                <w14:textFill>
                  <w14:solidFill>
                    <w14:schemeClr w14:val="tx1"/>
                  </w14:solidFill>
                </w14:textFill>
              </w:rPr>
            </w:pPr>
            <w:r>
              <w:rPr>
                <w:rFonts w:ascii="Times New Roman Regular" w:hAnsi="Times New Roman Regular" w:eastAsia="PMingLiU" w:cs="Times New Roman Regular"/>
                <w:color w:val="000000" w:themeColor="text1"/>
                <w:sz w:val="20"/>
                <w:szCs w:val="20"/>
                <w:lang w:eastAsia="zh-TW"/>
                <w14:textFill>
                  <w14:solidFill>
                    <w14:schemeClr w14:val="tx1"/>
                  </w14:solidFill>
                </w14:textFill>
              </w:rPr>
              <w:t>0</w:t>
            </w:r>
            <w:r>
              <w:rPr>
                <w:rFonts w:ascii="Times New Roman Regular" w:hAnsi="Times New Roman Regular" w:cs="Times New Roman Regular"/>
                <w:color w:val="000000" w:themeColor="text1"/>
                <w:sz w:val="20"/>
                <w:szCs w:val="20"/>
                <w14:textFill>
                  <w14:solidFill>
                    <w14:schemeClr w14:val="tx1"/>
                  </w14:solidFill>
                </w14:textFill>
              </w:rPr>
              <w:t>.495</w:t>
            </w:r>
          </w:p>
        </w:tc>
        <w:tc>
          <w:tcPr>
            <w:tcW w:w="1404" w:type="dxa"/>
            <w:tcBorders>
              <w:top w:val="nil"/>
              <w:left w:val="nil"/>
              <w:bottom w:val="nil"/>
              <w:right w:val="nil"/>
            </w:tcBorders>
            <w:shd w:val="clear" w:color="auto" w:fill="auto"/>
            <w:tcMar>
              <w:left w:w="100" w:type="dxa"/>
              <w:right w:w="100" w:type="dxa"/>
            </w:tcMar>
            <w:vAlign w:val="center"/>
          </w:tcPr>
          <w:p>
            <w:pPr>
              <w:jc w:val="center"/>
              <w:rPr>
                <w:rFonts w:ascii="Times New Roman Regular" w:hAnsi="Times New Roman Regular" w:cs="Times New Roman Regular"/>
                <w:color w:val="000000" w:themeColor="text1"/>
                <w:sz w:val="20"/>
                <w:szCs w:val="20"/>
                <w14:textFill>
                  <w14:solidFill>
                    <w14:schemeClr w14:val="tx1"/>
                  </w14:solidFill>
                </w14:textFill>
              </w:rPr>
            </w:pPr>
            <w:r>
              <w:rPr>
                <w:rFonts w:ascii="Times New Roman Regular" w:hAnsi="Times New Roman Regular" w:cs="Times New Roman Regular"/>
                <w:color w:val="000000" w:themeColor="text1"/>
                <w:sz w:val="20"/>
                <w:szCs w:val="20"/>
                <w14:textFill>
                  <w14:solidFill>
                    <w14:schemeClr w14:val="tx1"/>
                  </w14:solidFill>
                </w14:textFill>
              </w:rPr>
              <w:t>-0.572***</w:t>
            </w:r>
          </w:p>
        </w:tc>
      </w:tr>
      <w:tr>
        <w:tc>
          <w:tcPr>
            <w:tcW w:w="1403" w:type="dxa"/>
            <w:tcBorders>
              <w:top w:val="nil"/>
              <w:left w:val="nil"/>
              <w:bottom w:val="nil"/>
              <w:right w:val="nil"/>
            </w:tcBorders>
            <w:shd w:val="clear" w:color="auto" w:fill="auto"/>
            <w:tcMar>
              <w:left w:w="100" w:type="dxa"/>
              <w:right w:w="100" w:type="dxa"/>
            </w:tcMar>
            <w:vAlign w:val="center"/>
          </w:tcPr>
          <w:p>
            <w:pPr>
              <w:rPr>
                <w:rFonts w:ascii="Times New Roman Regular" w:hAnsi="Times New Roman Regular" w:cs="Times New Roman Regular"/>
                <w:i/>
                <w:iCs/>
                <w:color w:val="000000" w:themeColor="text1"/>
                <w:sz w:val="20"/>
                <w:szCs w:val="20"/>
                <w14:textFill>
                  <w14:solidFill>
                    <w14:schemeClr w14:val="tx1"/>
                  </w14:solidFill>
                </w14:textFill>
              </w:rPr>
            </w:pPr>
            <w:r>
              <w:rPr>
                <w:rFonts w:ascii="Times New Roman Regular" w:hAnsi="Times New Roman Regular" w:cs="Times New Roman Regular"/>
                <w:i/>
                <w:iCs/>
                <w:color w:val="000000" w:themeColor="text1"/>
                <w:sz w:val="20"/>
                <w:szCs w:val="20"/>
                <w14:textFill>
                  <w14:solidFill>
                    <w14:schemeClr w14:val="tx1"/>
                  </w14:solidFill>
                </w14:textFill>
              </w:rPr>
              <w:t>econ</w:t>
            </w:r>
          </w:p>
        </w:tc>
        <w:tc>
          <w:tcPr>
            <w:tcW w:w="1403" w:type="dxa"/>
            <w:tcBorders>
              <w:top w:val="nil"/>
              <w:left w:val="nil"/>
              <w:bottom w:val="nil"/>
              <w:right w:val="nil"/>
            </w:tcBorders>
            <w:shd w:val="clear" w:color="auto" w:fill="auto"/>
            <w:tcMar>
              <w:left w:w="100" w:type="dxa"/>
              <w:right w:w="100" w:type="dxa"/>
            </w:tcMar>
            <w:vAlign w:val="center"/>
          </w:tcPr>
          <w:p>
            <w:pPr>
              <w:jc w:val="center"/>
              <w:rPr>
                <w:rFonts w:ascii="Times New Roman Regular" w:hAnsi="Times New Roman Regular" w:cs="Times New Roman Regular"/>
                <w:color w:val="000000" w:themeColor="text1"/>
                <w:sz w:val="20"/>
                <w:szCs w:val="20"/>
                <w14:textFill>
                  <w14:solidFill>
                    <w14:schemeClr w14:val="tx1"/>
                  </w14:solidFill>
                </w14:textFill>
              </w:rPr>
            </w:pPr>
            <w:r>
              <w:rPr>
                <w:rFonts w:hint="default" w:ascii="Times New Roman Regular" w:hAnsi="Times New Roman Regular" w:cs="Times New Roman Regular"/>
                <w:color w:val="000000" w:themeColor="text1"/>
                <w:sz w:val="20"/>
                <w:szCs w:val="20"/>
                <w:lang w:val="en-US"/>
                <w14:textFill>
                  <w14:solidFill>
                    <w14:schemeClr w14:val="tx1"/>
                  </w14:solidFill>
                </w14:textFill>
              </w:rPr>
              <w:t>0</w:t>
            </w:r>
            <w:r>
              <w:rPr>
                <w:rFonts w:ascii="Times New Roman Regular" w:hAnsi="Times New Roman Regular" w:cs="Times New Roman Regular"/>
                <w:color w:val="000000" w:themeColor="text1"/>
                <w:sz w:val="20"/>
                <w:szCs w:val="20"/>
                <w14:textFill>
                  <w14:solidFill>
                    <w14:schemeClr w14:val="tx1"/>
                  </w14:solidFill>
                </w14:textFill>
              </w:rPr>
              <w:t>.26</w:t>
            </w:r>
            <w:r>
              <w:rPr>
                <w:rFonts w:hint="default" w:ascii="Times New Roman Regular" w:hAnsi="Times New Roman Regular" w:cs="Times New Roman Regular"/>
                <w:color w:val="000000" w:themeColor="text1"/>
                <w:sz w:val="20"/>
                <w:szCs w:val="20"/>
                <w:lang w:val="en-US"/>
                <w14:textFill>
                  <w14:solidFill>
                    <w14:schemeClr w14:val="tx1"/>
                  </w14:solidFill>
                </w14:textFill>
              </w:rPr>
              <w:t>0</w:t>
            </w:r>
          </w:p>
        </w:tc>
        <w:tc>
          <w:tcPr>
            <w:tcW w:w="1403" w:type="dxa"/>
            <w:tcBorders>
              <w:top w:val="nil"/>
              <w:left w:val="nil"/>
              <w:bottom w:val="nil"/>
              <w:right w:val="nil"/>
            </w:tcBorders>
            <w:shd w:val="clear" w:color="auto" w:fill="auto"/>
            <w:tcMar>
              <w:left w:w="100" w:type="dxa"/>
              <w:right w:w="100" w:type="dxa"/>
            </w:tcMar>
            <w:vAlign w:val="center"/>
          </w:tcPr>
          <w:p>
            <w:pPr>
              <w:jc w:val="center"/>
              <w:rPr>
                <w:rFonts w:ascii="Times New Roman Regular" w:hAnsi="Times New Roman Regular" w:cs="Times New Roman Regular"/>
                <w:color w:val="000000" w:themeColor="text1"/>
                <w:sz w:val="20"/>
                <w:szCs w:val="20"/>
                <w14:textFill>
                  <w14:solidFill>
                    <w14:schemeClr w14:val="tx1"/>
                  </w14:solidFill>
                </w14:textFill>
              </w:rPr>
            </w:pPr>
            <w:r>
              <w:rPr>
                <w:rFonts w:hint="default" w:ascii="Times New Roman Regular" w:hAnsi="Times New Roman Regular" w:cs="Times New Roman Regular"/>
                <w:color w:val="000000" w:themeColor="text1"/>
                <w:sz w:val="20"/>
                <w:szCs w:val="20"/>
                <w:lang w:val="en-US"/>
                <w14:textFill>
                  <w14:solidFill>
                    <w14:schemeClr w14:val="tx1"/>
                  </w14:solidFill>
                </w14:textFill>
              </w:rPr>
              <w:t>0</w:t>
            </w:r>
            <w:r>
              <w:rPr>
                <w:rFonts w:ascii="Times New Roman Regular" w:hAnsi="Times New Roman Regular" w:cs="Times New Roman Regular"/>
                <w:color w:val="000000" w:themeColor="text1"/>
                <w:sz w:val="20"/>
                <w:szCs w:val="20"/>
                <w14:textFill>
                  <w14:solidFill>
                    <w14:schemeClr w14:val="tx1"/>
                  </w14:solidFill>
                </w14:textFill>
              </w:rPr>
              <w:t>.794</w:t>
            </w:r>
          </w:p>
        </w:tc>
        <w:tc>
          <w:tcPr>
            <w:tcW w:w="1403" w:type="dxa"/>
            <w:tcBorders>
              <w:top w:val="nil"/>
              <w:left w:val="nil"/>
              <w:bottom w:val="nil"/>
              <w:right w:val="nil"/>
            </w:tcBorders>
            <w:shd w:val="clear" w:color="auto" w:fill="auto"/>
            <w:tcMar>
              <w:left w:w="100" w:type="dxa"/>
              <w:right w:w="100" w:type="dxa"/>
            </w:tcMar>
            <w:vAlign w:val="center"/>
          </w:tcPr>
          <w:p>
            <w:pPr>
              <w:jc w:val="center"/>
              <w:rPr>
                <w:rFonts w:ascii="Times New Roman Regular" w:hAnsi="Times New Roman Regular" w:cs="Times New Roman Regular"/>
                <w:color w:val="000000" w:themeColor="text1"/>
                <w:sz w:val="20"/>
                <w:szCs w:val="20"/>
                <w14:textFill>
                  <w14:solidFill>
                    <w14:schemeClr w14:val="tx1"/>
                  </w14:solidFill>
                </w14:textFill>
              </w:rPr>
            </w:pPr>
            <w:r>
              <w:rPr>
                <w:rFonts w:hint="default" w:ascii="Times New Roman Regular" w:hAnsi="Times New Roman Regular" w:cs="Times New Roman Regular"/>
                <w:color w:val="000000" w:themeColor="text1"/>
                <w:sz w:val="20"/>
                <w:szCs w:val="20"/>
                <w:lang w:val="en-US"/>
                <w14:textFill>
                  <w14:solidFill>
                    <w14:schemeClr w14:val="tx1"/>
                  </w14:solidFill>
                </w14:textFill>
              </w:rPr>
              <w:t>0</w:t>
            </w:r>
            <w:r>
              <w:rPr>
                <w:rFonts w:ascii="Times New Roman Regular" w:hAnsi="Times New Roman Regular" w:cs="Times New Roman Regular"/>
                <w:color w:val="000000" w:themeColor="text1"/>
                <w:sz w:val="20"/>
                <w:szCs w:val="20"/>
                <w14:textFill>
                  <w14:solidFill>
                    <w14:schemeClr w14:val="tx1"/>
                  </w14:solidFill>
                </w14:textFill>
              </w:rPr>
              <w:t>.382</w:t>
            </w:r>
          </w:p>
        </w:tc>
        <w:tc>
          <w:tcPr>
            <w:tcW w:w="1403" w:type="dxa"/>
            <w:tcBorders>
              <w:top w:val="nil"/>
              <w:left w:val="nil"/>
              <w:bottom w:val="nil"/>
              <w:right w:val="nil"/>
            </w:tcBorders>
            <w:shd w:val="clear" w:color="auto" w:fill="auto"/>
            <w:tcMar>
              <w:left w:w="100" w:type="dxa"/>
              <w:right w:w="100" w:type="dxa"/>
            </w:tcMar>
            <w:vAlign w:val="center"/>
          </w:tcPr>
          <w:p>
            <w:pPr>
              <w:jc w:val="center"/>
              <w:rPr>
                <w:rFonts w:ascii="Times New Roman Regular" w:hAnsi="Times New Roman Regular" w:eastAsia="PMingLiU" w:cs="Times New Roman Regular"/>
                <w:color w:val="000000" w:themeColor="text1"/>
                <w:sz w:val="20"/>
                <w:szCs w:val="20"/>
                <w:lang w:eastAsia="zh-TW"/>
                <w14:textFill>
                  <w14:solidFill>
                    <w14:schemeClr w14:val="tx1"/>
                  </w14:solidFill>
                </w14:textFill>
              </w:rPr>
            </w:pPr>
            <w:r>
              <w:rPr>
                <w:rFonts w:hint="default" w:ascii="Times New Roman Regular" w:hAnsi="Times New Roman Regular" w:cs="Times New Roman Regular"/>
                <w:color w:val="000000" w:themeColor="text1"/>
                <w:sz w:val="20"/>
                <w:szCs w:val="20"/>
                <w:lang w:val="en-US"/>
                <w14:textFill>
                  <w14:solidFill>
                    <w14:schemeClr w14:val="tx1"/>
                  </w14:solidFill>
                </w14:textFill>
              </w:rPr>
              <w:t>0</w:t>
            </w:r>
            <w:r>
              <w:rPr>
                <w:rFonts w:ascii="Times New Roman Regular" w:hAnsi="Times New Roman Regular" w:cs="Times New Roman Regular"/>
                <w:color w:val="000000" w:themeColor="text1"/>
                <w:sz w:val="20"/>
                <w:szCs w:val="20"/>
                <w14:textFill>
                  <w14:solidFill>
                    <w14:schemeClr w14:val="tx1"/>
                  </w14:solidFill>
                </w14:textFill>
              </w:rPr>
              <w:t>.48</w:t>
            </w:r>
            <w:r>
              <w:rPr>
                <w:rFonts w:ascii="Times New Roman Regular" w:hAnsi="Times New Roman Regular" w:eastAsia="PMingLiU" w:cs="Times New Roman Regular"/>
                <w:color w:val="000000" w:themeColor="text1"/>
                <w:sz w:val="20"/>
                <w:szCs w:val="20"/>
                <w:lang w:eastAsia="zh-TW"/>
                <w14:textFill>
                  <w14:solidFill>
                    <w14:schemeClr w14:val="tx1"/>
                  </w14:solidFill>
                </w14:textFill>
              </w:rPr>
              <w:t>0</w:t>
            </w:r>
          </w:p>
        </w:tc>
        <w:tc>
          <w:tcPr>
            <w:tcW w:w="1404" w:type="dxa"/>
            <w:tcBorders>
              <w:top w:val="nil"/>
              <w:left w:val="nil"/>
              <w:bottom w:val="nil"/>
              <w:right w:val="nil"/>
            </w:tcBorders>
            <w:shd w:val="clear" w:color="auto" w:fill="auto"/>
            <w:tcMar>
              <w:left w:w="100" w:type="dxa"/>
              <w:right w:w="100" w:type="dxa"/>
            </w:tcMar>
            <w:vAlign w:val="center"/>
          </w:tcPr>
          <w:p>
            <w:pPr>
              <w:jc w:val="center"/>
              <w:rPr>
                <w:rFonts w:ascii="Times New Roman Regular" w:hAnsi="Times New Roman Regular" w:cs="Times New Roman Regular"/>
                <w:color w:val="000000" w:themeColor="text1"/>
                <w:sz w:val="20"/>
                <w:szCs w:val="20"/>
                <w14:textFill>
                  <w14:solidFill>
                    <w14:schemeClr w14:val="tx1"/>
                  </w14:solidFill>
                </w14:textFill>
              </w:rPr>
            </w:pPr>
            <w:r>
              <w:rPr>
                <w:rFonts w:ascii="Times New Roman Regular" w:hAnsi="Times New Roman Regular" w:cs="Times New Roman Regular"/>
                <w:color w:val="000000" w:themeColor="text1"/>
                <w:sz w:val="20"/>
                <w:szCs w:val="20"/>
                <w14:textFill>
                  <w14:solidFill>
                    <w14:schemeClr w14:val="tx1"/>
                  </w14:solidFill>
                </w14:textFill>
              </w:rPr>
              <w:t>-0.122***</w:t>
            </w:r>
          </w:p>
        </w:tc>
      </w:tr>
      <w:tr>
        <w:tc>
          <w:tcPr>
            <w:tcW w:w="1403" w:type="dxa"/>
            <w:tcBorders>
              <w:top w:val="nil"/>
              <w:left w:val="nil"/>
              <w:bottom w:val="nil"/>
              <w:right w:val="nil"/>
            </w:tcBorders>
            <w:shd w:val="clear" w:color="auto" w:fill="auto"/>
            <w:tcMar>
              <w:left w:w="100" w:type="dxa"/>
              <w:right w:w="100" w:type="dxa"/>
            </w:tcMar>
            <w:vAlign w:val="center"/>
          </w:tcPr>
          <w:p>
            <w:pPr>
              <w:rPr>
                <w:rFonts w:ascii="Times New Roman Regular" w:hAnsi="Times New Roman Regular" w:cs="Times New Roman Regular"/>
                <w:i/>
                <w:iCs/>
                <w:color w:val="000000" w:themeColor="text1"/>
                <w:sz w:val="20"/>
                <w:szCs w:val="20"/>
                <w14:textFill>
                  <w14:solidFill>
                    <w14:schemeClr w14:val="tx1"/>
                  </w14:solidFill>
                </w14:textFill>
              </w:rPr>
            </w:pPr>
            <w:r>
              <w:rPr>
                <w:rFonts w:ascii="Times New Roman Regular" w:hAnsi="Times New Roman Regular" w:cs="Times New Roman Regular"/>
                <w:i/>
                <w:iCs/>
                <w:color w:val="000000" w:themeColor="text1"/>
                <w:sz w:val="20"/>
                <w:szCs w:val="20"/>
                <w14:textFill>
                  <w14:solidFill>
                    <w14:schemeClr w14:val="tx1"/>
                  </w14:solidFill>
                </w14:textFill>
              </w:rPr>
              <w:t>gov</w:t>
            </w:r>
          </w:p>
        </w:tc>
        <w:tc>
          <w:tcPr>
            <w:tcW w:w="1403" w:type="dxa"/>
            <w:tcBorders>
              <w:top w:val="nil"/>
              <w:left w:val="nil"/>
              <w:bottom w:val="nil"/>
              <w:right w:val="nil"/>
            </w:tcBorders>
            <w:shd w:val="clear" w:color="auto" w:fill="auto"/>
            <w:tcMar>
              <w:left w:w="100" w:type="dxa"/>
              <w:right w:w="100" w:type="dxa"/>
            </w:tcMar>
            <w:vAlign w:val="center"/>
          </w:tcPr>
          <w:p>
            <w:pPr>
              <w:jc w:val="center"/>
              <w:rPr>
                <w:rFonts w:ascii="Times New Roman Regular" w:hAnsi="Times New Roman Regular" w:cs="Times New Roman Regular"/>
                <w:color w:val="000000" w:themeColor="text1"/>
                <w:sz w:val="20"/>
                <w:szCs w:val="20"/>
                <w14:textFill>
                  <w14:solidFill>
                    <w14:schemeClr w14:val="tx1"/>
                  </w14:solidFill>
                </w14:textFill>
              </w:rPr>
            </w:pPr>
            <w:r>
              <w:rPr>
                <w:rFonts w:hint="default" w:ascii="Times New Roman Regular" w:hAnsi="Times New Roman Regular" w:cs="Times New Roman Regular"/>
                <w:color w:val="000000" w:themeColor="text1"/>
                <w:sz w:val="20"/>
                <w:szCs w:val="20"/>
                <w:lang w:val="en-US"/>
                <w14:textFill>
                  <w14:solidFill>
                    <w14:schemeClr w14:val="tx1"/>
                  </w14:solidFill>
                </w14:textFill>
              </w:rPr>
              <w:t>0</w:t>
            </w:r>
            <w:r>
              <w:rPr>
                <w:rFonts w:ascii="Times New Roman Regular" w:hAnsi="Times New Roman Regular" w:cs="Times New Roman Regular"/>
                <w:color w:val="000000" w:themeColor="text1"/>
                <w:sz w:val="20"/>
                <w:szCs w:val="20"/>
                <w14:textFill>
                  <w14:solidFill>
                    <w14:schemeClr w14:val="tx1"/>
                  </w14:solidFill>
                </w14:textFill>
              </w:rPr>
              <w:t>.2</w:t>
            </w:r>
            <w:r>
              <w:rPr>
                <w:rFonts w:hint="default" w:ascii="Times New Roman Regular" w:hAnsi="Times New Roman Regular" w:cs="Times New Roman Regular"/>
                <w:color w:val="000000" w:themeColor="text1"/>
                <w:sz w:val="20"/>
                <w:szCs w:val="20"/>
                <w:lang w:val="en-US"/>
                <w14:textFill>
                  <w14:solidFill>
                    <w14:schemeClr w14:val="tx1"/>
                  </w14:solidFill>
                </w14:textFill>
              </w:rPr>
              <w:t>00</w:t>
            </w:r>
          </w:p>
        </w:tc>
        <w:tc>
          <w:tcPr>
            <w:tcW w:w="1403" w:type="dxa"/>
            <w:tcBorders>
              <w:top w:val="nil"/>
              <w:left w:val="nil"/>
              <w:bottom w:val="nil"/>
              <w:right w:val="nil"/>
            </w:tcBorders>
            <w:shd w:val="clear" w:color="auto" w:fill="auto"/>
            <w:tcMar>
              <w:left w:w="100" w:type="dxa"/>
              <w:right w:w="100" w:type="dxa"/>
            </w:tcMar>
            <w:vAlign w:val="center"/>
          </w:tcPr>
          <w:p>
            <w:pPr>
              <w:jc w:val="center"/>
              <w:rPr>
                <w:rFonts w:ascii="Times New Roman Regular" w:hAnsi="Times New Roman Regular" w:cs="Times New Roman Regular"/>
                <w:color w:val="000000" w:themeColor="text1"/>
                <w:sz w:val="20"/>
                <w:szCs w:val="20"/>
                <w14:textFill>
                  <w14:solidFill>
                    <w14:schemeClr w14:val="tx1"/>
                  </w14:solidFill>
                </w14:textFill>
              </w:rPr>
            </w:pPr>
            <w:r>
              <w:rPr>
                <w:rFonts w:hint="default" w:ascii="Times New Roman Regular" w:hAnsi="Times New Roman Regular" w:cs="Times New Roman Regular"/>
                <w:color w:val="000000" w:themeColor="text1"/>
                <w:sz w:val="20"/>
                <w:szCs w:val="20"/>
                <w:lang w:val="en-US"/>
                <w14:textFill>
                  <w14:solidFill>
                    <w14:schemeClr w14:val="tx1"/>
                  </w14:solidFill>
                </w14:textFill>
              </w:rPr>
              <w:t>0</w:t>
            </w:r>
            <w:r>
              <w:rPr>
                <w:rFonts w:ascii="Times New Roman Regular" w:hAnsi="Times New Roman Regular" w:cs="Times New Roman Regular"/>
                <w:color w:val="000000" w:themeColor="text1"/>
                <w:sz w:val="20"/>
                <w:szCs w:val="20"/>
                <w14:textFill>
                  <w14:solidFill>
                    <w14:schemeClr w14:val="tx1"/>
                  </w14:solidFill>
                </w14:textFill>
              </w:rPr>
              <w:t>.133</w:t>
            </w:r>
          </w:p>
        </w:tc>
        <w:tc>
          <w:tcPr>
            <w:tcW w:w="1403" w:type="dxa"/>
            <w:tcBorders>
              <w:top w:val="nil"/>
              <w:left w:val="nil"/>
              <w:bottom w:val="nil"/>
              <w:right w:val="nil"/>
            </w:tcBorders>
            <w:shd w:val="clear" w:color="auto" w:fill="auto"/>
            <w:tcMar>
              <w:left w:w="100" w:type="dxa"/>
              <w:right w:w="100" w:type="dxa"/>
            </w:tcMar>
            <w:vAlign w:val="center"/>
          </w:tcPr>
          <w:p>
            <w:pPr>
              <w:jc w:val="center"/>
              <w:rPr>
                <w:rFonts w:ascii="Times New Roman Regular" w:hAnsi="Times New Roman Regular" w:cs="Times New Roman Regular"/>
                <w:color w:val="000000" w:themeColor="text1"/>
                <w:sz w:val="20"/>
                <w:szCs w:val="20"/>
                <w14:textFill>
                  <w14:solidFill>
                    <w14:schemeClr w14:val="tx1"/>
                  </w14:solidFill>
                </w14:textFill>
              </w:rPr>
            </w:pPr>
            <w:r>
              <w:rPr>
                <w:rFonts w:hint="default" w:ascii="Times New Roman Regular" w:hAnsi="Times New Roman Regular" w:cs="Times New Roman Regular"/>
                <w:color w:val="000000" w:themeColor="text1"/>
                <w:sz w:val="20"/>
                <w:szCs w:val="20"/>
                <w:lang w:val="en-US"/>
                <w14:textFill>
                  <w14:solidFill>
                    <w14:schemeClr w14:val="tx1"/>
                  </w14:solidFill>
                </w14:textFill>
              </w:rPr>
              <w:t>0</w:t>
            </w:r>
            <w:r>
              <w:rPr>
                <w:rFonts w:ascii="Times New Roman Regular" w:hAnsi="Times New Roman Regular" w:cs="Times New Roman Regular"/>
                <w:color w:val="000000" w:themeColor="text1"/>
                <w:sz w:val="20"/>
                <w:szCs w:val="20"/>
                <w14:textFill>
                  <w14:solidFill>
                    <w14:schemeClr w14:val="tx1"/>
                  </w14:solidFill>
                </w14:textFill>
              </w:rPr>
              <w:t>.174</w:t>
            </w:r>
          </w:p>
        </w:tc>
        <w:tc>
          <w:tcPr>
            <w:tcW w:w="1403" w:type="dxa"/>
            <w:tcBorders>
              <w:top w:val="nil"/>
              <w:left w:val="nil"/>
              <w:bottom w:val="nil"/>
              <w:right w:val="nil"/>
            </w:tcBorders>
            <w:shd w:val="clear" w:color="auto" w:fill="auto"/>
            <w:tcMar>
              <w:left w:w="100" w:type="dxa"/>
              <w:right w:w="100" w:type="dxa"/>
            </w:tcMar>
            <w:vAlign w:val="center"/>
          </w:tcPr>
          <w:p>
            <w:pPr>
              <w:jc w:val="center"/>
              <w:rPr>
                <w:rFonts w:ascii="Times New Roman Regular" w:hAnsi="Times New Roman Regular" w:cs="Times New Roman Regular"/>
                <w:color w:val="000000" w:themeColor="text1"/>
                <w:sz w:val="20"/>
                <w:szCs w:val="20"/>
                <w14:textFill>
                  <w14:solidFill>
                    <w14:schemeClr w14:val="tx1"/>
                  </w14:solidFill>
                </w14:textFill>
              </w:rPr>
            </w:pPr>
            <w:r>
              <w:rPr>
                <w:rFonts w:hint="default" w:ascii="Times New Roman Regular" w:hAnsi="Times New Roman Regular" w:cs="Times New Roman Regular"/>
                <w:color w:val="000000" w:themeColor="text1"/>
                <w:sz w:val="20"/>
                <w:szCs w:val="20"/>
                <w:lang w:val="en-US"/>
                <w14:textFill>
                  <w14:solidFill>
                    <w14:schemeClr w14:val="tx1"/>
                  </w14:solidFill>
                </w14:textFill>
              </w:rPr>
              <w:t>0</w:t>
            </w:r>
            <w:r>
              <w:rPr>
                <w:rFonts w:ascii="Times New Roman Regular" w:hAnsi="Times New Roman Regular" w:cs="Times New Roman Regular"/>
                <w:color w:val="000000" w:themeColor="text1"/>
                <w:sz w:val="20"/>
                <w:szCs w:val="20"/>
                <w14:textFill>
                  <w14:solidFill>
                    <w14:schemeClr w14:val="tx1"/>
                  </w14:solidFill>
                </w14:textFill>
              </w:rPr>
              <w:t>.104</w:t>
            </w:r>
          </w:p>
        </w:tc>
        <w:tc>
          <w:tcPr>
            <w:tcW w:w="1404" w:type="dxa"/>
            <w:tcBorders>
              <w:top w:val="nil"/>
              <w:left w:val="nil"/>
              <w:bottom w:val="nil"/>
              <w:right w:val="nil"/>
            </w:tcBorders>
            <w:shd w:val="clear" w:color="auto" w:fill="auto"/>
            <w:tcMar>
              <w:left w:w="100" w:type="dxa"/>
              <w:right w:w="100" w:type="dxa"/>
            </w:tcMar>
            <w:vAlign w:val="center"/>
          </w:tcPr>
          <w:p>
            <w:pPr>
              <w:jc w:val="center"/>
              <w:rPr>
                <w:rFonts w:ascii="Times New Roman Regular" w:hAnsi="Times New Roman Regular" w:cs="Times New Roman Regular"/>
                <w:color w:val="000000" w:themeColor="text1"/>
                <w:sz w:val="20"/>
                <w:szCs w:val="20"/>
                <w14:textFill>
                  <w14:solidFill>
                    <w14:schemeClr w14:val="tx1"/>
                  </w14:solidFill>
                </w14:textFill>
              </w:rPr>
            </w:pPr>
            <w:r>
              <w:rPr>
                <w:rFonts w:ascii="Times New Roman Regular" w:hAnsi="Times New Roman Regular" w:cs="Times New Roman Regular"/>
                <w:color w:val="000000" w:themeColor="text1"/>
                <w:sz w:val="20"/>
                <w:szCs w:val="20"/>
                <w14:textFill>
                  <w14:solidFill>
                    <w14:schemeClr w14:val="tx1"/>
                  </w14:solidFill>
                </w14:textFill>
              </w:rPr>
              <w:t>0.026***</w:t>
            </w:r>
          </w:p>
        </w:tc>
      </w:tr>
      <w:tr>
        <w:tc>
          <w:tcPr>
            <w:tcW w:w="1403" w:type="dxa"/>
            <w:tcBorders>
              <w:top w:val="nil"/>
              <w:left w:val="nil"/>
              <w:bottom w:val="nil"/>
              <w:right w:val="nil"/>
            </w:tcBorders>
            <w:shd w:val="clear" w:color="auto" w:fill="auto"/>
            <w:tcMar>
              <w:left w:w="100" w:type="dxa"/>
              <w:right w:w="100" w:type="dxa"/>
            </w:tcMar>
            <w:vAlign w:val="center"/>
          </w:tcPr>
          <w:p>
            <w:pPr>
              <w:jc w:val="left"/>
              <w:rPr>
                <w:rFonts w:hint="default" w:ascii="Times New Roman Regular" w:hAnsi="Times New Roman Regular" w:cs="Times New Roman Regular" w:eastAsiaTheme="minorEastAsia"/>
                <w:i/>
                <w:iCs/>
                <w:color w:val="000000" w:themeColor="text1"/>
                <w:sz w:val="20"/>
                <w:szCs w:val="20"/>
                <w:lang w:val="en-US" w:eastAsia="zh-CN"/>
                <w14:textFill>
                  <w14:solidFill>
                    <w14:schemeClr w14:val="tx1"/>
                  </w14:solidFill>
                </w14:textFill>
              </w:rPr>
            </w:pPr>
            <w:r>
              <w:rPr>
                <w:rFonts w:hint="default" w:ascii="Times New Roman Regular" w:hAnsi="Times New Roman Regular" w:cs="Times New Roman Regular"/>
                <w:i/>
                <w:iCs/>
                <w:color w:val="000000" w:themeColor="text1"/>
                <w:sz w:val="20"/>
                <w:szCs w:val="20"/>
                <w:lang w:val="en-US" w:eastAsia="zh-CN"/>
                <w14:textFill>
                  <w14:solidFill>
                    <w14:schemeClr w14:val="tx1"/>
                  </w14:solidFill>
                </w14:textFill>
              </w:rPr>
              <w:t>lpr</w:t>
            </w:r>
          </w:p>
        </w:tc>
        <w:tc>
          <w:tcPr>
            <w:tcW w:w="1403" w:type="dxa"/>
            <w:tcBorders>
              <w:top w:val="nil"/>
              <w:left w:val="nil"/>
              <w:bottom w:val="nil"/>
              <w:right w:val="nil"/>
            </w:tcBorders>
            <w:shd w:val="clear" w:color="auto" w:fill="auto"/>
            <w:tcMar>
              <w:left w:w="100" w:type="dxa"/>
              <w:right w:w="100" w:type="dxa"/>
            </w:tcMar>
            <w:vAlign w:val="center"/>
          </w:tcPr>
          <w:p>
            <w:pPr>
              <w:jc w:val="center"/>
              <w:rPr>
                <w:rFonts w:hint="default" w:ascii="Times New Roman Regular" w:hAnsi="Times New Roman Regular" w:cs="Times New Roman Regular" w:eastAsiaTheme="minorEastAsia"/>
                <w:sz w:val="20"/>
                <w:szCs w:val="20"/>
                <w:lang w:val="en-US" w:eastAsia="zh-CN"/>
              </w:rPr>
            </w:pPr>
            <w:r>
              <w:rPr>
                <w:rFonts w:hint="default" w:ascii="Times New Roman Regular" w:hAnsi="Times New Roman Regular" w:cs="Times New Roman Regular"/>
                <w:sz w:val="20"/>
                <w:szCs w:val="20"/>
                <w:lang w:val="en-US" w:eastAsia="zh-CN"/>
              </w:rPr>
              <w:t>0.019</w:t>
            </w:r>
          </w:p>
        </w:tc>
        <w:tc>
          <w:tcPr>
            <w:tcW w:w="1403" w:type="dxa"/>
            <w:tcBorders>
              <w:top w:val="nil"/>
              <w:left w:val="nil"/>
              <w:bottom w:val="nil"/>
              <w:right w:val="nil"/>
            </w:tcBorders>
            <w:shd w:val="clear" w:color="auto" w:fill="auto"/>
            <w:tcMar>
              <w:left w:w="100" w:type="dxa"/>
              <w:right w:w="100" w:type="dxa"/>
            </w:tcMar>
            <w:vAlign w:val="center"/>
          </w:tcPr>
          <w:p>
            <w:pPr>
              <w:jc w:val="center"/>
              <w:rPr>
                <w:rFonts w:hint="default" w:ascii="Times New Roman Regular" w:hAnsi="Times New Roman Regular" w:cs="Times New Roman Regular" w:eastAsiaTheme="minorEastAsia"/>
                <w:sz w:val="20"/>
                <w:szCs w:val="20"/>
                <w:lang w:val="en-US" w:eastAsia="zh-CN"/>
              </w:rPr>
            </w:pPr>
            <w:r>
              <w:rPr>
                <w:rFonts w:hint="default" w:ascii="Times New Roman Regular" w:hAnsi="Times New Roman Regular" w:cs="Times New Roman Regular"/>
                <w:sz w:val="20"/>
                <w:szCs w:val="20"/>
                <w:lang w:val="en-US" w:eastAsia="zh-CN"/>
              </w:rPr>
              <w:t>0.025</w:t>
            </w:r>
          </w:p>
        </w:tc>
        <w:tc>
          <w:tcPr>
            <w:tcW w:w="1403" w:type="dxa"/>
            <w:tcBorders>
              <w:top w:val="nil"/>
              <w:left w:val="nil"/>
              <w:bottom w:val="nil"/>
              <w:right w:val="nil"/>
            </w:tcBorders>
            <w:shd w:val="clear" w:color="auto" w:fill="auto"/>
            <w:tcMar>
              <w:left w:w="100" w:type="dxa"/>
              <w:right w:w="100" w:type="dxa"/>
            </w:tcMar>
            <w:vAlign w:val="center"/>
          </w:tcPr>
          <w:p>
            <w:pPr>
              <w:jc w:val="center"/>
              <w:rPr>
                <w:rFonts w:hint="default" w:ascii="Times New Roman Regular" w:hAnsi="Times New Roman Regular" w:cs="Times New Roman Regular" w:eastAsiaTheme="minorEastAsia"/>
                <w:sz w:val="20"/>
                <w:szCs w:val="20"/>
                <w:lang w:val="en-US" w:eastAsia="zh-CN"/>
              </w:rPr>
            </w:pPr>
            <w:r>
              <w:rPr>
                <w:rFonts w:hint="default" w:ascii="Times New Roman Regular" w:hAnsi="Times New Roman Regular" w:cs="Times New Roman Regular"/>
                <w:sz w:val="20"/>
                <w:szCs w:val="20"/>
                <w:lang w:val="en-US" w:eastAsia="zh-CN"/>
              </w:rPr>
              <w:t>0.024</w:t>
            </w:r>
          </w:p>
        </w:tc>
        <w:tc>
          <w:tcPr>
            <w:tcW w:w="1403" w:type="dxa"/>
            <w:tcBorders>
              <w:top w:val="nil"/>
              <w:left w:val="nil"/>
              <w:bottom w:val="nil"/>
              <w:right w:val="nil"/>
            </w:tcBorders>
            <w:shd w:val="clear" w:color="auto" w:fill="auto"/>
            <w:tcMar>
              <w:left w:w="100" w:type="dxa"/>
              <w:right w:w="100" w:type="dxa"/>
            </w:tcMar>
            <w:vAlign w:val="center"/>
          </w:tcPr>
          <w:p>
            <w:pPr>
              <w:jc w:val="center"/>
              <w:rPr>
                <w:rFonts w:hint="default" w:ascii="Times New Roman Regular" w:hAnsi="Times New Roman Regular" w:cs="Times New Roman Regular" w:eastAsiaTheme="minorEastAsia"/>
                <w:sz w:val="20"/>
                <w:szCs w:val="20"/>
                <w:lang w:val="en-US" w:eastAsia="zh-CN"/>
              </w:rPr>
            </w:pPr>
            <w:r>
              <w:rPr>
                <w:rFonts w:hint="default" w:ascii="Times New Roman Regular" w:hAnsi="Times New Roman Regular" w:cs="Times New Roman Regular"/>
                <w:sz w:val="20"/>
                <w:szCs w:val="20"/>
                <w:lang w:val="en-US" w:eastAsia="zh-CN"/>
              </w:rPr>
              <w:t>0.0</w:t>
            </w:r>
            <w:r>
              <w:rPr>
                <w:rFonts w:hint="eastAsia" w:ascii="Times New Roman Regular" w:hAnsi="Times New Roman Regular" w:cs="Times New Roman Regular"/>
                <w:sz w:val="20"/>
                <w:szCs w:val="20"/>
                <w:lang w:val="en-US" w:eastAsia="zh-CN"/>
              </w:rPr>
              <w:t>2</w:t>
            </w:r>
            <w:r>
              <w:rPr>
                <w:rFonts w:hint="default" w:ascii="Times New Roman Regular" w:hAnsi="Times New Roman Regular" w:cs="Times New Roman Regular"/>
                <w:sz w:val="20"/>
                <w:szCs w:val="20"/>
                <w:lang w:val="en-US" w:eastAsia="zh-CN"/>
              </w:rPr>
              <w:t>9</w:t>
            </w:r>
          </w:p>
        </w:tc>
        <w:tc>
          <w:tcPr>
            <w:tcW w:w="1404" w:type="dxa"/>
            <w:tcBorders>
              <w:top w:val="nil"/>
              <w:left w:val="nil"/>
              <w:bottom w:val="nil"/>
              <w:right w:val="nil"/>
            </w:tcBorders>
            <w:shd w:val="clear" w:color="auto" w:fill="auto"/>
            <w:tcMar>
              <w:left w:w="100" w:type="dxa"/>
              <w:right w:w="100" w:type="dxa"/>
            </w:tcMar>
            <w:vAlign w:val="center"/>
          </w:tcPr>
          <w:p>
            <w:pPr>
              <w:jc w:val="center"/>
              <w:rPr>
                <w:rFonts w:ascii="Times New Roman Regular" w:hAnsi="Times New Roman Regular" w:cs="Times New Roman Regular"/>
                <w:sz w:val="20"/>
                <w:szCs w:val="20"/>
              </w:rPr>
            </w:pPr>
            <w:r>
              <w:rPr>
                <w:rFonts w:ascii="Times New Roman Regular" w:hAnsi="Times New Roman Regular" w:cs="Times New Roman Regular" w:eastAsiaTheme="minorEastAsia"/>
                <w:kern w:val="2"/>
                <w:sz w:val="20"/>
                <w:szCs w:val="20"/>
                <w:lang w:val="en-US" w:eastAsia="zh-CN" w:bidi="ar"/>
              </w:rPr>
              <w:t>-0.006***</w:t>
            </w:r>
          </w:p>
        </w:tc>
      </w:tr>
      <w:tr>
        <w:tc>
          <w:tcPr>
            <w:tcW w:w="1403" w:type="dxa"/>
            <w:tcBorders>
              <w:top w:val="nil"/>
              <w:left w:val="nil"/>
              <w:bottom w:val="nil"/>
              <w:right w:val="nil"/>
            </w:tcBorders>
            <w:shd w:val="clear" w:color="auto" w:fill="auto"/>
            <w:tcMar>
              <w:left w:w="100" w:type="dxa"/>
              <w:right w:w="100" w:type="dxa"/>
            </w:tcMar>
            <w:vAlign w:val="center"/>
          </w:tcPr>
          <w:p>
            <w:pPr>
              <w:rPr>
                <w:rFonts w:ascii="Times New Roman Regular" w:hAnsi="Times New Roman Regular" w:cs="Times New Roman Regular"/>
                <w:i/>
                <w:iCs/>
                <w:color w:val="000000" w:themeColor="text1"/>
                <w:sz w:val="20"/>
                <w:szCs w:val="20"/>
                <w14:textFill>
                  <w14:solidFill>
                    <w14:schemeClr w14:val="tx1"/>
                  </w14:solidFill>
                </w14:textFill>
              </w:rPr>
            </w:pPr>
            <w:r>
              <w:rPr>
                <w:rFonts w:ascii="Times New Roman Regular" w:hAnsi="Times New Roman Regular" w:cs="Times New Roman Regular"/>
                <w:i/>
                <w:iCs/>
                <w:color w:val="000000" w:themeColor="text1"/>
                <w:sz w:val="20"/>
                <w:szCs w:val="20"/>
                <w14:textFill>
                  <w14:solidFill>
                    <w14:schemeClr w14:val="tx1"/>
                  </w14:solidFill>
                </w14:textFill>
              </w:rPr>
              <w:t>infra</w:t>
            </w:r>
          </w:p>
        </w:tc>
        <w:tc>
          <w:tcPr>
            <w:tcW w:w="1403" w:type="dxa"/>
            <w:tcBorders>
              <w:top w:val="nil"/>
              <w:left w:val="nil"/>
              <w:bottom w:val="nil"/>
              <w:right w:val="nil"/>
            </w:tcBorders>
            <w:shd w:val="clear" w:color="auto" w:fill="auto"/>
            <w:tcMar>
              <w:left w:w="100" w:type="dxa"/>
              <w:right w:w="100" w:type="dxa"/>
            </w:tcMar>
            <w:vAlign w:val="center"/>
          </w:tcPr>
          <w:p>
            <w:pPr>
              <w:jc w:val="center"/>
              <w:rPr>
                <w:rFonts w:ascii="Times New Roman Regular" w:hAnsi="Times New Roman Regular" w:cs="Times New Roman Regular"/>
                <w:color w:val="000000" w:themeColor="text1"/>
                <w:sz w:val="20"/>
                <w:szCs w:val="20"/>
                <w14:textFill>
                  <w14:solidFill>
                    <w14:schemeClr w14:val="tx1"/>
                  </w14:solidFill>
                </w14:textFill>
              </w:rPr>
            </w:pPr>
            <w:r>
              <w:rPr>
                <w:rFonts w:ascii="Times New Roman Regular" w:hAnsi="Times New Roman Regular" w:cs="Times New Roman Regular"/>
                <w:color w:val="000000" w:themeColor="text1"/>
                <w:sz w:val="20"/>
                <w:szCs w:val="20"/>
                <w14:textFill>
                  <w14:solidFill>
                    <w14:schemeClr w14:val="tx1"/>
                  </w14:solidFill>
                </w14:textFill>
              </w:rPr>
              <w:t>74.039</w:t>
            </w:r>
          </w:p>
        </w:tc>
        <w:tc>
          <w:tcPr>
            <w:tcW w:w="1403" w:type="dxa"/>
            <w:tcBorders>
              <w:top w:val="nil"/>
              <w:left w:val="nil"/>
              <w:bottom w:val="nil"/>
              <w:right w:val="nil"/>
            </w:tcBorders>
            <w:shd w:val="clear" w:color="auto" w:fill="auto"/>
            <w:tcMar>
              <w:left w:w="100" w:type="dxa"/>
              <w:right w:w="100" w:type="dxa"/>
            </w:tcMar>
            <w:vAlign w:val="center"/>
          </w:tcPr>
          <w:p>
            <w:pPr>
              <w:jc w:val="center"/>
              <w:rPr>
                <w:rFonts w:ascii="Times New Roman Regular" w:hAnsi="Times New Roman Regular" w:cs="Times New Roman Regular"/>
                <w:color w:val="000000" w:themeColor="text1"/>
                <w:sz w:val="20"/>
                <w:szCs w:val="20"/>
                <w14:textFill>
                  <w14:solidFill>
                    <w14:schemeClr w14:val="tx1"/>
                  </w14:solidFill>
                </w14:textFill>
              </w:rPr>
            </w:pPr>
            <w:r>
              <w:rPr>
                <w:rFonts w:ascii="Times New Roman Regular" w:hAnsi="Times New Roman Regular" w:cs="Times New Roman Regular"/>
                <w:color w:val="000000" w:themeColor="text1"/>
                <w:sz w:val="20"/>
                <w:szCs w:val="20"/>
                <w14:textFill>
                  <w14:solidFill>
                    <w14:schemeClr w14:val="tx1"/>
                  </w14:solidFill>
                </w14:textFill>
              </w:rPr>
              <w:t>336.516</w:t>
            </w:r>
          </w:p>
        </w:tc>
        <w:tc>
          <w:tcPr>
            <w:tcW w:w="1403" w:type="dxa"/>
            <w:tcBorders>
              <w:top w:val="nil"/>
              <w:left w:val="nil"/>
              <w:bottom w:val="nil"/>
              <w:right w:val="nil"/>
            </w:tcBorders>
            <w:shd w:val="clear" w:color="auto" w:fill="auto"/>
            <w:tcMar>
              <w:left w:w="100" w:type="dxa"/>
              <w:right w:w="100" w:type="dxa"/>
            </w:tcMar>
            <w:vAlign w:val="center"/>
          </w:tcPr>
          <w:p>
            <w:pPr>
              <w:jc w:val="center"/>
              <w:rPr>
                <w:rFonts w:ascii="Times New Roman Regular" w:hAnsi="Times New Roman Regular" w:cs="Times New Roman Regular"/>
                <w:color w:val="000000" w:themeColor="text1"/>
                <w:sz w:val="20"/>
                <w:szCs w:val="20"/>
                <w14:textFill>
                  <w14:solidFill>
                    <w14:schemeClr w14:val="tx1"/>
                  </w14:solidFill>
                </w14:textFill>
              </w:rPr>
            </w:pPr>
            <w:r>
              <w:rPr>
                <w:rFonts w:ascii="Times New Roman Regular" w:hAnsi="Times New Roman Regular" w:cs="Times New Roman Regular"/>
                <w:color w:val="000000" w:themeColor="text1"/>
                <w:sz w:val="20"/>
                <w:szCs w:val="20"/>
                <w14:textFill>
                  <w14:solidFill>
                    <w14:schemeClr w14:val="tx1"/>
                  </w14:solidFill>
                </w14:textFill>
              </w:rPr>
              <w:t>63.389</w:t>
            </w:r>
          </w:p>
        </w:tc>
        <w:tc>
          <w:tcPr>
            <w:tcW w:w="1403" w:type="dxa"/>
            <w:tcBorders>
              <w:top w:val="nil"/>
              <w:left w:val="nil"/>
              <w:bottom w:val="nil"/>
              <w:right w:val="nil"/>
            </w:tcBorders>
            <w:shd w:val="clear" w:color="auto" w:fill="auto"/>
            <w:tcMar>
              <w:left w:w="100" w:type="dxa"/>
              <w:right w:w="100" w:type="dxa"/>
            </w:tcMar>
            <w:vAlign w:val="center"/>
          </w:tcPr>
          <w:p>
            <w:pPr>
              <w:jc w:val="center"/>
              <w:rPr>
                <w:rFonts w:ascii="Times New Roman Regular" w:hAnsi="Times New Roman Regular" w:cs="Times New Roman Regular"/>
                <w:color w:val="000000" w:themeColor="text1"/>
                <w:sz w:val="20"/>
                <w:szCs w:val="20"/>
                <w14:textFill>
                  <w14:solidFill>
                    <w14:schemeClr w14:val="tx1"/>
                  </w14:solidFill>
                </w14:textFill>
              </w:rPr>
            </w:pPr>
            <w:r>
              <w:rPr>
                <w:rFonts w:ascii="Times New Roman Regular" w:hAnsi="Times New Roman Regular" w:cs="Times New Roman Regular"/>
                <w:color w:val="000000" w:themeColor="text1"/>
                <w:sz w:val="20"/>
                <w:szCs w:val="20"/>
                <w14:textFill>
                  <w14:solidFill>
                    <w14:schemeClr w14:val="tx1"/>
                  </w14:solidFill>
                </w14:textFill>
              </w:rPr>
              <w:t>62.277</w:t>
            </w:r>
          </w:p>
        </w:tc>
        <w:tc>
          <w:tcPr>
            <w:tcW w:w="1404" w:type="dxa"/>
            <w:tcBorders>
              <w:top w:val="nil"/>
              <w:left w:val="nil"/>
              <w:bottom w:val="nil"/>
              <w:right w:val="nil"/>
            </w:tcBorders>
            <w:shd w:val="clear" w:color="auto" w:fill="auto"/>
            <w:tcMar>
              <w:left w:w="100" w:type="dxa"/>
              <w:right w:w="100" w:type="dxa"/>
            </w:tcMar>
            <w:vAlign w:val="center"/>
          </w:tcPr>
          <w:p>
            <w:pPr>
              <w:jc w:val="center"/>
              <w:rPr>
                <w:rFonts w:ascii="Times New Roman Regular" w:hAnsi="Times New Roman Regular" w:cs="Times New Roman Regular"/>
                <w:color w:val="000000" w:themeColor="text1"/>
                <w:sz w:val="20"/>
                <w:szCs w:val="20"/>
                <w14:textFill>
                  <w14:solidFill>
                    <w14:schemeClr w14:val="tx1"/>
                  </w14:solidFill>
                </w14:textFill>
              </w:rPr>
            </w:pPr>
            <w:r>
              <w:rPr>
                <w:rFonts w:ascii="Times New Roman Regular" w:hAnsi="Times New Roman Regular" w:cs="Times New Roman Regular"/>
                <w:color w:val="000000" w:themeColor="text1"/>
                <w:sz w:val="20"/>
                <w:szCs w:val="20"/>
                <w14:textFill>
                  <w14:solidFill>
                    <w14:schemeClr w14:val="tx1"/>
                  </w14:solidFill>
                </w14:textFill>
              </w:rPr>
              <w:t>10.650</w:t>
            </w:r>
          </w:p>
        </w:tc>
      </w:tr>
      <w:tr>
        <w:tc>
          <w:tcPr>
            <w:tcW w:w="1403" w:type="dxa"/>
            <w:tcBorders>
              <w:top w:val="nil"/>
              <w:left w:val="nil"/>
              <w:bottom w:val="nil"/>
              <w:right w:val="nil"/>
            </w:tcBorders>
            <w:shd w:val="clear" w:color="auto" w:fill="auto"/>
            <w:tcMar>
              <w:left w:w="100" w:type="dxa"/>
              <w:right w:w="100" w:type="dxa"/>
            </w:tcMar>
            <w:vAlign w:val="center"/>
          </w:tcPr>
          <w:p>
            <w:pPr>
              <w:rPr>
                <w:rFonts w:ascii="Times New Roman Regular" w:hAnsi="Times New Roman Regular" w:cs="Times New Roman Regular"/>
                <w:i/>
                <w:iCs/>
                <w:color w:val="000000" w:themeColor="text1"/>
                <w:sz w:val="20"/>
                <w:szCs w:val="20"/>
                <w14:textFill>
                  <w14:solidFill>
                    <w14:schemeClr w14:val="tx1"/>
                  </w14:solidFill>
                </w14:textFill>
              </w:rPr>
            </w:pPr>
            <w:r>
              <w:rPr>
                <w:rFonts w:ascii="Times New Roman Regular" w:hAnsi="Times New Roman Regular" w:cs="Times New Roman Regular"/>
                <w:i/>
                <w:iCs/>
                <w:color w:val="000000" w:themeColor="text1"/>
                <w:sz w:val="20"/>
                <w:szCs w:val="20"/>
                <w14:textFill>
                  <w14:solidFill>
                    <w14:schemeClr w14:val="tx1"/>
                  </w14:solidFill>
                </w14:textFill>
              </w:rPr>
              <w:t>open</w:t>
            </w:r>
          </w:p>
        </w:tc>
        <w:tc>
          <w:tcPr>
            <w:tcW w:w="1403" w:type="dxa"/>
            <w:tcBorders>
              <w:top w:val="nil"/>
              <w:left w:val="nil"/>
              <w:bottom w:val="nil"/>
              <w:right w:val="nil"/>
            </w:tcBorders>
            <w:shd w:val="clear" w:color="auto" w:fill="auto"/>
            <w:tcMar>
              <w:left w:w="100" w:type="dxa"/>
              <w:right w:w="100" w:type="dxa"/>
            </w:tcMar>
            <w:vAlign w:val="center"/>
          </w:tcPr>
          <w:p>
            <w:pPr>
              <w:jc w:val="center"/>
              <w:rPr>
                <w:rFonts w:ascii="Times New Roman Regular" w:hAnsi="Times New Roman Regular" w:cs="Times New Roman Regular"/>
                <w:color w:val="000000" w:themeColor="text1"/>
                <w:sz w:val="20"/>
                <w:szCs w:val="20"/>
                <w14:textFill>
                  <w14:solidFill>
                    <w14:schemeClr w14:val="tx1"/>
                  </w14:solidFill>
                </w14:textFill>
              </w:rPr>
            </w:pPr>
            <w:r>
              <w:rPr>
                <w:rFonts w:hint="default" w:ascii="Times New Roman Regular" w:hAnsi="Times New Roman Regular" w:cs="Times New Roman Regular"/>
                <w:color w:val="000000" w:themeColor="text1"/>
                <w:sz w:val="20"/>
                <w:szCs w:val="20"/>
                <w:lang w:val="en-US"/>
                <w14:textFill>
                  <w14:solidFill>
                    <w14:schemeClr w14:val="tx1"/>
                  </w14:solidFill>
                </w14:textFill>
              </w:rPr>
              <w:t>0</w:t>
            </w:r>
            <w:r>
              <w:rPr>
                <w:rFonts w:ascii="Times New Roman Regular" w:hAnsi="Times New Roman Regular" w:cs="Times New Roman Regular"/>
                <w:color w:val="000000" w:themeColor="text1"/>
                <w:sz w:val="20"/>
                <w:szCs w:val="20"/>
                <w14:textFill>
                  <w14:solidFill>
                    <w14:schemeClr w14:val="tx1"/>
                  </w14:solidFill>
                </w14:textFill>
              </w:rPr>
              <w:t>.015</w:t>
            </w:r>
          </w:p>
        </w:tc>
        <w:tc>
          <w:tcPr>
            <w:tcW w:w="1403" w:type="dxa"/>
            <w:tcBorders>
              <w:top w:val="nil"/>
              <w:left w:val="nil"/>
              <w:bottom w:val="nil"/>
              <w:right w:val="nil"/>
            </w:tcBorders>
            <w:shd w:val="clear" w:color="auto" w:fill="auto"/>
            <w:tcMar>
              <w:left w:w="100" w:type="dxa"/>
              <w:right w:w="100" w:type="dxa"/>
            </w:tcMar>
            <w:vAlign w:val="center"/>
          </w:tcPr>
          <w:p>
            <w:pPr>
              <w:jc w:val="center"/>
              <w:rPr>
                <w:rFonts w:ascii="Times New Roman Regular" w:hAnsi="Times New Roman Regular" w:cs="Times New Roman Regular"/>
                <w:color w:val="000000" w:themeColor="text1"/>
                <w:sz w:val="20"/>
                <w:szCs w:val="20"/>
                <w14:textFill>
                  <w14:solidFill>
                    <w14:schemeClr w14:val="tx1"/>
                  </w14:solidFill>
                </w14:textFill>
              </w:rPr>
            </w:pPr>
            <w:r>
              <w:rPr>
                <w:rFonts w:hint="default" w:ascii="Times New Roman Regular" w:hAnsi="Times New Roman Regular" w:cs="Times New Roman Regular"/>
                <w:color w:val="000000" w:themeColor="text1"/>
                <w:sz w:val="20"/>
                <w:szCs w:val="20"/>
                <w:lang w:val="en-US"/>
                <w14:textFill>
                  <w14:solidFill>
                    <w14:schemeClr w14:val="tx1"/>
                  </w14:solidFill>
                </w14:textFill>
              </w:rPr>
              <w:t>0</w:t>
            </w:r>
            <w:r>
              <w:rPr>
                <w:rFonts w:ascii="Times New Roman Regular" w:hAnsi="Times New Roman Regular" w:cs="Times New Roman Regular"/>
                <w:color w:val="000000" w:themeColor="text1"/>
                <w:sz w:val="20"/>
                <w:szCs w:val="20"/>
                <w14:textFill>
                  <w14:solidFill>
                    <w14:schemeClr w14:val="tx1"/>
                  </w14:solidFill>
                </w14:textFill>
              </w:rPr>
              <w:t>.018</w:t>
            </w:r>
          </w:p>
        </w:tc>
        <w:tc>
          <w:tcPr>
            <w:tcW w:w="1403" w:type="dxa"/>
            <w:tcBorders>
              <w:top w:val="nil"/>
              <w:left w:val="nil"/>
              <w:bottom w:val="nil"/>
              <w:right w:val="nil"/>
            </w:tcBorders>
            <w:shd w:val="clear" w:color="auto" w:fill="auto"/>
            <w:tcMar>
              <w:left w:w="100" w:type="dxa"/>
              <w:right w:w="100" w:type="dxa"/>
            </w:tcMar>
            <w:vAlign w:val="center"/>
          </w:tcPr>
          <w:p>
            <w:pPr>
              <w:jc w:val="center"/>
              <w:rPr>
                <w:rFonts w:ascii="Times New Roman Regular" w:hAnsi="Times New Roman Regular" w:cs="Times New Roman Regular"/>
                <w:color w:val="000000" w:themeColor="text1"/>
                <w:sz w:val="20"/>
                <w:szCs w:val="20"/>
                <w14:textFill>
                  <w14:solidFill>
                    <w14:schemeClr w14:val="tx1"/>
                  </w14:solidFill>
                </w14:textFill>
              </w:rPr>
            </w:pPr>
            <w:r>
              <w:rPr>
                <w:rFonts w:hint="default" w:ascii="Times New Roman Regular" w:hAnsi="Times New Roman Regular" w:cs="Times New Roman Regular"/>
                <w:color w:val="000000" w:themeColor="text1"/>
                <w:sz w:val="20"/>
                <w:szCs w:val="20"/>
                <w:lang w:val="en-US"/>
                <w14:textFill>
                  <w14:solidFill>
                    <w14:schemeClr w14:val="tx1"/>
                  </w14:solidFill>
                </w14:textFill>
              </w:rPr>
              <w:t>0</w:t>
            </w:r>
            <w:r>
              <w:rPr>
                <w:rFonts w:ascii="Times New Roman Regular" w:hAnsi="Times New Roman Regular" w:cs="Times New Roman Regular"/>
                <w:color w:val="000000" w:themeColor="text1"/>
                <w:sz w:val="20"/>
                <w:szCs w:val="20"/>
                <w14:textFill>
                  <w14:solidFill>
                    <w14:schemeClr w14:val="tx1"/>
                  </w14:solidFill>
                </w14:textFill>
              </w:rPr>
              <w:t>.026</w:t>
            </w:r>
          </w:p>
        </w:tc>
        <w:tc>
          <w:tcPr>
            <w:tcW w:w="1403" w:type="dxa"/>
            <w:tcBorders>
              <w:top w:val="nil"/>
              <w:left w:val="nil"/>
              <w:bottom w:val="nil"/>
              <w:right w:val="nil"/>
            </w:tcBorders>
            <w:shd w:val="clear" w:color="auto" w:fill="auto"/>
            <w:tcMar>
              <w:left w:w="100" w:type="dxa"/>
              <w:right w:w="100" w:type="dxa"/>
            </w:tcMar>
            <w:vAlign w:val="center"/>
          </w:tcPr>
          <w:p>
            <w:pPr>
              <w:jc w:val="center"/>
              <w:rPr>
                <w:rFonts w:ascii="Times New Roman Regular" w:hAnsi="Times New Roman Regular" w:cs="Times New Roman Regular"/>
                <w:color w:val="000000" w:themeColor="text1"/>
                <w:sz w:val="20"/>
                <w:szCs w:val="20"/>
                <w14:textFill>
                  <w14:solidFill>
                    <w14:schemeClr w14:val="tx1"/>
                  </w14:solidFill>
                </w14:textFill>
              </w:rPr>
            </w:pPr>
            <w:r>
              <w:rPr>
                <w:rFonts w:hint="default" w:ascii="Times New Roman Regular" w:hAnsi="Times New Roman Regular" w:cs="Times New Roman Regular"/>
                <w:color w:val="000000" w:themeColor="text1"/>
                <w:sz w:val="20"/>
                <w:szCs w:val="20"/>
                <w:lang w:val="en-US"/>
                <w14:textFill>
                  <w14:solidFill>
                    <w14:schemeClr w14:val="tx1"/>
                  </w14:solidFill>
                </w14:textFill>
              </w:rPr>
              <w:t>0</w:t>
            </w:r>
            <w:r>
              <w:rPr>
                <w:rFonts w:ascii="Times New Roman Regular" w:hAnsi="Times New Roman Regular" w:cs="Times New Roman Regular"/>
                <w:color w:val="000000" w:themeColor="text1"/>
                <w:sz w:val="20"/>
                <w:szCs w:val="20"/>
                <w14:textFill>
                  <w14:solidFill>
                    <w14:schemeClr w14:val="tx1"/>
                  </w14:solidFill>
                </w14:textFill>
              </w:rPr>
              <w:t>.021</w:t>
            </w:r>
          </w:p>
        </w:tc>
        <w:tc>
          <w:tcPr>
            <w:tcW w:w="1404" w:type="dxa"/>
            <w:tcBorders>
              <w:top w:val="nil"/>
              <w:left w:val="nil"/>
              <w:bottom w:val="nil"/>
              <w:right w:val="nil"/>
            </w:tcBorders>
            <w:shd w:val="clear" w:color="auto" w:fill="auto"/>
            <w:tcMar>
              <w:left w:w="100" w:type="dxa"/>
              <w:right w:w="100" w:type="dxa"/>
            </w:tcMar>
            <w:vAlign w:val="center"/>
          </w:tcPr>
          <w:p>
            <w:pPr>
              <w:jc w:val="center"/>
              <w:rPr>
                <w:rFonts w:ascii="Times New Roman Regular" w:hAnsi="Times New Roman Regular" w:cs="Times New Roman Regular"/>
                <w:color w:val="000000" w:themeColor="text1"/>
                <w:sz w:val="20"/>
                <w:szCs w:val="20"/>
                <w14:textFill>
                  <w14:solidFill>
                    <w14:schemeClr w14:val="tx1"/>
                  </w14:solidFill>
                </w14:textFill>
              </w:rPr>
            </w:pPr>
            <w:r>
              <w:rPr>
                <w:rFonts w:ascii="Times New Roman Regular" w:hAnsi="Times New Roman Regular" w:cs="Times New Roman Regular"/>
                <w:color w:val="000000" w:themeColor="text1"/>
                <w:sz w:val="20"/>
                <w:szCs w:val="20"/>
                <w14:textFill>
                  <w14:solidFill>
                    <w14:schemeClr w14:val="tx1"/>
                  </w14:solidFill>
                </w14:textFill>
              </w:rPr>
              <w:t>-0.010***</w:t>
            </w:r>
          </w:p>
        </w:tc>
      </w:tr>
      <w:tr>
        <w:trPr>
          <w:trHeight w:val="90" w:hRule="atLeast"/>
        </w:trPr>
        <w:tc>
          <w:tcPr>
            <w:tcW w:w="1403" w:type="dxa"/>
            <w:tcBorders>
              <w:top w:val="nil"/>
              <w:left w:val="nil"/>
              <w:bottom w:val="nil"/>
              <w:right w:val="nil"/>
            </w:tcBorders>
            <w:shd w:val="clear" w:color="auto" w:fill="auto"/>
            <w:tcMar>
              <w:left w:w="100" w:type="dxa"/>
              <w:right w:w="100" w:type="dxa"/>
            </w:tcMar>
            <w:vAlign w:val="center"/>
          </w:tcPr>
          <w:p>
            <w:pPr>
              <w:rPr>
                <w:rFonts w:ascii="Times New Roman Regular" w:hAnsi="Times New Roman Regular" w:cs="Times New Roman Regular"/>
                <w:i/>
                <w:iCs/>
                <w:color w:val="000000" w:themeColor="text1"/>
                <w:sz w:val="20"/>
                <w:szCs w:val="20"/>
                <w14:textFill>
                  <w14:solidFill>
                    <w14:schemeClr w14:val="tx1"/>
                  </w14:solidFill>
                </w14:textFill>
              </w:rPr>
            </w:pPr>
            <w:r>
              <w:rPr>
                <w:rFonts w:ascii="Times New Roman Regular" w:hAnsi="Times New Roman Regular" w:cs="Times New Roman Regular"/>
                <w:i/>
                <w:iCs/>
                <w:color w:val="000000" w:themeColor="text1"/>
                <w:sz w:val="20"/>
                <w:szCs w:val="20"/>
                <w14:textFill>
                  <w14:solidFill>
                    <w14:schemeClr w14:val="tx1"/>
                  </w14:solidFill>
                </w14:textFill>
              </w:rPr>
              <w:t>urban</w:t>
            </w:r>
          </w:p>
        </w:tc>
        <w:tc>
          <w:tcPr>
            <w:tcW w:w="1403" w:type="dxa"/>
            <w:tcBorders>
              <w:top w:val="nil"/>
              <w:left w:val="nil"/>
              <w:bottom w:val="nil"/>
              <w:right w:val="nil"/>
            </w:tcBorders>
            <w:shd w:val="clear" w:color="auto" w:fill="auto"/>
            <w:tcMar>
              <w:left w:w="100" w:type="dxa"/>
              <w:right w:w="100" w:type="dxa"/>
            </w:tcMar>
            <w:vAlign w:val="center"/>
          </w:tcPr>
          <w:p>
            <w:pPr>
              <w:jc w:val="center"/>
              <w:rPr>
                <w:rFonts w:ascii="Times New Roman Regular" w:hAnsi="Times New Roman Regular" w:cs="Times New Roman Regular"/>
                <w:color w:val="000000" w:themeColor="text1"/>
                <w:sz w:val="20"/>
                <w:szCs w:val="20"/>
                <w14:textFill>
                  <w14:solidFill>
                    <w14:schemeClr w14:val="tx1"/>
                  </w14:solidFill>
                </w14:textFill>
              </w:rPr>
            </w:pPr>
            <w:r>
              <w:rPr>
                <w:rFonts w:hint="default" w:ascii="Times New Roman Regular" w:hAnsi="Times New Roman Regular" w:cs="Times New Roman Regular"/>
                <w:color w:val="000000" w:themeColor="text1"/>
                <w:sz w:val="20"/>
                <w:szCs w:val="20"/>
                <w:lang w:val="en-US"/>
                <w14:textFill>
                  <w14:solidFill>
                    <w14:schemeClr w14:val="tx1"/>
                  </w14:solidFill>
                </w14:textFill>
              </w:rPr>
              <w:t>0</w:t>
            </w:r>
            <w:r>
              <w:rPr>
                <w:rFonts w:ascii="Times New Roman Regular" w:hAnsi="Times New Roman Regular" w:cs="Times New Roman Regular"/>
                <w:color w:val="000000" w:themeColor="text1"/>
                <w:sz w:val="20"/>
                <w:szCs w:val="20"/>
                <w14:textFill>
                  <w14:solidFill>
                    <w14:schemeClr w14:val="tx1"/>
                  </w14:solidFill>
                </w14:textFill>
              </w:rPr>
              <w:t>.519</w:t>
            </w:r>
          </w:p>
        </w:tc>
        <w:tc>
          <w:tcPr>
            <w:tcW w:w="1403" w:type="dxa"/>
            <w:tcBorders>
              <w:top w:val="nil"/>
              <w:left w:val="nil"/>
              <w:bottom w:val="nil"/>
              <w:right w:val="nil"/>
            </w:tcBorders>
            <w:shd w:val="clear" w:color="auto" w:fill="auto"/>
            <w:tcMar>
              <w:left w:w="100" w:type="dxa"/>
              <w:right w:w="100" w:type="dxa"/>
            </w:tcMar>
            <w:vAlign w:val="center"/>
          </w:tcPr>
          <w:p>
            <w:pPr>
              <w:jc w:val="center"/>
              <w:rPr>
                <w:rFonts w:ascii="Times New Roman Regular" w:hAnsi="Times New Roman Regular" w:cs="Times New Roman Regular"/>
                <w:color w:val="000000" w:themeColor="text1"/>
                <w:sz w:val="20"/>
                <w:szCs w:val="20"/>
                <w14:textFill>
                  <w14:solidFill>
                    <w14:schemeClr w14:val="tx1"/>
                  </w14:solidFill>
                </w14:textFill>
              </w:rPr>
            </w:pPr>
            <w:r>
              <w:rPr>
                <w:rFonts w:hint="default" w:ascii="Times New Roman Regular" w:hAnsi="Times New Roman Regular" w:cs="Times New Roman Regular"/>
                <w:color w:val="000000" w:themeColor="text1"/>
                <w:sz w:val="20"/>
                <w:szCs w:val="20"/>
                <w:lang w:val="en-US"/>
                <w14:textFill>
                  <w14:solidFill>
                    <w14:schemeClr w14:val="tx1"/>
                  </w14:solidFill>
                </w14:textFill>
              </w:rPr>
              <w:t>0</w:t>
            </w:r>
            <w:r>
              <w:rPr>
                <w:rFonts w:ascii="Times New Roman Regular" w:hAnsi="Times New Roman Regular" w:cs="Times New Roman Regular"/>
                <w:color w:val="000000" w:themeColor="text1"/>
                <w:sz w:val="20"/>
                <w:szCs w:val="20"/>
                <w14:textFill>
                  <w14:solidFill>
                    <w14:schemeClr w14:val="tx1"/>
                  </w14:solidFill>
                </w14:textFill>
              </w:rPr>
              <w:t>.166</w:t>
            </w:r>
          </w:p>
        </w:tc>
        <w:tc>
          <w:tcPr>
            <w:tcW w:w="1403" w:type="dxa"/>
            <w:tcBorders>
              <w:top w:val="nil"/>
              <w:left w:val="nil"/>
              <w:bottom w:val="nil"/>
              <w:right w:val="nil"/>
            </w:tcBorders>
            <w:shd w:val="clear" w:color="auto" w:fill="auto"/>
            <w:tcMar>
              <w:left w:w="100" w:type="dxa"/>
              <w:right w:w="100" w:type="dxa"/>
            </w:tcMar>
            <w:vAlign w:val="center"/>
          </w:tcPr>
          <w:p>
            <w:pPr>
              <w:jc w:val="center"/>
              <w:rPr>
                <w:rFonts w:ascii="Times New Roman Regular" w:hAnsi="Times New Roman Regular" w:cs="Times New Roman Regular"/>
                <w:color w:val="000000" w:themeColor="text1"/>
                <w:sz w:val="20"/>
                <w:szCs w:val="20"/>
                <w14:textFill>
                  <w14:solidFill>
                    <w14:schemeClr w14:val="tx1"/>
                  </w14:solidFill>
                </w14:textFill>
              </w:rPr>
            </w:pPr>
            <w:r>
              <w:rPr>
                <w:rFonts w:hint="default" w:ascii="Times New Roman Regular" w:hAnsi="Times New Roman Regular" w:cs="Times New Roman Regular"/>
                <w:color w:val="000000" w:themeColor="text1"/>
                <w:sz w:val="20"/>
                <w:szCs w:val="20"/>
                <w:lang w:val="en-US"/>
                <w14:textFill>
                  <w14:solidFill>
                    <w14:schemeClr w14:val="tx1"/>
                  </w14:solidFill>
                </w14:textFill>
              </w:rPr>
              <w:t>0</w:t>
            </w:r>
            <w:r>
              <w:rPr>
                <w:rFonts w:ascii="Times New Roman Regular" w:hAnsi="Times New Roman Regular" w:cs="Times New Roman Regular"/>
                <w:color w:val="000000" w:themeColor="text1"/>
                <w:sz w:val="20"/>
                <w:szCs w:val="20"/>
                <w14:textFill>
                  <w14:solidFill>
                    <w14:schemeClr w14:val="tx1"/>
                  </w14:solidFill>
                </w14:textFill>
              </w:rPr>
              <w:t>.57</w:t>
            </w:r>
            <w:r>
              <w:rPr>
                <w:rFonts w:hint="default" w:ascii="Times New Roman Regular" w:hAnsi="Times New Roman Regular" w:cs="Times New Roman Regular"/>
                <w:color w:val="000000" w:themeColor="text1"/>
                <w:sz w:val="20"/>
                <w:szCs w:val="20"/>
                <w:lang w:val="en-US"/>
                <w14:textFill>
                  <w14:solidFill>
                    <w14:schemeClr w14:val="tx1"/>
                  </w14:solidFill>
                </w14:textFill>
              </w:rPr>
              <w:t>0</w:t>
            </w:r>
          </w:p>
        </w:tc>
        <w:tc>
          <w:tcPr>
            <w:tcW w:w="1403" w:type="dxa"/>
            <w:tcBorders>
              <w:top w:val="nil"/>
              <w:left w:val="nil"/>
              <w:bottom w:val="nil"/>
              <w:right w:val="nil"/>
            </w:tcBorders>
            <w:shd w:val="clear" w:color="auto" w:fill="auto"/>
            <w:tcMar>
              <w:left w:w="100" w:type="dxa"/>
              <w:right w:w="100" w:type="dxa"/>
            </w:tcMar>
            <w:vAlign w:val="center"/>
          </w:tcPr>
          <w:p>
            <w:pPr>
              <w:jc w:val="center"/>
              <w:rPr>
                <w:rFonts w:ascii="Times New Roman Regular" w:hAnsi="Times New Roman Regular" w:cs="Times New Roman Regular"/>
                <w:color w:val="000000" w:themeColor="text1"/>
                <w:sz w:val="20"/>
                <w:szCs w:val="20"/>
                <w14:textFill>
                  <w14:solidFill>
                    <w14:schemeClr w14:val="tx1"/>
                  </w14:solidFill>
                </w14:textFill>
              </w:rPr>
            </w:pPr>
            <w:r>
              <w:rPr>
                <w:rFonts w:hint="default" w:ascii="Times New Roman Regular" w:hAnsi="Times New Roman Regular" w:cs="Times New Roman Regular"/>
                <w:color w:val="000000" w:themeColor="text1"/>
                <w:sz w:val="20"/>
                <w:szCs w:val="20"/>
                <w:lang w:val="en-US"/>
                <w14:textFill>
                  <w14:solidFill>
                    <w14:schemeClr w14:val="tx1"/>
                  </w14:solidFill>
                </w14:textFill>
              </w:rPr>
              <w:t>0</w:t>
            </w:r>
            <w:r>
              <w:rPr>
                <w:rFonts w:ascii="Times New Roman Regular" w:hAnsi="Times New Roman Regular" w:cs="Times New Roman Regular"/>
                <w:color w:val="000000" w:themeColor="text1"/>
                <w:sz w:val="20"/>
                <w:szCs w:val="20"/>
                <w14:textFill>
                  <w14:solidFill>
                    <w14:schemeClr w14:val="tx1"/>
                  </w14:solidFill>
                </w14:textFill>
              </w:rPr>
              <w:t>.14</w:t>
            </w:r>
            <w:r>
              <w:rPr>
                <w:rFonts w:hint="default" w:ascii="Times New Roman Regular" w:hAnsi="Times New Roman Regular" w:cs="Times New Roman Regular"/>
                <w:color w:val="000000" w:themeColor="text1"/>
                <w:sz w:val="20"/>
                <w:szCs w:val="20"/>
                <w:lang w:val="en-US"/>
                <w14:textFill>
                  <w14:solidFill>
                    <w14:schemeClr w14:val="tx1"/>
                  </w14:solidFill>
                </w14:textFill>
              </w:rPr>
              <w:t>0</w:t>
            </w:r>
          </w:p>
        </w:tc>
        <w:tc>
          <w:tcPr>
            <w:tcW w:w="1404" w:type="dxa"/>
            <w:tcBorders>
              <w:top w:val="nil"/>
              <w:left w:val="nil"/>
              <w:bottom w:val="nil"/>
              <w:right w:val="nil"/>
            </w:tcBorders>
            <w:shd w:val="clear" w:color="auto" w:fill="auto"/>
            <w:tcMar>
              <w:left w:w="100" w:type="dxa"/>
              <w:right w:w="100" w:type="dxa"/>
            </w:tcMar>
            <w:vAlign w:val="center"/>
          </w:tcPr>
          <w:p>
            <w:pPr>
              <w:jc w:val="center"/>
              <w:rPr>
                <w:rFonts w:ascii="Times New Roman Regular" w:hAnsi="Times New Roman Regular" w:cs="Times New Roman Regular"/>
                <w:color w:val="000000" w:themeColor="text1"/>
                <w:sz w:val="20"/>
                <w:szCs w:val="20"/>
                <w14:textFill>
                  <w14:solidFill>
                    <w14:schemeClr w14:val="tx1"/>
                  </w14:solidFill>
                </w14:textFill>
              </w:rPr>
            </w:pPr>
            <w:r>
              <w:rPr>
                <w:rFonts w:ascii="Times New Roman Regular" w:hAnsi="Times New Roman Regular" w:cs="Times New Roman Regular"/>
                <w:color w:val="000000" w:themeColor="text1"/>
                <w:sz w:val="20"/>
                <w:szCs w:val="20"/>
                <w14:textFill>
                  <w14:solidFill>
                    <w14:schemeClr w14:val="tx1"/>
                  </w14:solidFill>
                </w14:textFill>
              </w:rPr>
              <w:t>-0.051***</w:t>
            </w:r>
          </w:p>
        </w:tc>
      </w:tr>
      <w:tr>
        <w:tc>
          <w:tcPr>
            <w:tcW w:w="1403" w:type="dxa"/>
            <w:tcBorders>
              <w:top w:val="nil"/>
              <w:left w:val="nil"/>
              <w:bottom w:val="double" w:color="auto" w:sz="4" w:space="0"/>
              <w:right w:val="nil"/>
            </w:tcBorders>
            <w:shd w:val="clear" w:color="auto" w:fill="auto"/>
            <w:tcMar>
              <w:left w:w="100" w:type="dxa"/>
              <w:right w:w="100" w:type="dxa"/>
            </w:tcMar>
            <w:vAlign w:val="center"/>
          </w:tcPr>
          <w:p>
            <w:pPr>
              <w:rPr>
                <w:rFonts w:ascii="Times New Roman Regular" w:hAnsi="Times New Roman Regular" w:cs="Times New Roman Regular"/>
                <w:i/>
                <w:iCs/>
                <w:color w:val="000000" w:themeColor="text1"/>
                <w:sz w:val="20"/>
                <w:szCs w:val="20"/>
                <w14:textFill>
                  <w14:solidFill>
                    <w14:schemeClr w14:val="tx1"/>
                  </w14:solidFill>
                </w14:textFill>
              </w:rPr>
            </w:pPr>
            <w:r>
              <w:rPr>
                <w:rFonts w:ascii="Times New Roman Regular" w:hAnsi="Times New Roman Regular" w:cs="Times New Roman Regular"/>
                <w:i/>
                <w:iCs/>
                <w:color w:val="000000" w:themeColor="text1"/>
                <w:sz w:val="20"/>
                <w:szCs w:val="20"/>
                <w14:textFill>
                  <w14:solidFill>
                    <w14:schemeClr w14:val="tx1"/>
                  </w14:solidFill>
                </w14:textFill>
              </w:rPr>
              <w:t>edu3</w:t>
            </w:r>
          </w:p>
        </w:tc>
        <w:tc>
          <w:tcPr>
            <w:tcW w:w="1403" w:type="dxa"/>
            <w:tcBorders>
              <w:top w:val="nil"/>
              <w:left w:val="nil"/>
              <w:bottom w:val="double" w:color="auto" w:sz="4" w:space="0"/>
              <w:right w:val="nil"/>
            </w:tcBorders>
            <w:shd w:val="clear" w:color="auto" w:fill="auto"/>
            <w:tcMar>
              <w:left w:w="100" w:type="dxa"/>
              <w:right w:w="100" w:type="dxa"/>
            </w:tcMar>
            <w:vAlign w:val="center"/>
          </w:tcPr>
          <w:p>
            <w:pPr>
              <w:jc w:val="center"/>
              <w:rPr>
                <w:rFonts w:ascii="Times New Roman Regular" w:hAnsi="Times New Roman Regular" w:cs="Times New Roman Regular"/>
                <w:color w:val="000000" w:themeColor="text1"/>
                <w:sz w:val="20"/>
                <w:szCs w:val="20"/>
                <w14:textFill>
                  <w14:solidFill>
                    <w14:schemeClr w14:val="tx1"/>
                  </w14:solidFill>
                </w14:textFill>
              </w:rPr>
            </w:pPr>
            <w:r>
              <w:rPr>
                <w:rFonts w:hint="default" w:ascii="Times New Roman Regular" w:hAnsi="Times New Roman Regular" w:cs="Times New Roman Regular"/>
                <w:color w:val="000000" w:themeColor="text1"/>
                <w:sz w:val="20"/>
                <w:szCs w:val="20"/>
                <w:lang w:val="en-US"/>
                <w14:textFill>
                  <w14:solidFill>
                    <w14:schemeClr w14:val="tx1"/>
                  </w14:solidFill>
                </w14:textFill>
              </w:rPr>
              <w:t>0</w:t>
            </w:r>
            <w:r>
              <w:rPr>
                <w:rFonts w:ascii="Times New Roman Regular" w:hAnsi="Times New Roman Regular" w:cs="Times New Roman Regular"/>
                <w:color w:val="000000" w:themeColor="text1"/>
                <w:sz w:val="20"/>
                <w:szCs w:val="20"/>
                <w14:textFill>
                  <w14:solidFill>
                    <w14:schemeClr w14:val="tx1"/>
                  </w14:solidFill>
                </w14:textFill>
              </w:rPr>
              <w:t>.017</w:t>
            </w:r>
          </w:p>
        </w:tc>
        <w:tc>
          <w:tcPr>
            <w:tcW w:w="1403" w:type="dxa"/>
            <w:tcBorders>
              <w:top w:val="nil"/>
              <w:left w:val="nil"/>
              <w:bottom w:val="double" w:color="auto" w:sz="4" w:space="0"/>
              <w:right w:val="nil"/>
            </w:tcBorders>
            <w:shd w:val="clear" w:color="auto" w:fill="auto"/>
            <w:tcMar>
              <w:left w:w="100" w:type="dxa"/>
              <w:right w:w="100" w:type="dxa"/>
            </w:tcMar>
            <w:vAlign w:val="center"/>
          </w:tcPr>
          <w:p>
            <w:pPr>
              <w:jc w:val="center"/>
              <w:rPr>
                <w:rFonts w:ascii="Times New Roman Regular" w:hAnsi="Times New Roman Regular" w:cs="Times New Roman Regular"/>
                <w:color w:val="000000" w:themeColor="text1"/>
                <w:sz w:val="20"/>
                <w:szCs w:val="20"/>
                <w14:textFill>
                  <w14:solidFill>
                    <w14:schemeClr w14:val="tx1"/>
                  </w14:solidFill>
                </w14:textFill>
              </w:rPr>
            </w:pPr>
            <w:r>
              <w:rPr>
                <w:rFonts w:hint="default" w:ascii="Times New Roman Regular" w:hAnsi="Times New Roman Regular" w:cs="Times New Roman Regular"/>
                <w:color w:val="000000" w:themeColor="text1"/>
                <w:sz w:val="20"/>
                <w:szCs w:val="20"/>
                <w:lang w:val="en-US"/>
                <w14:textFill>
                  <w14:solidFill>
                    <w14:schemeClr w14:val="tx1"/>
                  </w14:solidFill>
                </w14:textFill>
              </w:rPr>
              <w:t>0</w:t>
            </w:r>
            <w:r>
              <w:rPr>
                <w:rFonts w:ascii="Times New Roman Regular" w:hAnsi="Times New Roman Regular" w:cs="Times New Roman Regular"/>
                <w:color w:val="000000" w:themeColor="text1"/>
                <w:sz w:val="20"/>
                <w:szCs w:val="20"/>
                <w14:textFill>
                  <w14:solidFill>
                    <w14:schemeClr w14:val="tx1"/>
                  </w14:solidFill>
                </w14:textFill>
              </w:rPr>
              <w:t>.024</w:t>
            </w:r>
          </w:p>
        </w:tc>
        <w:tc>
          <w:tcPr>
            <w:tcW w:w="1403" w:type="dxa"/>
            <w:tcBorders>
              <w:top w:val="nil"/>
              <w:left w:val="nil"/>
              <w:bottom w:val="double" w:color="auto" w:sz="4" w:space="0"/>
              <w:right w:val="nil"/>
            </w:tcBorders>
            <w:shd w:val="clear" w:color="auto" w:fill="auto"/>
            <w:tcMar>
              <w:left w:w="100" w:type="dxa"/>
              <w:right w:w="100" w:type="dxa"/>
            </w:tcMar>
            <w:vAlign w:val="center"/>
          </w:tcPr>
          <w:p>
            <w:pPr>
              <w:jc w:val="center"/>
              <w:rPr>
                <w:rFonts w:ascii="Times New Roman Regular" w:hAnsi="Times New Roman Regular" w:cs="Times New Roman Regular"/>
                <w:color w:val="000000" w:themeColor="text1"/>
                <w:sz w:val="20"/>
                <w:szCs w:val="20"/>
                <w14:textFill>
                  <w14:solidFill>
                    <w14:schemeClr w14:val="tx1"/>
                  </w14:solidFill>
                </w14:textFill>
              </w:rPr>
            </w:pPr>
            <w:r>
              <w:rPr>
                <w:rFonts w:hint="default" w:ascii="Times New Roman Regular" w:hAnsi="Times New Roman Regular" w:cs="Times New Roman Regular"/>
                <w:color w:val="000000" w:themeColor="text1"/>
                <w:sz w:val="20"/>
                <w:szCs w:val="20"/>
                <w:lang w:val="en-US"/>
                <w14:textFill>
                  <w14:solidFill>
                    <w14:schemeClr w14:val="tx1"/>
                  </w14:solidFill>
                </w14:textFill>
              </w:rPr>
              <w:t>0</w:t>
            </w:r>
            <w:r>
              <w:rPr>
                <w:rFonts w:ascii="Times New Roman Regular" w:hAnsi="Times New Roman Regular" w:cs="Times New Roman Regular"/>
                <w:color w:val="000000" w:themeColor="text1"/>
                <w:sz w:val="20"/>
                <w:szCs w:val="20"/>
                <w14:textFill>
                  <w14:solidFill>
                    <w14:schemeClr w14:val="tx1"/>
                  </w14:solidFill>
                </w14:textFill>
              </w:rPr>
              <w:t>.023</w:t>
            </w:r>
          </w:p>
        </w:tc>
        <w:tc>
          <w:tcPr>
            <w:tcW w:w="1403" w:type="dxa"/>
            <w:tcBorders>
              <w:top w:val="nil"/>
              <w:left w:val="nil"/>
              <w:bottom w:val="double" w:color="auto" w:sz="4" w:space="0"/>
              <w:right w:val="nil"/>
            </w:tcBorders>
            <w:shd w:val="clear" w:color="auto" w:fill="auto"/>
            <w:tcMar>
              <w:left w:w="100" w:type="dxa"/>
              <w:right w:w="100" w:type="dxa"/>
            </w:tcMar>
            <w:vAlign w:val="center"/>
          </w:tcPr>
          <w:p>
            <w:pPr>
              <w:jc w:val="center"/>
              <w:rPr>
                <w:rFonts w:ascii="Times New Roman Regular" w:hAnsi="Times New Roman Regular" w:cs="Times New Roman Regular"/>
                <w:color w:val="000000" w:themeColor="text1"/>
                <w:sz w:val="20"/>
                <w:szCs w:val="20"/>
                <w14:textFill>
                  <w14:solidFill>
                    <w14:schemeClr w14:val="tx1"/>
                  </w14:solidFill>
                </w14:textFill>
              </w:rPr>
            </w:pPr>
            <w:r>
              <w:rPr>
                <w:rFonts w:hint="default" w:ascii="Times New Roman Regular" w:hAnsi="Times New Roman Regular" w:cs="Times New Roman Regular"/>
                <w:color w:val="000000" w:themeColor="text1"/>
                <w:sz w:val="20"/>
                <w:szCs w:val="20"/>
                <w:lang w:val="en-US"/>
                <w14:textFill>
                  <w14:solidFill>
                    <w14:schemeClr w14:val="tx1"/>
                  </w14:solidFill>
                </w14:textFill>
              </w:rPr>
              <w:t>0</w:t>
            </w:r>
            <w:r>
              <w:rPr>
                <w:rFonts w:ascii="Times New Roman Regular" w:hAnsi="Times New Roman Regular" w:cs="Times New Roman Regular"/>
                <w:color w:val="000000" w:themeColor="text1"/>
                <w:sz w:val="20"/>
                <w:szCs w:val="20"/>
                <w14:textFill>
                  <w14:solidFill>
                    <w14:schemeClr w14:val="tx1"/>
                  </w14:solidFill>
                </w14:textFill>
              </w:rPr>
              <w:t>.028</w:t>
            </w:r>
          </w:p>
        </w:tc>
        <w:tc>
          <w:tcPr>
            <w:tcW w:w="1404" w:type="dxa"/>
            <w:tcBorders>
              <w:top w:val="nil"/>
              <w:left w:val="nil"/>
              <w:bottom w:val="double" w:color="auto" w:sz="4" w:space="0"/>
              <w:right w:val="nil"/>
            </w:tcBorders>
            <w:shd w:val="clear" w:color="auto" w:fill="auto"/>
            <w:tcMar>
              <w:left w:w="100" w:type="dxa"/>
              <w:right w:w="100" w:type="dxa"/>
            </w:tcMar>
            <w:vAlign w:val="center"/>
          </w:tcPr>
          <w:p>
            <w:pPr>
              <w:jc w:val="center"/>
              <w:rPr>
                <w:rFonts w:ascii="Times New Roman Regular" w:hAnsi="Times New Roman Regular" w:cs="Times New Roman Regular"/>
                <w:color w:val="000000" w:themeColor="text1"/>
                <w:sz w:val="20"/>
                <w:szCs w:val="20"/>
                <w14:textFill>
                  <w14:solidFill>
                    <w14:schemeClr w14:val="tx1"/>
                  </w14:solidFill>
                </w14:textFill>
              </w:rPr>
            </w:pPr>
            <w:r>
              <w:rPr>
                <w:rFonts w:ascii="Times New Roman Regular" w:hAnsi="Times New Roman Regular" w:cs="Times New Roman Regular"/>
                <w:color w:val="000000" w:themeColor="text1"/>
                <w:sz w:val="20"/>
                <w:szCs w:val="20"/>
                <w14:textFill>
                  <w14:solidFill>
                    <w14:schemeClr w14:val="tx1"/>
                  </w14:solidFill>
                </w14:textFill>
              </w:rPr>
              <w:t>-0.006***</w:t>
            </w:r>
          </w:p>
        </w:tc>
      </w:tr>
    </w:tbl>
    <w:p>
      <w:pPr>
        <w:rPr>
          <w:rFonts w:ascii="Times New Roman Regular" w:hAnsi="Times New Roman Regular" w:cs="Times New Roman Regular"/>
          <w:color w:val="000000" w:themeColor="text1"/>
          <w:sz w:val="16"/>
          <w:szCs w:val="16"/>
          <w14:textFill>
            <w14:solidFill>
              <w14:schemeClr w14:val="tx1"/>
            </w14:solidFill>
          </w14:textFill>
        </w:rPr>
      </w:pPr>
    </w:p>
    <w:p>
      <w:pPr>
        <w:spacing w:before="0" w:beforeLines="0" w:after="156" w:afterLines="50"/>
        <w:rPr>
          <w:rFonts w:ascii="Times New Roman Bold" w:hAnsi="Times New Roman Bold" w:cs="Times New Roman Bold"/>
          <w:b/>
          <w:sz w:val="24"/>
        </w:rPr>
      </w:pPr>
      <w:r>
        <w:rPr>
          <w:rFonts w:hint="eastAsia" w:ascii="Times New Roman Bold" w:hAnsi="Times New Roman Bold" w:cs="Times New Roman Bold"/>
          <w:b/>
          <w:sz w:val="24"/>
          <w:lang w:val="en-US" w:eastAsia="zh-CN"/>
        </w:rPr>
        <w:t>4</w:t>
      </w:r>
      <w:r>
        <w:rPr>
          <w:rFonts w:ascii="Times New Roman Bold" w:hAnsi="Times New Roman Bold" w:cs="Times New Roman Bold"/>
          <w:b/>
          <w:sz w:val="24"/>
        </w:rPr>
        <w:t xml:space="preserve"> </w:t>
      </w:r>
      <w:r>
        <w:rPr>
          <w:rFonts w:ascii="Times New Roman Bold" w:hAnsi="Times New Roman Bold" w:cs="Times New Roman Bold"/>
          <w:b/>
          <w:bCs/>
          <w:sz w:val="24"/>
        </w:rPr>
        <w:t xml:space="preserve">Empirical </w:t>
      </w:r>
      <w:r>
        <w:rPr>
          <w:rFonts w:ascii="Times New Roman Bold" w:hAnsi="Times New Roman Bold" w:cs="Times New Roman Bold"/>
          <w:b/>
          <w:sz w:val="24"/>
        </w:rPr>
        <w:t>results</w:t>
      </w:r>
    </w:p>
    <w:p>
      <w:pPr>
        <w:spacing w:before="157" w:beforeLines="50" w:after="157" w:afterLines="50"/>
        <w:rPr>
          <w:rFonts w:ascii="Times New Roman Bold" w:hAnsi="Times New Roman Bold" w:cs="Times New Roman Bold"/>
          <w:b/>
          <w:sz w:val="24"/>
        </w:rPr>
      </w:pPr>
      <w:r>
        <w:rPr>
          <w:rFonts w:hint="eastAsia" w:ascii="Times New Roman Bold" w:hAnsi="Times New Roman Bold" w:cs="Times New Roman Bold"/>
          <w:b/>
          <w:sz w:val="24"/>
          <w:lang w:val="en-US" w:eastAsia="zh-CN"/>
        </w:rPr>
        <w:t>4</w:t>
      </w:r>
      <w:r>
        <w:rPr>
          <w:rFonts w:ascii="Times New Roman Bold" w:hAnsi="Times New Roman Bold" w:cs="Times New Roman Bold"/>
          <w:b/>
          <w:sz w:val="24"/>
        </w:rPr>
        <w:t>.1 Baseline regression</w:t>
      </w:r>
    </w:p>
    <w:p>
      <w:pPr>
        <w:spacing w:before="0" w:beforeLines="0" w:after="157" w:afterLines="50"/>
        <w:ind w:firstLine="240" w:firstLineChars="100"/>
        <w:rPr>
          <w:rFonts w:ascii="Times New Roman Regular" w:hAnsi="Times New Roman Regular" w:cs="Times New Roman Regular"/>
          <w:sz w:val="24"/>
        </w:rPr>
      </w:pPr>
      <w:r>
        <w:rPr>
          <w:rFonts w:ascii="Times New Roman Regular" w:hAnsi="Times New Roman Regular" w:cs="Times New Roman Regular"/>
          <w:sz w:val="24"/>
        </w:rPr>
        <w:t xml:space="preserve">Table 1 reports the baseline regression results estimating the effect of the </w:t>
      </w:r>
      <w:r>
        <w:rPr>
          <w:rFonts w:hint="eastAsia" w:ascii="Times New Roman Regular" w:hAnsi="Times New Roman Regular" w:cs="Times New Roman Regular"/>
          <w:sz w:val="24"/>
          <w:lang w:val="en-US" w:eastAsia="zh-CN"/>
        </w:rPr>
        <w:t>NTUPP</w:t>
      </w:r>
      <w:r>
        <w:rPr>
          <w:rFonts w:ascii="Times New Roman Regular" w:hAnsi="Times New Roman Regular" w:cs="Times New Roman Regular"/>
          <w:sz w:val="24"/>
        </w:rPr>
        <w:t xml:space="preserve"> on employment quality. Columns (1) and (2) present</w:t>
      </w:r>
      <w:r>
        <w:rPr>
          <w:rFonts w:hint="eastAsia" w:ascii="Times New Roman Regular" w:hAnsi="Times New Roman Regular" w:cs="Times New Roman Regular"/>
          <w:sz w:val="24"/>
          <w:lang w:val="en-US" w:eastAsia="zh-CN"/>
        </w:rPr>
        <w:t>ed</w:t>
      </w:r>
      <w:r>
        <w:rPr>
          <w:rFonts w:ascii="Times New Roman Regular" w:hAnsi="Times New Roman Regular" w:cs="Times New Roman Regular"/>
          <w:sz w:val="24"/>
        </w:rPr>
        <w:t xml:space="preserve"> the results from a standard two-way fixed effects (TWFE) model, while Columns (3) and (4) report the results after applying propensity score matching (PSM) to address potential sample selection bias. Across all specifications, the coefficient on the interaction term </w:t>
      </w:r>
      <w:r>
        <w:rPr>
          <w:rFonts w:ascii="Times New Roman Regular" w:hAnsi="Times New Roman Regular" w:cs="Times New Roman Regular"/>
          <w:i/>
          <w:iCs/>
          <w:sz w:val="24"/>
          <w:szCs w:val="24"/>
        </w:rPr>
        <w:t>treat*post</w:t>
      </w:r>
      <w:r>
        <w:rPr>
          <w:rFonts w:ascii="Times New Roman Regular" w:hAnsi="Times New Roman Regular" w:cs="Times New Roman Regular"/>
          <w:sz w:val="24"/>
        </w:rPr>
        <w:t xml:space="preserve"> is positive and statistically significant, confirming the robust and favorable effect of the pilot policy on employment quality. In the basic fixed effects models, the estimated coefficients are 0.0902 and 0.0568, respectively, with the latter controlling for a full set of covariates. The positive and significant estimates suggest</w:t>
      </w:r>
      <w:r>
        <w:rPr>
          <w:rFonts w:hint="eastAsia" w:ascii="Times New Roman Regular" w:hAnsi="Times New Roman Regular" w:cs="Times New Roman Regular"/>
          <w:sz w:val="24"/>
          <w:lang w:val="en-US" w:eastAsia="zh-CN"/>
        </w:rPr>
        <w:t>ed</w:t>
      </w:r>
      <w:r>
        <w:rPr>
          <w:rFonts w:ascii="Times New Roman Regular" w:hAnsi="Times New Roman Regular" w:cs="Times New Roman Regular"/>
          <w:sz w:val="24"/>
        </w:rPr>
        <w:t xml:space="preserve"> that cities implementing the policy experienced a notable improvement in employment quality compared to the control group.</w:t>
      </w:r>
    </w:p>
    <w:p>
      <w:pPr>
        <w:spacing w:before="0" w:beforeLines="0" w:after="157" w:afterLines="50"/>
        <w:ind w:firstLine="240" w:firstLineChars="100"/>
        <w:rPr>
          <w:rFonts w:ascii="Times New Roman Regular" w:hAnsi="Times New Roman Regular" w:cs="Times New Roman Regular"/>
          <w:sz w:val="24"/>
        </w:rPr>
      </w:pPr>
      <w:r>
        <w:rPr>
          <w:rFonts w:ascii="Times New Roman Regular" w:hAnsi="Times New Roman Regular" w:cs="Times New Roman Regular"/>
          <w:sz w:val="24"/>
        </w:rPr>
        <w:t>To further enhance the credibility of causal inference, we employ</w:t>
      </w:r>
      <w:r>
        <w:rPr>
          <w:rFonts w:hint="eastAsia" w:ascii="Times New Roman Regular" w:hAnsi="Times New Roman Regular" w:cs="Times New Roman Regular"/>
          <w:sz w:val="24"/>
          <w:lang w:val="en-US" w:eastAsia="zh-CN"/>
        </w:rPr>
        <w:t>ed</w:t>
      </w:r>
      <w:r>
        <w:rPr>
          <w:rFonts w:ascii="Times New Roman Regular" w:hAnsi="Times New Roman Regular" w:cs="Times New Roman Regular"/>
          <w:sz w:val="24"/>
        </w:rPr>
        <w:t xml:space="preserve"> PSM</w:t>
      </w:r>
      <w:r>
        <w:rPr>
          <w:rFonts w:ascii="Times New Roman Regular" w:hAnsi="Times New Roman Regular" w:cs="Times New Roman Regular"/>
          <w:sz w:val="24"/>
          <w:vertAlign w:val="superscript"/>
        </w:rPr>
        <w:footnoteReference w:id="1"/>
      </w:r>
      <w:r>
        <w:rPr>
          <w:rFonts w:ascii="Times New Roman Regular" w:hAnsi="Times New Roman Regular" w:cs="Times New Roman Regular"/>
          <w:sz w:val="24"/>
        </w:rPr>
        <w:t xml:space="preserve"> to construct a matched sample of treated and untreated cities with similar pre-policy characteristics. The results in Columns (3) and (4) remain</w:t>
      </w:r>
      <w:r>
        <w:rPr>
          <w:rFonts w:hint="eastAsia" w:ascii="Times New Roman Regular" w:hAnsi="Times New Roman Regular" w:cs="Times New Roman Regular"/>
          <w:sz w:val="24"/>
          <w:lang w:val="en-US" w:eastAsia="zh-CN"/>
        </w:rPr>
        <w:t>ed</w:t>
      </w:r>
      <w:r>
        <w:rPr>
          <w:rFonts w:ascii="Times New Roman Regular" w:hAnsi="Times New Roman Regular" w:cs="Times New Roman Regular"/>
          <w:sz w:val="24"/>
        </w:rPr>
        <w:t xml:space="preserve"> consistent with the baseline findings. The coefficient on </w:t>
      </w:r>
      <w:r>
        <w:rPr>
          <w:rFonts w:ascii="Times New Roman Regular" w:hAnsi="Times New Roman Regular" w:cs="Times New Roman Regular"/>
          <w:i/>
          <w:iCs/>
          <w:sz w:val="24"/>
          <w:szCs w:val="24"/>
        </w:rPr>
        <w:t>treat*post</w:t>
      </w:r>
      <w:r>
        <w:rPr>
          <w:rFonts w:ascii="Times New Roman Regular" w:hAnsi="Times New Roman Regular" w:cs="Times New Roman Regular"/>
          <w:sz w:val="24"/>
        </w:rPr>
        <w:t xml:space="preserve"> increase</w:t>
      </w:r>
      <w:r>
        <w:rPr>
          <w:rFonts w:hint="eastAsia" w:ascii="Times New Roman Regular" w:hAnsi="Times New Roman Regular" w:cs="Times New Roman Regular"/>
          <w:sz w:val="24"/>
          <w:lang w:val="en-US" w:eastAsia="zh-CN"/>
        </w:rPr>
        <w:t>d</w:t>
      </w:r>
      <w:r>
        <w:rPr>
          <w:rFonts w:ascii="Times New Roman Regular" w:hAnsi="Times New Roman Regular" w:cs="Times New Roman Regular"/>
          <w:sz w:val="24"/>
        </w:rPr>
        <w:t xml:space="preserve"> to </w:t>
      </w:r>
      <w:r>
        <w:rPr>
          <w:rFonts w:hint="default" w:ascii="Times New Roman Regular" w:hAnsi="Times New Roman Regular" w:cs="Times New Roman Regular"/>
          <w:sz w:val="24"/>
          <w:lang w:val="en-US"/>
        </w:rPr>
        <w:t xml:space="preserve">0.1396 </w:t>
      </w:r>
      <w:r>
        <w:rPr>
          <w:rFonts w:ascii="Times New Roman Regular" w:hAnsi="Times New Roman Regular" w:cs="Times New Roman Regular"/>
          <w:sz w:val="24"/>
        </w:rPr>
        <w:t xml:space="preserve"> without covariates and remain</w:t>
      </w:r>
      <w:r>
        <w:rPr>
          <w:rFonts w:hint="eastAsia" w:ascii="Times New Roman Regular" w:hAnsi="Times New Roman Regular" w:cs="Times New Roman Regular"/>
          <w:sz w:val="24"/>
          <w:lang w:val="en-US" w:eastAsia="zh-CN"/>
        </w:rPr>
        <w:t>ed</w:t>
      </w:r>
      <w:r>
        <w:rPr>
          <w:rFonts w:ascii="Times New Roman Regular" w:hAnsi="Times New Roman Regular" w:cs="Times New Roman Regular"/>
          <w:sz w:val="24"/>
        </w:rPr>
        <w:t xml:space="preserve"> statistically significant at </w:t>
      </w:r>
      <w:r>
        <w:rPr>
          <w:rFonts w:hint="default" w:ascii="Times New Roman Regular" w:hAnsi="Times New Roman Regular" w:cs="Times New Roman Regular"/>
          <w:sz w:val="24"/>
          <w:lang w:val="en-US"/>
        </w:rPr>
        <w:t xml:space="preserve"> 0.0941</w:t>
      </w:r>
      <w:r>
        <w:rPr>
          <w:rFonts w:ascii="Times New Roman Regular" w:hAnsi="Times New Roman Regular" w:cs="Times New Roman Regular"/>
          <w:sz w:val="24"/>
        </w:rPr>
        <w:t xml:space="preserve"> after covariates are included. These results indicate</w:t>
      </w:r>
      <w:r>
        <w:rPr>
          <w:rFonts w:hint="eastAsia" w:ascii="Times New Roman Regular" w:hAnsi="Times New Roman Regular" w:cs="Times New Roman Regular"/>
          <w:sz w:val="24"/>
          <w:lang w:val="en-US" w:eastAsia="zh-CN"/>
        </w:rPr>
        <w:t>d</w:t>
      </w:r>
      <w:r>
        <w:rPr>
          <w:rFonts w:ascii="Times New Roman Regular" w:hAnsi="Times New Roman Regular" w:cs="Times New Roman Regular"/>
          <w:sz w:val="24"/>
        </w:rPr>
        <w:t xml:space="preserve"> that, even after adjusting for potential differences in observable characteristics, the new-type urbanization policy exert</w:t>
      </w:r>
      <w:r>
        <w:rPr>
          <w:rFonts w:hint="eastAsia" w:ascii="Times New Roman Regular" w:hAnsi="Times New Roman Regular" w:cs="Times New Roman Regular"/>
          <w:sz w:val="24"/>
          <w:lang w:val="en-US" w:eastAsia="zh-CN"/>
        </w:rPr>
        <w:t>ed</w:t>
      </w:r>
      <w:r>
        <w:rPr>
          <w:rFonts w:ascii="Times New Roman Regular" w:hAnsi="Times New Roman Regular" w:cs="Times New Roman Regular"/>
          <w:sz w:val="24"/>
        </w:rPr>
        <w:t xml:space="preserve"> a significant and positive impact on employment quality. Overall, the findings from both the baseline and matched models provide</w:t>
      </w:r>
      <w:r>
        <w:rPr>
          <w:rFonts w:hint="eastAsia" w:ascii="Times New Roman Regular" w:hAnsi="Times New Roman Regular" w:cs="Times New Roman Regular"/>
          <w:sz w:val="24"/>
          <w:lang w:val="en-US" w:eastAsia="zh-CN"/>
        </w:rPr>
        <w:t>d</w:t>
      </w:r>
      <w:r>
        <w:rPr>
          <w:rFonts w:ascii="Times New Roman Regular" w:hAnsi="Times New Roman Regular" w:cs="Times New Roman Regular"/>
          <w:sz w:val="24"/>
        </w:rPr>
        <w:t xml:space="preserve"> strong empirical evidence supporting the effectiveness of the pilot urbanization policy in enhancing local labor market outcomes.</w:t>
      </w:r>
    </w:p>
    <w:tbl>
      <w:tblPr>
        <w:tblStyle w:val="10"/>
        <w:tblW w:w="0" w:type="auto"/>
        <w:tblInd w:w="0" w:type="dxa"/>
        <w:tblLayout w:type="autofit"/>
        <w:tblCellMar>
          <w:top w:w="0" w:type="dxa"/>
          <w:left w:w="0" w:type="dxa"/>
          <w:bottom w:w="0" w:type="dxa"/>
          <w:right w:w="0" w:type="dxa"/>
        </w:tblCellMar>
      </w:tblPr>
      <w:tblGrid>
        <w:gridCol w:w="1679"/>
        <w:gridCol w:w="1679"/>
        <w:gridCol w:w="1679"/>
        <w:gridCol w:w="1679"/>
        <w:gridCol w:w="1682"/>
      </w:tblGrid>
      <w:tr>
        <w:tc>
          <w:tcPr>
            <w:tcW w:w="8398" w:type="dxa"/>
            <w:gridSpan w:val="5"/>
            <w:tcBorders>
              <w:top w:val="single" w:color="BFBFBF" w:sz="4" w:space="0"/>
              <w:left w:val="single" w:color="BFBFBF" w:sz="8" w:space="0"/>
              <w:bottom w:val="double" w:color="auto" w:sz="4" w:space="0"/>
              <w:right w:val="single" w:color="BFBFBF" w:sz="8" w:space="0"/>
            </w:tcBorders>
            <w:shd w:val="clear" w:color="auto" w:fill="auto"/>
            <w:tcMar>
              <w:left w:w="100" w:type="dxa"/>
              <w:right w:w="100" w:type="dxa"/>
            </w:tcMar>
            <w:vAlign w:val="center"/>
          </w:tcPr>
          <w:p>
            <w:pPr>
              <w:rPr>
                <w:rFonts w:ascii="Times New Roman Regular" w:hAnsi="Times New Roman Regular" w:cs="Times New Roman Regular"/>
                <w:b/>
                <w:bCs/>
                <w:sz w:val="20"/>
                <w:szCs w:val="20"/>
              </w:rPr>
            </w:pPr>
            <w:r>
              <w:rPr>
                <w:rFonts w:ascii="Times New Roman Bold" w:hAnsi="Times New Roman Bold" w:cs="Times New Roman Bold"/>
                <w:b/>
                <w:sz w:val="20"/>
                <w:szCs w:val="20"/>
              </w:rPr>
              <w:t>Table</w:t>
            </w:r>
            <w:r>
              <w:rPr>
                <w:rFonts w:hint="eastAsia" w:ascii="Times New Roman Bold" w:hAnsi="Times New Roman Bold" w:cs="Times New Roman Bold"/>
                <w:b/>
                <w:sz w:val="20"/>
                <w:szCs w:val="20"/>
                <w:lang w:val="en-US" w:eastAsia="zh-CN"/>
              </w:rPr>
              <w:t xml:space="preserve"> </w:t>
            </w:r>
            <w:r>
              <w:rPr>
                <w:rFonts w:ascii="Times New Roman Bold" w:hAnsi="Times New Roman Bold" w:cs="Times New Roman Bold"/>
                <w:b/>
                <w:sz w:val="20"/>
                <w:szCs w:val="20"/>
              </w:rPr>
              <w:t>3</w:t>
            </w:r>
            <w:r>
              <w:rPr>
                <w:rFonts w:ascii="Times New Roman Regular" w:hAnsi="Times New Roman Regular" w:cs="Times New Roman Regular"/>
                <w:b/>
                <w:sz w:val="20"/>
                <w:szCs w:val="20"/>
              </w:rPr>
              <w:t xml:space="preserve"> </w:t>
            </w:r>
            <w:r>
              <w:rPr>
                <w:rFonts w:ascii="Times New Roman Regular" w:hAnsi="Times New Roman Regular" w:cs="Times New Roman Regular"/>
                <w:bCs/>
                <w:sz w:val="20"/>
                <w:szCs w:val="20"/>
              </w:rPr>
              <w:t>Baseline Regression Results</w:t>
            </w:r>
          </w:p>
        </w:tc>
      </w:tr>
      <w:tr>
        <w:tc>
          <w:tcPr>
            <w:tcW w:w="1679" w:type="dxa"/>
            <w:tcBorders>
              <w:top w:val="double" w:color="auto" w:sz="4" w:space="0"/>
              <w:left w:val="nil"/>
              <w:bottom w:val="single" w:color="auto" w:sz="4" w:space="0"/>
              <w:right w:val="nil"/>
            </w:tcBorders>
            <w:shd w:val="clear" w:color="auto" w:fill="auto"/>
            <w:tcMar>
              <w:left w:w="100" w:type="dxa"/>
              <w:right w:w="100" w:type="dxa"/>
            </w:tcMar>
            <w:vAlign w:val="center"/>
          </w:tcPr>
          <w:p>
            <w:pPr>
              <w:pStyle w:val="18"/>
              <w:widowControl/>
              <w:jc w:val="both"/>
              <w:rPr>
                <w:rFonts w:ascii="Times New Roman Regular" w:hAnsi="Times New Roman Regular" w:cs="Times New Roman Regular"/>
                <w:sz w:val="20"/>
                <w:szCs w:val="20"/>
              </w:rPr>
            </w:pPr>
          </w:p>
        </w:tc>
        <w:tc>
          <w:tcPr>
            <w:tcW w:w="1679" w:type="dxa"/>
            <w:tcBorders>
              <w:top w:val="double" w:color="auto" w:sz="4" w:space="0"/>
              <w:left w:val="nil"/>
              <w:bottom w:val="single" w:color="auto" w:sz="4" w:space="0"/>
              <w:right w:val="nil"/>
            </w:tcBorders>
            <w:shd w:val="clear" w:color="auto" w:fill="auto"/>
            <w:tcMar>
              <w:left w:w="100" w:type="dxa"/>
              <w:right w:w="100" w:type="dxa"/>
            </w:tcMar>
            <w:vAlign w:val="center"/>
          </w:tcPr>
          <w:p>
            <w:pPr>
              <w:pStyle w:val="19"/>
              <w:widowControl/>
              <w:rPr>
                <w:rFonts w:ascii="Times New Roman Regular" w:hAnsi="Times New Roman Regular" w:cs="Times New Roman Regular"/>
                <w:sz w:val="20"/>
                <w:szCs w:val="20"/>
              </w:rPr>
            </w:pPr>
            <w:r>
              <w:rPr>
                <w:rFonts w:ascii="Times New Roman Regular" w:hAnsi="Times New Roman Regular" w:cs="Times New Roman Regular"/>
                <w:sz w:val="20"/>
                <w:szCs w:val="20"/>
              </w:rPr>
              <w:t>(1)</w:t>
            </w:r>
          </w:p>
        </w:tc>
        <w:tc>
          <w:tcPr>
            <w:tcW w:w="1679" w:type="dxa"/>
            <w:tcBorders>
              <w:top w:val="double" w:color="auto" w:sz="4" w:space="0"/>
              <w:left w:val="nil"/>
              <w:bottom w:val="single" w:color="auto" w:sz="4" w:space="0"/>
              <w:right w:val="nil"/>
            </w:tcBorders>
            <w:shd w:val="clear" w:color="auto" w:fill="auto"/>
            <w:tcMar>
              <w:left w:w="100" w:type="dxa"/>
              <w:right w:w="100" w:type="dxa"/>
            </w:tcMar>
            <w:vAlign w:val="center"/>
          </w:tcPr>
          <w:p>
            <w:pPr>
              <w:pStyle w:val="19"/>
              <w:widowControl/>
              <w:rPr>
                <w:rFonts w:ascii="Times New Roman Regular" w:hAnsi="Times New Roman Regular" w:cs="Times New Roman Regular"/>
                <w:sz w:val="20"/>
                <w:szCs w:val="20"/>
              </w:rPr>
            </w:pPr>
            <w:r>
              <w:rPr>
                <w:rFonts w:ascii="Times New Roman Regular" w:hAnsi="Times New Roman Regular" w:cs="Times New Roman Regular"/>
                <w:sz w:val="20"/>
                <w:szCs w:val="20"/>
              </w:rPr>
              <w:t>(2)</w:t>
            </w:r>
          </w:p>
        </w:tc>
        <w:tc>
          <w:tcPr>
            <w:tcW w:w="1679" w:type="dxa"/>
            <w:tcBorders>
              <w:top w:val="double" w:color="auto" w:sz="4" w:space="0"/>
              <w:left w:val="nil"/>
              <w:bottom w:val="single" w:color="auto" w:sz="4" w:space="0"/>
              <w:right w:val="nil"/>
            </w:tcBorders>
            <w:shd w:val="clear" w:color="auto" w:fill="auto"/>
            <w:tcMar>
              <w:left w:w="100" w:type="dxa"/>
              <w:right w:w="100" w:type="dxa"/>
            </w:tcMar>
            <w:vAlign w:val="center"/>
          </w:tcPr>
          <w:p>
            <w:pPr>
              <w:pStyle w:val="19"/>
              <w:widowControl/>
              <w:rPr>
                <w:rFonts w:ascii="Times New Roman Regular" w:hAnsi="Times New Roman Regular" w:cs="Times New Roman Regular"/>
                <w:sz w:val="20"/>
                <w:szCs w:val="20"/>
              </w:rPr>
            </w:pPr>
            <w:r>
              <w:rPr>
                <w:rFonts w:ascii="Times New Roman Regular" w:hAnsi="Times New Roman Regular" w:cs="Times New Roman Regular"/>
                <w:sz w:val="20"/>
                <w:szCs w:val="20"/>
              </w:rPr>
              <w:t>(3)</w:t>
            </w:r>
          </w:p>
        </w:tc>
        <w:tc>
          <w:tcPr>
            <w:tcW w:w="1682" w:type="dxa"/>
            <w:tcBorders>
              <w:top w:val="double" w:color="auto" w:sz="4" w:space="0"/>
              <w:left w:val="nil"/>
              <w:bottom w:val="single" w:color="auto" w:sz="4" w:space="0"/>
              <w:right w:val="nil"/>
            </w:tcBorders>
            <w:shd w:val="clear" w:color="auto" w:fill="auto"/>
            <w:tcMar>
              <w:left w:w="100" w:type="dxa"/>
              <w:right w:w="100" w:type="dxa"/>
            </w:tcMar>
            <w:vAlign w:val="center"/>
          </w:tcPr>
          <w:p>
            <w:pPr>
              <w:pStyle w:val="19"/>
              <w:widowControl/>
              <w:rPr>
                <w:rFonts w:ascii="Times New Roman Regular" w:hAnsi="Times New Roman Regular" w:cs="Times New Roman Regular"/>
                <w:sz w:val="20"/>
                <w:szCs w:val="20"/>
              </w:rPr>
            </w:pPr>
            <w:r>
              <w:rPr>
                <w:rFonts w:ascii="Times New Roman Regular" w:hAnsi="Times New Roman Regular" w:cs="Times New Roman Regular"/>
                <w:sz w:val="20"/>
                <w:szCs w:val="20"/>
              </w:rPr>
              <w:t>(4)</w:t>
            </w:r>
          </w:p>
        </w:tc>
      </w:tr>
      <w:tr>
        <w:tc>
          <w:tcPr>
            <w:tcW w:w="1679" w:type="dxa"/>
            <w:tcBorders>
              <w:top w:val="single" w:color="auto" w:sz="4" w:space="0"/>
              <w:left w:val="nil"/>
              <w:bottom w:val="single" w:color="auto" w:sz="4" w:space="0"/>
              <w:right w:val="nil"/>
            </w:tcBorders>
            <w:shd w:val="clear" w:color="auto" w:fill="auto"/>
            <w:tcMar>
              <w:left w:w="100" w:type="dxa"/>
              <w:right w:w="100" w:type="dxa"/>
            </w:tcMar>
            <w:vAlign w:val="center"/>
          </w:tcPr>
          <w:p>
            <w:pPr>
              <w:pStyle w:val="18"/>
              <w:widowControl/>
              <w:jc w:val="both"/>
              <w:rPr>
                <w:rFonts w:ascii="Times New Roman Regular" w:hAnsi="Times New Roman Regular" w:cs="Times New Roman Regular"/>
                <w:sz w:val="20"/>
                <w:szCs w:val="20"/>
              </w:rPr>
            </w:pPr>
          </w:p>
        </w:tc>
        <w:tc>
          <w:tcPr>
            <w:tcW w:w="1679" w:type="dxa"/>
            <w:tcBorders>
              <w:top w:val="single" w:color="auto" w:sz="4" w:space="0"/>
              <w:left w:val="nil"/>
              <w:bottom w:val="single" w:color="auto" w:sz="4" w:space="0"/>
              <w:right w:val="nil"/>
            </w:tcBorders>
            <w:shd w:val="clear" w:color="auto" w:fill="auto"/>
            <w:tcMar>
              <w:left w:w="100" w:type="dxa"/>
              <w:right w:w="100" w:type="dxa"/>
            </w:tcMar>
            <w:vAlign w:val="center"/>
          </w:tcPr>
          <w:p>
            <w:pPr>
              <w:pStyle w:val="19"/>
              <w:widowControl/>
              <w:rPr>
                <w:rFonts w:ascii="Times New Roman Regular" w:hAnsi="Times New Roman Regular" w:cs="Times New Roman Regular"/>
                <w:i/>
                <w:iCs/>
                <w:sz w:val="20"/>
                <w:szCs w:val="20"/>
              </w:rPr>
            </w:pPr>
            <w:r>
              <w:rPr>
                <w:rFonts w:ascii="Times New Roman Regular" w:hAnsi="Times New Roman Regular" w:cs="Times New Roman Regular"/>
                <w:i/>
                <w:iCs/>
                <w:sz w:val="20"/>
                <w:szCs w:val="20"/>
              </w:rPr>
              <w:t>EMP</w:t>
            </w:r>
          </w:p>
        </w:tc>
        <w:tc>
          <w:tcPr>
            <w:tcW w:w="1679" w:type="dxa"/>
            <w:tcBorders>
              <w:top w:val="single" w:color="auto" w:sz="4" w:space="0"/>
              <w:left w:val="nil"/>
              <w:bottom w:val="single" w:color="auto" w:sz="4" w:space="0"/>
              <w:right w:val="nil"/>
            </w:tcBorders>
            <w:shd w:val="clear" w:color="auto" w:fill="auto"/>
            <w:tcMar>
              <w:left w:w="100" w:type="dxa"/>
              <w:right w:w="100" w:type="dxa"/>
            </w:tcMar>
            <w:vAlign w:val="center"/>
          </w:tcPr>
          <w:p>
            <w:pPr>
              <w:pStyle w:val="19"/>
              <w:widowControl/>
              <w:rPr>
                <w:rFonts w:ascii="Times New Roman Regular" w:hAnsi="Times New Roman Regular" w:cs="Times New Roman Regular"/>
                <w:i/>
                <w:iCs/>
                <w:sz w:val="20"/>
                <w:szCs w:val="20"/>
              </w:rPr>
            </w:pPr>
            <w:r>
              <w:rPr>
                <w:rFonts w:ascii="Times New Roman Regular" w:hAnsi="Times New Roman Regular" w:cs="Times New Roman Regular"/>
                <w:i/>
                <w:iCs/>
                <w:sz w:val="20"/>
                <w:szCs w:val="20"/>
              </w:rPr>
              <w:t>EMP</w:t>
            </w:r>
          </w:p>
        </w:tc>
        <w:tc>
          <w:tcPr>
            <w:tcW w:w="1679" w:type="dxa"/>
            <w:tcBorders>
              <w:top w:val="single" w:color="auto" w:sz="4" w:space="0"/>
              <w:left w:val="nil"/>
              <w:bottom w:val="single" w:color="auto" w:sz="4" w:space="0"/>
              <w:right w:val="nil"/>
            </w:tcBorders>
            <w:shd w:val="clear" w:color="auto" w:fill="auto"/>
            <w:tcMar>
              <w:left w:w="100" w:type="dxa"/>
              <w:right w:w="100" w:type="dxa"/>
            </w:tcMar>
            <w:vAlign w:val="center"/>
          </w:tcPr>
          <w:p>
            <w:pPr>
              <w:pStyle w:val="19"/>
              <w:widowControl/>
              <w:rPr>
                <w:rFonts w:ascii="Times New Roman Regular" w:hAnsi="Times New Roman Regular" w:cs="Times New Roman Regular"/>
                <w:i/>
                <w:iCs/>
                <w:sz w:val="20"/>
                <w:szCs w:val="20"/>
              </w:rPr>
            </w:pPr>
            <w:r>
              <w:rPr>
                <w:rFonts w:ascii="Times New Roman Regular" w:hAnsi="Times New Roman Regular" w:cs="Times New Roman Regular"/>
                <w:i/>
                <w:iCs/>
                <w:sz w:val="20"/>
                <w:szCs w:val="20"/>
              </w:rPr>
              <w:t>EMP</w:t>
            </w:r>
          </w:p>
        </w:tc>
        <w:tc>
          <w:tcPr>
            <w:tcW w:w="1682" w:type="dxa"/>
            <w:tcBorders>
              <w:top w:val="single" w:color="auto" w:sz="4" w:space="0"/>
              <w:left w:val="nil"/>
              <w:bottom w:val="single" w:color="auto" w:sz="4" w:space="0"/>
              <w:right w:val="nil"/>
            </w:tcBorders>
            <w:shd w:val="clear" w:color="auto" w:fill="auto"/>
            <w:tcMar>
              <w:left w:w="100" w:type="dxa"/>
              <w:right w:w="100" w:type="dxa"/>
            </w:tcMar>
            <w:vAlign w:val="center"/>
          </w:tcPr>
          <w:p>
            <w:pPr>
              <w:pStyle w:val="19"/>
              <w:widowControl/>
              <w:rPr>
                <w:rFonts w:ascii="Times New Roman Regular" w:hAnsi="Times New Roman Regular" w:cs="Times New Roman Regular"/>
                <w:i/>
                <w:iCs/>
                <w:sz w:val="20"/>
                <w:szCs w:val="20"/>
              </w:rPr>
            </w:pPr>
            <w:r>
              <w:rPr>
                <w:rFonts w:ascii="Times New Roman Regular" w:hAnsi="Times New Roman Regular" w:cs="Times New Roman Regular"/>
                <w:i/>
                <w:iCs/>
                <w:sz w:val="20"/>
                <w:szCs w:val="20"/>
              </w:rPr>
              <w:t>EMP</w:t>
            </w:r>
          </w:p>
        </w:tc>
      </w:tr>
      <w:tr>
        <w:tc>
          <w:tcPr>
            <w:tcW w:w="1679" w:type="dxa"/>
            <w:tcBorders>
              <w:top w:val="single" w:color="auto" w:sz="4" w:space="0"/>
              <w:left w:val="nil"/>
              <w:bottom w:val="nil"/>
              <w:right w:val="nil"/>
            </w:tcBorders>
            <w:shd w:val="clear" w:color="auto" w:fill="auto"/>
            <w:tcMar>
              <w:left w:w="100" w:type="dxa"/>
              <w:right w:w="100" w:type="dxa"/>
            </w:tcMar>
            <w:vAlign w:val="center"/>
          </w:tcPr>
          <w:p>
            <w:pPr>
              <w:pStyle w:val="20"/>
              <w:widowControl/>
              <w:jc w:val="both"/>
              <w:rPr>
                <w:rFonts w:ascii="Times New Roman Regular" w:hAnsi="Times New Roman Regular" w:cs="Times New Roman Regular"/>
                <w:i/>
                <w:iCs/>
                <w:sz w:val="20"/>
                <w:szCs w:val="20"/>
              </w:rPr>
            </w:pPr>
            <w:r>
              <w:rPr>
                <w:rFonts w:ascii="Times New Roman Regular" w:hAnsi="Times New Roman Regular" w:cs="Times New Roman Regular"/>
                <w:i/>
                <w:iCs/>
                <w:sz w:val="20"/>
                <w:szCs w:val="20"/>
              </w:rPr>
              <w:t>treat*post</w:t>
            </w:r>
          </w:p>
        </w:tc>
        <w:tc>
          <w:tcPr>
            <w:tcW w:w="1679" w:type="dxa"/>
            <w:tcBorders>
              <w:top w:val="single" w:color="auto" w:sz="4" w:space="0"/>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0.0902</w:t>
            </w:r>
            <w:r>
              <w:rPr>
                <w:rFonts w:hint="default" w:ascii="Times New Roman" w:hAnsi="Times New Roman" w:cs="Times New Roman"/>
                <w:kern w:val="0"/>
                <w:sz w:val="20"/>
                <w:szCs w:val="20"/>
                <w:vertAlign w:val="superscript"/>
                <w:lang w:val="en-US" w:eastAsia="zh-CN" w:bidi="ar"/>
              </w:rPr>
              <w:t>***</w:t>
            </w:r>
          </w:p>
        </w:tc>
        <w:tc>
          <w:tcPr>
            <w:tcW w:w="1679" w:type="dxa"/>
            <w:tcBorders>
              <w:top w:val="single" w:color="auto" w:sz="4" w:space="0"/>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0.0568</w:t>
            </w:r>
            <w:r>
              <w:rPr>
                <w:rFonts w:hint="default" w:ascii="Times New Roman" w:hAnsi="Times New Roman" w:cs="Times New Roman"/>
                <w:kern w:val="0"/>
                <w:sz w:val="20"/>
                <w:szCs w:val="20"/>
                <w:vertAlign w:val="superscript"/>
                <w:lang w:val="en-US" w:eastAsia="zh-CN" w:bidi="ar"/>
              </w:rPr>
              <w:t>**</w:t>
            </w:r>
          </w:p>
        </w:tc>
        <w:tc>
          <w:tcPr>
            <w:tcW w:w="1679" w:type="dxa"/>
            <w:tcBorders>
              <w:top w:val="single" w:color="auto" w:sz="4" w:space="0"/>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0.1396</w:t>
            </w:r>
            <w:r>
              <w:rPr>
                <w:rFonts w:hint="default" w:ascii="Times New Roman" w:hAnsi="Times New Roman" w:cs="Times New Roman"/>
                <w:kern w:val="0"/>
                <w:sz w:val="20"/>
                <w:szCs w:val="20"/>
                <w:vertAlign w:val="superscript"/>
                <w:lang w:val="en-US" w:eastAsia="zh-CN" w:bidi="ar"/>
              </w:rPr>
              <w:t>***</w:t>
            </w:r>
          </w:p>
        </w:tc>
        <w:tc>
          <w:tcPr>
            <w:tcW w:w="1682" w:type="dxa"/>
            <w:tcBorders>
              <w:top w:val="single" w:color="auto" w:sz="4" w:space="0"/>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0.0941</w:t>
            </w:r>
            <w:r>
              <w:rPr>
                <w:rFonts w:hint="default" w:ascii="Times New Roman" w:hAnsi="Times New Roman" w:cs="Times New Roman"/>
                <w:kern w:val="0"/>
                <w:sz w:val="20"/>
                <w:szCs w:val="20"/>
                <w:vertAlign w:val="superscript"/>
                <w:lang w:val="en-US" w:eastAsia="zh-CN" w:bidi="ar"/>
              </w:rPr>
              <w:t>***</w:t>
            </w:r>
          </w:p>
        </w:tc>
      </w:tr>
      <w:tr>
        <w:tc>
          <w:tcPr>
            <w:tcW w:w="1679" w:type="dxa"/>
            <w:tcBorders>
              <w:top w:val="nil"/>
              <w:left w:val="nil"/>
              <w:bottom w:val="nil"/>
              <w:right w:val="nil"/>
            </w:tcBorders>
            <w:shd w:val="clear" w:color="auto" w:fill="auto"/>
            <w:tcMar>
              <w:left w:w="100" w:type="dxa"/>
              <w:right w:w="100" w:type="dxa"/>
            </w:tcMar>
            <w:vAlign w:val="center"/>
          </w:tcPr>
          <w:p>
            <w:pPr>
              <w:pStyle w:val="18"/>
              <w:widowControl/>
              <w:jc w:val="both"/>
              <w:rPr>
                <w:rFonts w:ascii="Times New Roman Regular" w:hAnsi="Times New Roman Regular" w:cs="Times New Roman Regular"/>
                <w:i/>
                <w:iCs/>
                <w:sz w:val="20"/>
                <w:szCs w:val="20"/>
              </w:rPr>
            </w:pP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(0.0307)</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(0.0285)</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(0.0301)</w:t>
            </w:r>
          </w:p>
        </w:tc>
        <w:tc>
          <w:tcPr>
            <w:tcW w:w="168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(0.0288)</w:t>
            </w:r>
          </w:p>
        </w:tc>
      </w:tr>
      <w:tr>
        <w:tc>
          <w:tcPr>
            <w:tcW w:w="1679" w:type="dxa"/>
            <w:tcBorders>
              <w:top w:val="nil"/>
              <w:left w:val="nil"/>
              <w:bottom w:val="nil"/>
              <w:right w:val="nil"/>
            </w:tcBorders>
            <w:shd w:val="clear" w:color="auto" w:fill="auto"/>
            <w:tcMar>
              <w:left w:w="100" w:type="dxa"/>
              <w:right w:w="100" w:type="dxa"/>
            </w:tcMar>
            <w:vAlign w:val="center"/>
          </w:tcPr>
          <w:p>
            <w:pPr>
              <w:pStyle w:val="20"/>
              <w:widowControl/>
              <w:jc w:val="both"/>
              <w:rPr>
                <w:rFonts w:ascii="Times New Roman Regular" w:hAnsi="Times New Roman Regular" w:cs="Times New Roman Regular"/>
                <w:i/>
                <w:iCs/>
                <w:sz w:val="20"/>
                <w:szCs w:val="20"/>
              </w:rPr>
            </w:pPr>
            <w:r>
              <w:rPr>
                <w:rFonts w:ascii="Times New Roman Regular" w:hAnsi="Times New Roman Regular" w:cs="Times New Roman Regular"/>
                <w:i/>
                <w:iCs/>
                <w:sz w:val="20"/>
                <w:szCs w:val="20"/>
              </w:rPr>
              <w:t>econ</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0.0969</w:t>
            </w:r>
            <w:r>
              <w:rPr>
                <w:rFonts w:hint="default" w:ascii="Times New Roman" w:hAnsi="Times New Roman" w:cs="Times New Roman"/>
                <w:kern w:val="0"/>
                <w:sz w:val="20"/>
                <w:szCs w:val="20"/>
                <w:vertAlign w:val="superscript"/>
                <w:lang w:val="en-US" w:eastAsia="zh-CN" w:bidi="ar"/>
              </w:rPr>
              <w:t>***</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168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0.0685</w:t>
            </w:r>
            <w:r>
              <w:rPr>
                <w:rFonts w:hint="default" w:ascii="Times New Roman" w:hAnsi="Times New Roman" w:cs="Times New Roman"/>
                <w:kern w:val="0"/>
                <w:sz w:val="20"/>
                <w:szCs w:val="20"/>
                <w:vertAlign w:val="superscript"/>
                <w:lang w:val="en-US" w:eastAsia="zh-CN" w:bidi="ar"/>
              </w:rPr>
              <w:t>**</w:t>
            </w:r>
          </w:p>
        </w:tc>
      </w:tr>
      <w:tr>
        <w:tc>
          <w:tcPr>
            <w:tcW w:w="1679" w:type="dxa"/>
            <w:tcBorders>
              <w:top w:val="nil"/>
              <w:left w:val="nil"/>
              <w:bottom w:val="nil"/>
              <w:right w:val="nil"/>
            </w:tcBorders>
            <w:shd w:val="clear" w:color="auto" w:fill="auto"/>
            <w:tcMar>
              <w:left w:w="100" w:type="dxa"/>
              <w:right w:w="100" w:type="dxa"/>
            </w:tcMar>
            <w:vAlign w:val="center"/>
          </w:tcPr>
          <w:p>
            <w:pPr>
              <w:pStyle w:val="18"/>
              <w:widowControl/>
              <w:jc w:val="both"/>
              <w:rPr>
                <w:rFonts w:ascii="Times New Roman Regular" w:hAnsi="Times New Roman Regular" w:cs="Times New Roman Regular"/>
                <w:i/>
                <w:iCs/>
                <w:sz w:val="20"/>
                <w:szCs w:val="20"/>
              </w:rPr>
            </w:pP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(0.0295)</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168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(0.0308)</w:t>
            </w:r>
          </w:p>
        </w:tc>
      </w:tr>
      <w:tr>
        <w:tc>
          <w:tcPr>
            <w:tcW w:w="1679" w:type="dxa"/>
            <w:tcBorders>
              <w:top w:val="nil"/>
              <w:left w:val="nil"/>
              <w:bottom w:val="nil"/>
              <w:right w:val="nil"/>
            </w:tcBorders>
            <w:shd w:val="clear" w:color="auto" w:fill="auto"/>
            <w:tcMar>
              <w:left w:w="100" w:type="dxa"/>
              <w:right w:w="100" w:type="dxa"/>
            </w:tcMar>
            <w:vAlign w:val="center"/>
          </w:tcPr>
          <w:p>
            <w:pPr>
              <w:pStyle w:val="20"/>
              <w:widowControl/>
              <w:jc w:val="both"/>
              <w:rPr>
                <w:rFonts w:ascii="Times New Roman Regular" w:hAnsi="Times New Roman Regular" w:cs="Times New Roman Regular"/>
                <w:i/>
                <w:iCs/>
                <w:sz w:val="20"/>
                <w:szCs w:val="20"/>
              </w:rPr>
            </w:pPr>
            <w:r>
              <w:rPr>
                <w:rFonts w:ascii="Times New Roman Regular" w:hAnsi="Times New Roman Regular" w:cs="Times New Roman Regular"/>
                <w:i/>
                <w:iCs/>
                <w:sz w:val="20"/>
                <w:szCs w:val="20"/>
              </w:rPr>
              <w:t>gov</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-2.6106</w:t>
            </w:r>
            <w:r>
              <w:rPr>
                <w:rFonts w:hint="default" w:ascii="Times New Roman" w:hAnsi="Times New Roman" w:cs="Times New Roman"/>
                <w:kern w:val="0"/>
                <w:sz w:val="20"/>
                <w:szCs w:val="20"/>
                <w:vertAlign w:val="superscript"/>
                <w:lang w:val="en-US" w:eastAsia="zh-CN" w:bidi="ar"/>
              </w:rPr>
              <w:t>***</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168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-2.5986</w:t>
            </w:r>
            <w:r>
              <w:rPr>
                <w:rFonts w:hint="default" w:ascii="Times New Roman" w:hAnsi="Times New Roman" w:cs="Times New Roman"/>
                <w:kern w:val="0"/>
                <w:sz w:val="20"/>
                <w:szCs w:val="20"/>
                <w:vertAlign w:val="superscript"/>
                <w:lang w:val="en-US" w:eastAsia="zh-CN" w:bidi="ar"/>
              </w:rPr>
              <w:t>***</w:t>
            </w:r>
          </w:p>
        </w:tc>
      </w:tr>
      <w:tr>
        <w:tc>
          <w:tcPr>
            <w:tcW w:w="1679" w:type="dxa"/>
            <w:tcBorders>
              <w:top w:val="nil"/>
              <w:left w:val="nil"/>
              <w:bottom w:val="nil"/>
              <w:right w:val="nil"/>
            </w:tcBorders>
            <w:shd w:val="clear" w:color="auto" w:fill="auto"/>
            <w:tcMar>
              <w:left w:w="100" w:type="dxa"/>
              <w:right w:w="100" w:type="dxa"/>
            </w:tcMar>
            <w:vAlign w:val="center"/>
          </w:tcPr>
          <w:p>
            <w:pPr>
              <w:pStyle w:val="18"/>
              <w:widowControl/>
              <w:jc w:val="both"/>
              <w:rPr>
                <w:rFonts w:ascii="Times New Roman Regular" w:hAnsi="Times New Roman Regular" w:cs="Times New Roman Regular"/>
                <w:i/>
                <w:iCs/>
                <w:sz w:val="20"/>
                <w:szCs w:val="20"/>
              </w:rPr>
            </w:pP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(0.6686)</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168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(0.7578)</w:t>
            </w:r>
          </w:p>
        </w:tc>
      </w:tr>
      <w:tr>
        <w:tc>
          <w:tcPr>
            <w:tcW w:w="1679" w:type="dxa"/>
            <w:tcBorders>
              <w:top w:val="nil"/>
              <w:left w:val="nil"/>
              <w:bottom w:val="nil"/>
              <w:right w:val="nil"/>
            </w:tcBorders>
            <w:shd w:val="clear" w:color="auto" w:fill="auto"/>
            <w:tcMar>
              <w:left w:w="100" w:type="dxa"/>
              <w:right w:w="100" w:type="dxa"/>
            </w:tcMar>
            <w:vAlign w:val="center"/>
          </w:tcPr>
          <w:p>
            <w:pPr>
              <w:pStyle w:val="20"/>
              <w:widowControl/>
              <w:jc w:val="both"/>
              <w:rPr>
                <w:rFonts w:ascii="Times New Roman Regular" w:hAnsi="Times New Roman Regular" w:cs="Times New Roman Regular"/>
                <w:i/>
                <w:iCs/>
                <w:sz w:val="20"/>
                <w:szCs w:val="20"/>
              </w:rPr>
            </w:pPr>
            <w:r>
              <w:rPr>
                <w:rFonts w:ascii="Times New Roman Regular" w:hAnsi="Times New Roman Regular" w:cs="Times New Roman Regular"/>
                <w:i/>
                <w:iCs/>
                <w:sz w:val="20"/>
                <w:szCs w:val="20"/>
              </w:rPr>
              <w:t>l</w:t>
            </w:r>
            <w:r>
              <w:rPr>
                <w:rFonts w:hint="eastAsia" w:ascii="Times New Roman Regular" w:hAnsi="Times New Roman Regular" w:cs="Times New Roman Regular"/>
                <w:i/>
                <w:iCs/>
                <w:sz w:val="20"/>
                <w:szCs w:val="20"/>
                <w:lang w:val="en-US" w:eastAsia="zh-CN"/>
              </w:rPr>
              <w:t>pr</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4.0541</w:t>
            </w:r>
            <w:r>
              <w:rPr>
                <w:rFonts w:hint="default" w:ascii="Times New Roman" w:hAnsi="Times New Roman" w:cs="Times New Roman"/>
                <w:kern w:val="0"/>
                <w:sz w:val="20"/>
                <w:szCs w:val="20"/>
                <w:vertAlign w:val="superscript"/>
                <w:lang w:val="en-US" w:eastAsia="zh-CN" w:bidi="ar"/>
              </w:rPr>
              <w:t>***</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168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3.8132</w:t>
            </w:r>
            <w:r>
              <w:rPr>
                <w:rFonts w:hint="default" w:ascii="Times New Roman" w:hAnsi="Times New Roman" w:cs="Times New Roman"/>
                <w:kern w:val="0"/>
                <w:sz w:val="20"/>
                <w:szCs w:val="20"/>
                <w:vertAlign w:val="superscript"/>
                <w:lang w:val="en-US" w:eastAsia="zh-CN" w:bidi="ar"/>
              </w:rPr>
              <w:t>***</w:t>
            </w:r>
          </w:p>
        </w:tc>
      </w:tr>
      <w:tr>
        <w:tc>
          <w:tcPr>
            <w:tcW w:w="1679" w:type="dxa"/>
            <w:tcBorders>
              <w:top w:val="nil"/>
              <w:left w:val="nil"/>
              <w:bottom w:val="nil"/>
              <w:right w:val="nil"/>
            </w:tcBorders>
            <w:shd w:val="clear" w:color="auto" w:fill="auto"/>
            <w:tcMar>
              <w:left w:w="100" w:type="dxa"/>
              <w:right w:w="100" w:type="dxa"/>
            </w:tcMar>
            <w:vAlign w:val="center"/>
          </w:tcPr>
          <w:p>
            <w:pPr>
              <w:pStyle w:val="18"/>
              <w:widowControl/>
              <w:jc w:val="both"/>
              <w:rPr>
                <w:rFonts w:ascii="Times New Roman Regular" w:hAnsi="Times New Roman Regular" w:cs="Times New Roman Regular"/>
                <w:i/>
                <w:iCs/>
                <w:sz w:val="20"/>
                <w:szCs w:val="20"/>
              </w:rPr>
            </w:pP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(1.0443)</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168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(0.9852)</w:t>
            </w:r>
          </w:p>
        </w:tc>
      </w:tr>
      <w:tr>
        <w:tc>
          <w:tcPr>
            <w:tcW w:w="1679" w:type="dxa"/>
            <w:tcBorders>
              <w:top w:val="nil"/>
              <w:left w:val="nil"/>
              <w:bottom w:val="nil"/>
              <w:right w:val="nil"/>
            </w:tcBorders>
            <w:shd w:val="clear" w:color="auto" w:fill="auto"/>
            <w:tcMar>
              <w:left w:w="100" w:type="dxa"/>
              <w:right w:w="100" w:type="dxa"/>
            </w:tcMar>
            <w:vAlign w:val="center"/>
          </w:tcPr>
          <w:p>
            <w:pPr>
              <w:pStyle w:val="20"/>
              <w:widowControl/>
              <w:jc w:val="both"/>
              <w:rPr>
                <w:rFonts w:ascii="Times New Roman Regular" w:hAnsi="Times New Roman Regular" w:cs="Times New Roman Regular"/>
                <w:i/>
                <w:iCs/>
                <w:sz w:val="20"/>
                <w:szCs w:val="20"/>
              </w:rPr>
            </w:pPr>
            <w:r>
              <w:rPr>
                <w:rFonts w:ascii="Times New Roman Regular" w:hAnsi="Times New Roman Regular" w:cs="Times New Roman Regular"/>
                <w:i/>
                <w:iCs/>
                <w:sz w:val="20"/>
                <w:szCs w:val="20"/>
              </w:rPr>
              <w:t>infra</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0.0003</w:t>
            </w:r>
            <w:r>
              <w:rPr>
                <w:rFonts w:hint="default" w:ascii="Times New Roman" w:hAnsi="Times New Roman" w:cs="Times New Roman"/>
                <w:kern w:val="0"/>
                <w:sz w:val="20"/>
                <w:szCs w:val="20"/>
                <w:vertAlign w:val="superscript"/>
                <w:lang w:val="en-US" w:eastAsia="zh-CN" w:bidi="ar"/>
              </w:rPr>
              <w:t>***</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168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0.0020</w:t>
            </w:r>
            <w:r>
              <w:rPr>
                <w:rFonts w:hint="default" w:ascii="Times New Roman" w:hAnsi="Times New Roman" w:cs="Times New Roman"/>
                <w:kern w:val="0"/>
                <w:sz w:val="20"/>
                <w:szCs w:val="20"/>
                <w:vertAlign w:val="superscript"/>
                <w:lang w:val="en-US" w:eastAsia="zh-CN" w:bidi="ar"/>
              </w:rPr>
              <w:t>***</w:t>
            </w:r>
          </w:p>
        </w:tc>
      </w:tr>
      <w:tr>
        <w:tc>
          <w:tcPr>
            <w:tcW w:w="1679" w:type="dxa"/>
            <w:tcBorders>
              <w:top w:val="nil"/>
              <w:left w:val="nil"/>
              <w:bottom w:val="nil"/>
              <w:right w:val="nil"/>
            </w:tcBorders>
            <w:shd w:val="clear" w:color="auto" w:fill="auto"/>
            <w:tcMar>
              <w:left w:w="100" w:type="dxa"/>
              <w:right w:w="100" w:type="dxa"/>
            </w:tcMar>
            <w:vAlign w:val="center"/>
          </w:tcPr>
          <w:p>
            <w:pPr>
              <w:pStyle w:val="18"/>
              <w:widowControl/>
              <w:jc w:val="both"/>
              <w:rPr>
                <w:rFonts w:ascii="Times New Roman Regular" w:hAnsi="Times New Roman Regular" w:cs="Times New Roman Regular"/>
                <w:i/>
                <w:iCs/>
                <w:sz w:val="20"/>
                <w:szCs w:val="20"/>
              </w:rPr>
            </w:pP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(0.0000)</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168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(0.0003)</w:t>
            </w:r>
          </w:p>
        </w:tc>
      </w:tr>
      <w:tr>
        <w:tc>
          <w:tcPr>
            <w:tcW w:w="1679" w:type="dxa"/>
            <w:tcBorders>
              <w:top w:val="nil"/>
              <w:left w:val="nil"/>
              <w:bottom w:val="nil"/>
              <w:right w:val="nil"/>
            </w:tcBorders>
            <w:shd w:val="clear" w:color="auto" w:fill="auto"/>
            <w:tcMar>
              <w:left w:w="100" w:type="dxa"/>
              <w:right w:w="100" w:type="dxa"/>
            </w:tcMar>
            <w:vAlign w:val="center"/>
          </w:tcPr>
          <w:p>
            <w:pPr>
              <w:pStyle w:val="20"/>
              <w:widowControl/>
              <w:jc w:val="both"/>
              <w:rPr>
                <w:rFonts w:ascii="Times New Roman Regular" w:hAnsi="Times New Roman Regular" w:cs="Times New Roman Regular"/>
                <w:i/>
                <w:iCs/>
                <w:sz w:val="20"/>
                <w:szCs w:val="20"/>
              </w:rPr>
            </w:pPr>
            <w:r>
              <w:rPr>
                <w:rFonts w:ascii="Times New Roman Regular" w:hAnsi="Times New Roman Regular" w:cs="Times New Roman Regular"/>
                <w:i/>
                <w:iCs/>
                <w:sz w:val="20"/>
                <w:szCs w:val="20"/>
              </w:rPr>
              <w:t>open</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2.6171</w:t>
            </w:r>
            <w:r>
              <w:rPr>
                <w:rFonts w:hint="default" w:ascii="Times New Roman" w:hAnsi="Times New Roman" w:cs="Times New Roman"/>
                <w:kern w:val="0"/>
                <w:sz w:val="20"/>
                <w:szCs w:val="20"/>
                <w:vertAlign w:val="superscript"/>
                <w:lang w:val="en-US" w:eastAsia="zh-CN" w:bidi="ar"/>
              </w:rPr>
              <w:t>***</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168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3.1438</w:t>
            </w:r>
            <w:r>
              <w:rPr>
                <w:rFonts w:hint="default" w:ascii="Times New Roman" w:hAnsi="Times New Roman" w:cs="Times New Roman"/>
                <w:kern w:val="0"/>
                <w:sz w:val="20"/>
                <w:szCs w:val="20"/>
                <w:vertAlign w:val="superscript"/>
                <w:lang w:val="en-US" w:eastAsia="zh-CN" w:bidi="ar"/>
              </w:rPr>
              <w:t>***</w:t>
            </w:r>
          </w:p>
        </w:tc>
      </w:tr>
      <w:tr>
        <w:tc>
          <w:tcPr>
            <w:tcW w:w="1679" w:type="dxa"/>
            <w:tcBorders>
              <w:top w:val="nil"/>
              <w:left w:val="nil"/>
              <w:bottom w:val="nil"/>
              <w:right w:val="nil"/>
            </w:tcBorders>
            <w:shd w:val="clear" w:color="auto" w:fill="auto"/>
            <w:tcMar>
              <w:left w:w="100" w:type="dxa"/>
              <w:right w:w="100" w:type="dxa"/>
            </w:tcMar>
            <w:vAlign w:val="center"/>
          </w:tcPr>
          <w:p>
            <w:pPr>
              <w:pStyle w:val="18"/>
              <w:widowControl/>
              <w:jc w:val="both"/>
              <w:rPr>
                <w:rFonts w:ascii="Times New Roman Regular" w:hAnsi="Times New Roman Regular" w:cs="Times New Roman Regular"/>
                <w:i/>
                <w:iCs/>
                <w:sz w:val="20"/>
                <w:szCs w:val="20"/>
              </w:rPr>
            </w:pP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(0.6358)</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168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(0.6360)</w:t>
            </w:r>
          </w:p>
        </w:tc>
      </w:tr>
      <w:tr>
        <w:tc>
          <w:tcPr>
            <w:tcW w:w="1679" w:type="dxa"/>
            <w:tcBorders>
              <w:top w:val="nil"/>
              <w:left w:val="nil"/>
              <w:bottom w:val="nil"/>
              <w:right w:val="nil"/>
            </w:tcBorders>
            <w:shd w:val="clear" w:color="auto" w:fill="auto"/>
            <w:tcMar>
              <w:left w:w="100" w:type="dxa"/>
              <w:right w:w="100" w:type="dxa"/>
            </w:tcMar>
            <w:vAlign w:val="center"/>
          </w:tcPr>
          <w:p>
            <w:pPr>
              <w:pStyle w:val="20"/>
              <w:widowControl/>
              <w:jc w:val="both"/>
              <w:rPr>
                <w:rFonts w:ascii="Times New Roman Regular" w:hAnsi="Times New Roman Regular" w:cs="Times New Roman Regular"/>
                <w:i/>
                <w:iCs/>
                <w:sz w:val="20"/>
                <w:szCs w:val="20"/>
              </w:rPr>
            </w:pPr>
            <w:r>
              <w:rPr>
                <w:rFonts w:ascii="Times New Roman Regular" w:hAnsi="Times New Roman Regular" w:cs="Times New Roman Regular"/>
                <w:i/>
                <w:iCs/>
                <w:sz w:val="20"/>
                <w:szCs w:val="20"/>
              </w:rPr>
              <w:t>urban</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0.8618</w:t>
            </w:r>
            <w:r>
              <w:rPr>
                <w:rFonts w:hint="default" w:ascii="Times New Roman" w:hAnsi="Times New Roman" w:cs="Times New Roman"/>
                <w:kern w:val="0"/>
                <w:sz w:val="20"/>
                <w:szCs w:val="20"/>
                <w:vertAlign w:val="superscript"/>
                <w:lang w:val="en-US" w:eastAsia="zh-CN" w:bidi="ar"/>
              </w:rPr>
              <w:t>***</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168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1.0885</w:t>
            </w:r>
            <w:r>
              <w:rPr>
                <w:rFonts w:hint="default" w:ascii="Times New Roman" w:hAnsi="Times New Roman" w:cs="Times New Roman"/>
                <w:kern w:val="0"/>
                <w:sz w:val="20"/>
                <w:szCs w:val="20"/>
                <w:vertAlign w:val="superscript"/>
                <w:lang w:val="en-US" w:eastAsia="zh-CN" w:bidi="ar"/>
              </w:rPr>
              <w:t>***</w:t>
            </w:r>
          </w:p>
        </w:tc>
      </w:tr>
      <w:tr>
        <w:tc>
          <w:tcPr>
            <w:tcW w:w="1679" w:type="dxa"/>
            <w:tcBorders>
              <w:top w:val="nil"/>
              <w:left w:val="nil"/>
              <w:bottom w:val="nil"/>
              <w:right w:val="nil"/>
            </w:tcBorders>
            <w:shd w:val="clear" w:color="auto" w:fill="auto"/>
            <w:tcMar>
              <w:left w:w="100" w:type="dxa"/>
              <w:right w:w="100" w:type="dxa"/>
            </w:tcMar>
            <w:vAlign w:val="center"/>
          </w:tcPr>
          <w:p>
            <w:pPr>
              <w:pStyle w:val="18"/>
              <w:widowControl/>
              <w:jc w:val="both"/>
              <w:rPr>
                <w:rFonts w:ascii="Times New Roman Regular" w:hAnsi="Times New Roman Regular" w:cs="Times New Roman Regular"/>
                <w:i/>
                <w:iCs/>
                <w:sz w:val="20"/>
                <w:szCs w:val="20"/>
              </w:rPr>
            </w:pP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(0.1929)</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168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(0.2128)</w:t>
            </w:r>
          </w:p>
        </w:tc>
      </w:tr>
      <w:tr>
        <w:tc>
          <w:tcPr>
            <w:tcW w:w="1679" w:type="dxa"/>
            <w:tcBorders>
              <w:top w:val="nil"/>
              <w:left w:val="nil"/>
              <w:bottom w:val="nil"/>
              <w:right w:val="nil"/>
            </w:tcBorders>
            <w:shd w:val="clear" w:color="auto" w:fill="auto"/>
            <w:tcMar>
              <w:left w:w="100" w:type="dxa"/>
              <w:right w:w="100" w:type="dxa"/>
            </w:tcMar>
            <w:vAlign w:val="center"/>
          </w:tcPr>
          <w:p>
            <w:pPr>
              <w:pStyle w:val="20"/>
              <w:widowControl/>
              <w:jc w:val="both"/>
              <w:rPr>
                <w:rFonts w:ascii="Times New Roman Regular" w:hAnsi="Times New Roman Regular" w:cs="Times New Roman Regular"/>
                <w:i/>
                <w:iCs/>
                <w:sz w:val="20"/>
                <w:szCs w:val="20"/>
              </w:rPr>
            </w:pPr>
            <w:r>
              <w:rPr>
                <w:rFonts w:ascii="Times New Roman Regular" w:hAnsi="Times New Roman Regular" w:cs="Times New Roman Regular"/>
                <w:i/>
                <w:iCs/>
                <w:sz w:val="20"/>
                <w:szCs w:val="20"/>
              </w:rPr>
              <w:t>edu3</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8.8044</w:t>
            </w:r>
            <w:r>
              <w:rPr>
                <w:rFonts w:hint="default" w:ascii="Times New Roman" w:hAnsi="Times New Roman" w:cs="Times New Roman"/>
                <w:kern w:val="0"/>
                <w:sz w:val="20"/>
                <w:szCs w:val="20"/>
                <w:vertAlign w:val="superscript"/>
                <w:lang w:val="en-US" w:eastAsia="zh-CN" w:bidi="ar"/>
              </w:rPr>
              <w:t>***</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168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6.6668</w:t>
            </w:r>
            <w:r>
              <w:rPr>
                <w:rFonts w:hint="default" w:ascii="Times New Roman" w:hAnsi="Times New Roman" w:cs="Times New Roman"/>
                <w:kern w:val="0"/>
                <w:sz w:val="20"/>
                <w:szCs w:val="20"/>
                <w:vertAlign w:val="superscript"/>
                <w:lang w:val="en-US" w:eastAsia="zh-CN" w:bidi="ar"/>
              </w:rPr>
              <w:t>***</w:t>
            </w:r>
          </w:p>
        </w:tc>
      </w:tr>
      <w:tr>
        <w:tc>
          <w:tcPr>
            <w:tcW w:w="1679" w:type="dxa"/>
            <w:tcBorders>
              <w:top w:val="nil"/>
              <w:left w:val="nil"/>
              <w:bottom w:val="nil"/>
              <w:right w:val="nil"/>
            </w:tcBorders>
            <w:shd w:val="clear" w:color="auto" w:fill="auto"/>
            <w:tcMar>
              <w:left w:w="100" w:type="dxa"/>
              <w:right w:w="100" w:type="dxa"/>
            </w:tcMar>
            <w:vAlign w:val="center"/>
          </w:tcPr>
          <w:p>
            <w:pPr>
              <w:pStyle w:val="18"/>
              <w:widowControl/>
              <w:jc w:val="both"/>
              <w:rPr>
                <w:rFonts w:ascii="Times New Roman Regular" w:hAnsi="Times New Roman Regular" w:cs="Times New Roman Regular"/>
                <w:i/>
                <w:iCs/>
                <w:sz w:val="20"/>
                <w:szCs w:val="20"/>
              </w:rPr>
            </w:pP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(1.4426)</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168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(1.1575)</w:t>
            </w:r>
          </w:p>
        </w:tc>
      </w:tr>
      <w:tr>
        <w:tc>
          <w:tcPr>
            <w:tcW w:w="1679" w:type="dxa"/>
            <w:tcBorders>
              <w:top w:val="nil"/>
              <w:left w:val="nil"/>
              <w:bottom w:val="nil"/>
              <w:right w:val="nil"/>
            </w:tcBorders>
            <w:shd w:val="clear" w:color="auto" w:fill="auto"/>
            <w:tcMar>
              <w:left w:w="100" w:type="dxa"/>
              <w:right w:w="100" w:type="dxa"/>
            </w:tcMar>
            <w:vAlign w:val="center"/>
          </w:tcPr>
          <w:p>
            <w:pPr>
              <w:pStyle w:val="20"/>
              <w:widowControl/>
              <w:jc w:val="both"/>
              <w:rPr>
                <w:rFonts w:ascii="Times New Roman Regular" w:hAnsi="Times New Roman Regular" w:cs="Times New Roman Regular"/>
                <w:sz w:val="20"/>
                <w:szCs w:val="20"/>
              </w:rPr>
            </w:pPr>
            <w:r>
              <w:rPr>
                <w:rFonts w:ascii="Times New Roman Regular" w:hAnsi="Times New Roman Regular" w:cs="Times New Roman Regular"/>
                <w:sz w:val="20"/>
                <w:szCs w:val="20"/>
              </w:rPr>
              <w:t>_cons</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55.2389</w:t>
            </w:r>
            <w:r>
              <w:rPr>
                <w:rFonts w:hint="default" w:ascii="Times New Roman" w:hAnsi="Times New Roman" w:cs="Times New Roman"/>
                <w:kern w:val="0"/>
                <w:sz w:val="20"/>
                <w:szCs w:val="20"/>
                <w:vertAlign w:val="superscript"/>
                <w:lang w:val="en-US" w:eastAsia="zh-CN" w:bidi="ar"/>
              </w:rPr>
              <w:t>***</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55.0720</w:t>
            </w:r>
            <w:r>
              <w:rPr>
                <w:rFonts w:hint="default" w:ascii="Times New Roman" w:hAnsi="Times New Roman" w:cs="Times New Roman"/>
                <w:kern w:val="0"/>
                <w:sz w:val="20"/>
                <w:szCs w:val="20"/>
                <w:vertAlign w:val="superscript"/>
                <w:lang w:val="en-US" w:eastAsia="zh-CN" w:bidi="ar"/>
              </w:rPr>
              <w:t>***</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55.6022</w:t>
            </w:r>
            <w:r>
              <w:rPr>
                <w:rFonts w:hint="default" w:ascii="Times New Roman" w:hAnsi="Times New Roman" w:cs="Times New Roman"/>
                <w:kern w:val="0"/>
                <w:sz w:val="20"/>
                <w:szCs w:val="20"/>
                <w:vertAlign w:val="superscript"/>
                <w:lang w:val="en-US" w:eastAsia="zh-CN" w:bidi="ar"/>
              </w:rPr>
              <w:t>***</w:t>
            </w:r>
          </w:p>
        </w:tc>
        <w:tc>
          <w:tcPr>
            <w:tcW w:w="168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55.0705</w:t>
            </w:r>
            <w:r>
              <w:rPr>
                <w:rFonts w:hint="default" w:ascii="Times New Roman" w:hAnsi="Times New Roman" w:cs="Times New Roman"/>
                <w:kern w:val="0"/>
                <w:sz w:val="20"/>
                <w:szCs w:val="20"/>
                <w:vertAlign w:val="superscript"/>
                <w:lang w:val="en-US" w:eastAsia="zh-CN" w:bidi="ar"/>
              </w:rPr>
              <w:t>***</w:t>
            </w:r>
          </w:p>
        </w:tc>
      </w:tr>
      <w:tr>
        <w:tc>
          <w:tcPr>
            <w:tcW w:w="1679" w:type="dxa"/>
            <w:tcBorders>
              <w:top w:val="nil"/>
              <w:left w:val="nil"/>
              <w:bottom w:val="nil"/>
              <w:right w:val="nil"/>
            </w:tcBorders>
            <w:shd w:val="clear" w:color="auto" w:fill="auto"/>
            <w:tcMar>
              <w:left w:w="100" w:type="dxa"/>
              <w:right w:w="100" w:type="dxa"/>
            </w:tcMar>
            <w:vAlign w:val="center"/>
          </w:tcPr>
          <w:p>
            <w:pPr>
              <w:pStyle w:val="18"/>
              <w:widowControl/>
              <w:jc w:val="both"/>
              <w:rPr>
                <w:rFonts w:ascii="Times New Roman Regular" w:hAnsi="Times New Roman Regular" w:cs="Times New Roman Regular"/>
                <w:sz w:val="20"/>
                <w:szCs w:val="20"/>
              </w:rPr>
            </w:pP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(0.0090)</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(0.1890)</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(0.0083)</w:t>
            </w:r>
          </w:p>
        </w:tc>
        <w:tc>
          <w:tcPr>
            <w:tcW w:w="168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(0.2127)</w:t>
            </w:r>
          </w:p>
        </w:tc>
      </w:tr>
      <w:tr>
        <w:tc>
          <w:tcPr>
            <w:tcW w:w="1679" w:type="dxa"/>
            <w:tcBorders>
              <w:top w:val="nil"/>
              <w:left w:val="nil"/>
              <w:bottom w:val="nil"/>
              <w:right w:val="nil"/>
            </w:tcBorders>
            <w:shd w:val="clear" w:color="auto" w:fill="auto"/>
            <w:tcMar>
              <w:left w:w="100" w:type="dxa"/>
              <w:right w:w="100" w:type="dxa"/>
            </w:tcMar>
            <w:vAlign w:val="center"/>
          </w:tcPr>
          <w:p>
            <w:pPr>
              <w:pStyle w:val="20"/>
              <w:widowControl/>
              <w:jc w:val="both"/>
              <w:rPr>
                <w:rFonts w:ascii="Times New Roman Regular" w:hAnsi="Times New Roman Regular" w:cs="Times New Roman Regular"/>
                <w:sz w:val="20"/>
                <w:szCs w:val="20"/>
              </w:rPr>
            </w:pPr>
            <w:r>
              <w:rPr>
                <w:rFonts w:ascii="Times New Roman Regular" w:hAnsi="Times New Roman Regular" w:cs="Times New Roman Regular"/>
                <w:sz w:val="20"/>
                <w:szCs w:val="20"/>
              </w:rPr>
              <w:t>CITY</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Yes</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Yes</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Yes</w:t>
            </w:r>
          </w:p>
        </w:tc>
        <w:tc>
          <w:tcPr>
            <w:tcW w:w="168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Yes</w:t>
            </w:r>
          </w:p>
        </w:tc>
      </w:tr>
      <w:tr>
        <w:tc>
          <w:tcPr>
            <w:tcW w:w="1679" w:type="dxa"/>
            <w:tcBorders>
              <w:top w:val="nil"/>
              <w:left w:val="nil"/>
              <w:bottom w:val="nil"/>
              <w:right w:val="nil"/>
            </w:tcBorders>
            <w:shd w:val="clear" w:color="auto" w:fill="auto"/>
            <w:tcMar>
              <w:left w:w="100" w:type="dxa"/>
              <w:right w:w="100" w:type="dxa"/>
            </w:tcMar>
            <w:vAlign w:val="center"/>
          </w:tcPr>
          <w:p>
            <w:pPr>
              <w:pStyle w:val="20"/>
              <w:widowControl/>
              <w:jc w:val="both"/>
              <w:rPr>
                <w:rFonts w:ascii="Times New Roman Regular" w:hAnsi="Times New Roman Regular" w:cs="Times New Roman Regular"/>
                <w:sz w:val="20"/>
                <w:szCs w:val="20"/>
              </w:rPr>
            </w:pPr>
            <w:r>
              <w:rPr>
                <w:rFonts w:ascii="Times New Roman Regular" w:hAnsi="Times New Roman Regular" w:cs="Times New Roman Regular"/>
                <w:sz w:val="20"/>
                <w:szCs w:val="20"/>
              </w:rPr>
              <w:t>YEAR</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Yes</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Yes</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Yes</w:t>
            </w:r>
          </w:p>
        </w:tc>
        <w:tc>
          <w:tcPr>
            <w:tcW w:w="168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Yes</w:t>
            </w:r>
          </w:p>
        </w:tc>
      </w:tr>
      <w:tr>
        <w:tc>
          <w:tcPr>
            <w:tcW w:w="1679" w:type="dxa"/>
            <w:tcBorders>
              <w:top w:val="nil"/>
              <w:left w:val="nil"/>
              <w:bottom w:val="nil"/>
              <w:right w:val="nil"/>
            </w:tcBorders>
            <w:shd w:val="clear" w:color="auto" w:fill="auto"/>
            <w:tcMar>
              <w:left w:w="100" w:type="dxa"/>
              <w:right w:w="100" w:type="dxa"/>
            </w:tcMar>
            <w:vAlign w:val="center"/>
          </w:tcPr>
          <w:p>
            <w:pPr>
              <w:pStyle w:val="20"/>
              <w:widowControl/>
              <w:jc w:val="both"/>
              <w:rPr>
                <w:rFonts w:ascii="Times New Roman Regular" w:hAnsi="Times New Roman Regular" w:cs="Times New Roman Regular"/>
                <w:sz w:val="20"/>
                <w:szCs w:val="20"/>
              </w:rPr>
            </w:pPr>
            <w:r>
              <w:rPr>
                <w:rFonts w:ascii="Times New Roman Regular" w:hAnsi="Times New Roman Regular" w:cs="Times New Roman Regular"/>
                <w:i/>
                <w:iCs/>
                <w:sz w:val="20"/>
                <w:szCs w:val="20"/>
              </w:rPr>
              <w:t>N</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4292</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4152</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3762</w:t>
            </w:r>
          </w:p>
        </w:tc>
        <w:tc>
          <w:tcPr>
            <w:tcW w:w="168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3762</w:t>
            </w:r>
          </w:p>
        </w:tc>
      </w:tr>
      <w:tr>
        <w:tc>
          <w:tcPr>
            <w:tcW w:w="1679" w:type="dxa"/>
            <w:tcBorders>
              <w:top w:val="nil"/>
              <w:left w:val="nil"/>
              <w:bottom w:val="double" w:color="auto" w:sz="4" w:space="0"/>
              <w:right w:val="nil"/>
            </w:tcBorders>
            <w:shd w:val="clear" w:color="auto" w:fill="auto"/>
            <w:tcMar>
              <w:left w:w="100" w:type="dxa"/>
              <w:right w:w="100" w:type="dxa"/>
            </w:tcMar>
            <w:vAlign w:val="center"/>
          </w:tcPr>
          <w:p>
            <w:pPr>
              <w:pStyle w:val="20"/>
              <w:widowControl/>
              <w:jc w:val="both"/>
              <w:rPr>
                <w:rFonts w:hint="default" w:ascii="Times New Roman Regular" w:hAnsi="Times New Roman Regular" w:cs="Times New Roman Regular" w:eastAsiaTheme="minorEastAsia"/>
                <w:sz w:val="20"/>
                <w:szCs w:val="20"/>
                <w:lang w:val="en-US" w:eastAsia="zh-CN"/>
              </w:rPr>
            </w:pPr>
            <w:r>
              <w:rPr>
                <w:rFonts w:hint="default" w:ascii="Times New Roman Regular" w:hAnsi="Times New Roman Regular" w:cs="Times New Roman Regular"/>
                <w:sz w:val="20"/>
                <w:szCs w:val="20"/>
                <w:lang w:val="en-US"/>
              </w:rPr>
              <w:t>r2_within</w:t>
            </w:r>
            <w:r>
              <w:rPr>
                <w:rFonts w:hint="eastAsia" w:ascii="Times New Roman Regular" w:hAnsi="Times New Roman Regular" w:cs="Times New Roman Regular"/>
                <w:sz w:val="20"/>
                <w:szCs w:val="20"/>
                <w:lang w:val="en-US" w:eastAsia="zh-CN"/>
              </w:rPr>
              <w:t>Within R2</w:t>
            </w:r>
          </w:p>
        </w:tc>
        <w:tc>
          <w:tcPr>
            <w:tcW w:w="1679" w:type="dxa"/>
            <w:tcBorders>
              <w:top w:val="nil"/>
              <w:left w:val="nil"/>
              <w:bottom w:val="double" w:color="auto" w:sz="4" w:space="0"/>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0.0020</w:t>
            </w:r>
          </w:p>
        </w:tc>
        <w:tc>
          <w:tcPr>
            <w:tcW w:w="1679" w:type="dxa"/>
            <w:tcBorders>
              <w:top w:val="nil"/>
              <w:left w:val="nil"/>
              <w:bottom w:val="double" w:color="auto" w:sz="4" w:space="0"/>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0.1267</w:t>
            </w:r>
          </w:p>
        </w:tc>
        <w:tc>
          <w:tcPr>
            <w:tcW w:w="1679" w:type="dxa"/>
            <w:tcBorders>
              <w:top w:val="nil"/>
              <w:left w:val="nil"/>
              <w:bottom w:val="double" w:color="auto" w:sz="4" w:space="0"/>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0.0071</w:t>
            </w:r>
          </w:p>
        </w:tc>
        <w:tc>
          <w:tcPr>
            <w:tcW w:w="1682" w:type="dxa"/>
            <w:tcBorders>
              <w:top w:val="nil"/>
              <w:left w:val="nil"/>
              <w:bottom w:val="double" w:color="auto" w:sz="4" w:space="0"/>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0.1418</w:t>
            </w:r>
          </w:p>
        </w:tc>
      </w:tr>
    </w:tbl>
    <w:p>
      <w:pPr>
        <w:widowControl/>
        <w:spacing w:after="157" w:afterLines="50"/>
        <w:rPr>
          <w:rFonts w:ascii="Times New Roman Regular" w:hAnsi="Times New Roman Regular" w:eastAsia="宋体" w:cs="Times New Roman Regular"/>
          <w:kern w:val="0"/>
          <w:sz w:val="22"/>
          <w:szCs w:val="22"/>
          <w:lang w:bidi="ar"/>
        </w:rPr>
      </w:pPr>
      <w:r>
        <w:rPr>
          <w:rStyle w:val="13"/>
          <w:rFonts w:ascii="Times New Roman Bold" w:hAnsi="Times New Roman Bold" w:eastAsia="宋体" w:cs="Times New Roman Bold"/>
          <w:bCs/>
          <w:kern w:val="0"/>
          <w:sz w:val="20"/>
          <w:szCs w:val="20"/>
          <w:lang w:bidi="ar"/>
        </w:rPr>
        <w:t>Note:</w:t>
      </w:r>
      <w:r>
        <w:rPr>
          <w:rFonts w:ascii="Times New Roman Bold" w:hAnsi="Times New Roman Bold" w:eastAsia="宋体" w:cs="Times New Roman Bold"/>
          <w:b/>
          <w:bCs/>
          <w:kern w:val="0"/>
          <w:sz w:val="20"/>
          <w:szCs w:val="20"/>
          <w:lang w:bidi="ar"/>
        </w:rPr>
        <w:t xml:space="preserve"> </w:t>
      </w:r>
      <w:r>
        <w:rPr>
          <w:rFonts w:ascii="Times New Roman Regular" w:hAnsi="Times New Roman Regular" w:eastAsia="宋体" w:cs="Times New Roman Regular"/>
          <w:kern w:val="0"/>
          <w:sz w:val="20"/>
          <w:szCs w:val="20"/>
          <w:lang w:bidi="ar"/>
        </w:rPr>
        <w:t>Robust standard errors in parentheses. ***, **, and * indicate significance at the 1%, 5%, and 10% levels, respectively; same below.</w:t>
      </w:r>
    </w:p>
    <w:p>
      <w:pPr>
        <w:spacing w:before="0" w:beforeLines="0" w:after="0" w:afterLines="0"/>
        <w:rPr>
          <w:rFonts w:ascii="Times New Roman Bold" w:hAnsi="Times New Roman Bold" w:cs="Times New Roman Bold"/>
          <w:b/>
          <w:sz w:val="24"/>
        </w:rPr>
      </w:pPr>
      <w:r>
        <w:rPr>
          <w:rFonts w:hint="eastAsia" w:ascii="Times New Roman Bold" w:hAnsi="Times New Roman Bold" w:cs="Times New Roman Bold"/>
          <w:b/>
          <w:sz w:val="24"/>
          <w:lang w:val="en-US" w:eastAsia="zh-CN"/>
        </w:rPr>
        <w:t>4</w:t>
      </w:r>
      <w:r>
        <w:rPr>
          <w:rFonts w:ascii="Times New Roman Bold" w:hAnsi="Times New Roman Bold" w:cs="Times New Roman Bold"/>
          <w:b/>
          <w:sz w:val="24"/>
        </w:rPr>
        <w:t xml:space="preserve">.2 </w:t>
      </w:r>
      <w:r>
        <w:rPr>
          <w:rFonts w:ascii="Times New Roman Bold" w:hAnsi="Times New Roman Bold" w:cs="Times New Roman Bold"/>
          <w:b/>
          <w:bCs/>
          <w:sz w:val="24"/>
        </w:rPr>
        <w:t xml:space="preserve">Robustness </w:t>
      </w:r>
      <w:r>
        <w:rPr>
          <w:rFonts w:hint="eastAsia" w:ascii="Times New Roman Bold" w:hAnsi="Times New Roman Bold" w:cs="Times New Roman Bold"/>
          <w:b/>
          <w:bCs/>
          <w:sz w:val="24"/>
          <w:lang w:val="en-US" w:eastAsia="zh-CN"/>
        </w:rPr>
        <w:t>c</w:t>
      </w:r>
      <w:r>
        <w:rPr>
          <w:rFonts w:ascii="Times New Roman Bold" w:hAnsi="Times New Roman Bold" w:cs="Times New Roman Bold"/>
          <w:b/>
          <w:sz w:val="24"/>
        </w:rPr>
        <w:t>heck</w:t>
      </w:r>
    </w:p>
    <w:p>
      <w:pPr>
        <w:spacing w:before="157" w:beforeLines="50" w:after="157" w:afterLines="50"/>
        <w:rPr>
          <w:rFonts w:ascii="Times New Roman Bold Italic" w:hAnsi="Times New Roman Bold Italic" w:cs="Times New Roman Bold Italic"/>
          <w:b/>
          <w:i/>
          <w:iCs/>
          <w:sz w:val="24"/>
        </w:rPr>
      </w:pPr>
      <w:r>
        <w:rPr>
          <w:rFonts w:hint="eastAsia" w:ascii="Times New Roman Bold Italic" w:hAnsi="Times New Roman Bold Italic" w:cs="Times New Roman Bold Italic"/>
          <w:b/>
          <w:i/>
          <w:iCs/>
          <w:sz w:val="24"/>
          <w:lang w:val="en-US" w:eastAsia="zh-CN"/>
        </w:rPr>
        <w:t>4</w:t>
      </w:r>
      <w:r>
        <w:rPr>
          <w:rFonts w:ascii="Times New Roman Bold Italic" w:hAnsi="Times New Roman Bold Italic" w:cs="Times New Roman Bold Italic"/>
          <w:b/>
          <w:i/>
          <w:iCs/>
          <w:sz w:val="24"/>
        </w:rPr>
        <w:t xml:space="preserve">.2.1 Parallel </w:t>
      </w:r>
      <w:r>
        <w:rPr>
          <w:rFonts w:hint="eastAsia" w:ascii="Times New Roman Bold Italic" w:hAnsi="Times New Roman Bold Italic" w:cs="Times New Roman Bold Italic"/>
          <w:b/>
          <w:i/>
          <w:iCs/>
          <w:sz w:val="24"/>
          <w:lang w:val="en-US" w:eastAsia="zh-CN"/>
        </w:rPr>
        <w:t>t</w:t>
      </w:r>
      <w:r>
        <w:rPr>
          <w:rFonts w:ascii="Times New Roman Bold Italic" w:hAnsi="Times New Roman Bold Italic" w:cs="Times New Roman Bold Italic"/>
          <w:b/>
          <w:i/>
          <w:iCs/>
          <w:sz w:val="24"/>
        </w:rPr>
        <w:t xml:space="preserve">rends </w:t>
      </w:r>
      <w:r>
        <w:rPr>
          <w:rFonts w:hint="eastAsia" w:ascii="Times New Roman Bold Italic" w:hAnsi="Times New Roman Bold Italic" w:cs="Times New Roman Bold Italic"/>
          <w:b/>
          <w:i/>
          <w:iCs/>
          <w:sz w:val="24"/>
          <w:lang w:val="en-US" w:eastAsia="zh-CN"/>
        </w:rPr>
        <w:t>t</w:t>
      </w:r>
      <w:r>
        <w:rPr>
          <w:rFonts w:ascii="Times New Roman Bold Italic" w:hAnsi="Times New Roman Bold Italic" w:cs="Times New Roman Bold Italic"/>
          <w:b/>
          <w:i/>
          <w:iCs/>
          <w:sz w:val="24"/>
        </w:rPr>
        <w:t>est</w:t>
      </w:r>
    </w:p>
    <w:p>
      <w:pPr>
        <w:widowControl/>
        <w:spacing w:after="157" w:afterLines="50"/>
        <w:ind w:firstLine="240" w:firstLineChars="100"/>
        <w:rPr>
          <w:rFonts w:ascii="Times New Roman Regular" w:hAnsi="Times New Roman Regular" w:eastAsia="宋体" w:cs="Times New Roman Regular"/>
          <w:kern w:val="0"/>
          <w:sz w:val="24"/>
          <w:lang w:bidi="ar"/>
        </w:rPr>
      </w:pPr>
      <w:r>
        <w:rPr>
          <w:rFonts w:ascii="Times New Roman Regular" w:hAnsi="Times New Roman Regular" w:cs="Times New Roman Regular"/>
          <w:sz w:val="24"/>
        </w:rPr>
        <w:t xml:space="preserve">When using the </w:t>
      </w:r>
      <w:r>
        <w:rPr>
          <w:rFonts w:hint="eastAsia" w:ascii="Times New Roman Regular" w:hAnsi="Times New Roman Regular" w:cs="Times New Roman Regular"/>
          <w:sz w:val="24"/>
          <w:lang w:val="en-US" w:eastAsia="zh-CN"/>
        </w:rPr>
        <w:t>DID</w:t>
      </w:r>
      <w:r>
        <w:rPr>
          <w:rFonts w:ascii="Times New Roman Regular" w:hAnsi="Times New Roman Regular" w:cs="Times New Roman Regular"/>
          <w:sz w:val="24"/>
        </w:rPr>
        <w:t xml:space="preserve"> method for identification, it is essential to ensure that the treatment and control groups satisfy the parallel trends assumption prior to policy implementation. To verify this, we conduct</w:t>
      </w:r>
      <w:r>
        <w:rPr>
          <w:rFonts w:hint="eastAsia" w:ascii="Times New Roman Regular" w:hAnsi="Times New Roman Regular" w:cs="Times New Roman Regular"/>
          <w:sz w:val="24"/>
          <w:lang w:val="en-US" w:eastAsia="zh-CN"/>
        </w:rPr>
        <w:t>ed</w:t>
      </w:r>
      <w:r>
        <w:rPr>
          <w:rFonts w:ascii="Times New Roman Regular" w:hAnsi="Times New Roman Regular" w:cs="Times New Roman Regular"/>
          <w:sz w:val="24"/>
        </w:rPr>
        <w:t xml:space="preserve"> a test of the dynamic effects of the exogenous policy shock. The specific estimation method </w:t>
      </w:r>
      <w:r>
        <w:rPr>
          <w:rFonts w:hint="eastAsia" w:ascii="Times New Roman Regular" w:hAnsi="Times New Roman Regular" w:cs="Times New Roman Regular"/>
          <w:sz w:val="24"/>
          <w:lang w:val="en-US" w:eastAsia="zh-CN"/>
        </w:rPr>
        <w:t>was</w:t>
      </w:r>
      <w:r>
        <w:rPr>
          <w:rFonts w:ascii="Times New Roman Regular" w:hAnsi="Times New Roman Regular" w:cs="Times New Roman Regular"/>
          <w:sz w:val="24"/>
        </w:rPr>
        <w:t xml:space="preserve"> as follows</w:t>
      </w:r>
      <w:r>
        <w:rPr>
          <w:rStyle w:val="17"/>
          <w:rFonts w:ascii="Times New Roman Regular" w:hAnsi="Times New Roman Regular" w:eastAsia="宋体" w:cs="Times New Roman Regular"/>
          <w:kern w:val="0"/>
          <w:sz w:val="24"/>
          <w:lang w:bidi="ar"/>
        </w:rPr>
        <w:footnoteReference w:id="2"/>
      </w:r>
      <w:r>
        <w:rPr>
          <w:rFonts w:ascii="Times New Roman Regular" w:hAnsi="Times New Roman Regular" w:eastAsia="宋体" w:cs="Times New Roman Regular"/>
          <w:kern w:val="0"/>
          <w:sz w:val="24"/>
          <w:lang w:bidi="ar"/>
        </w:rPr>
        <w:t>:</w:t>
      </w:r>
    </w:p>
    <w:p>
      <w:pPr>
        <w:jc w:val="center"/>
        <w:rPr>
          <w:rFonts w:ascii="Times New Roman Regular" w:hAnsi="Times New Roman Regular" w:cs="Times New Roman Regular"/>
          <w:i/>
          <w:iCs/>
          <w:sz w:val="20"/>
          <w:szCs w:val="20"/>
        </w:rPr>
      </w:pPr>
      <m:oMath>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EMP</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it</m:t>
            </m:r>
            <m:ctrlPr>
              <w:rPr>
                <w:rFonts w:ascii="DejaVu Math TeX Gyre" w:hAnsi="DejaVu Math TeX Gyre" w:cs="Times New Roman Regular"/>
                <w:i/>
                <w:iCs/>
                <w:sz w:val="20"/>
                <w:szCs w:val="20"/>
              </w:rPr>
            </m:ctrlPr>
          </m:sub>
        </m:sSub>
        <m:r>
          <m:rPr>
            <m:sty m:val="p"/>
          </m:rPr>
          <w:rPr>
            <w:rFonts w:ascii="DejaVu Math TeX Gyre" w:hAnsi="DejaVu Math TeX Gyre" w:cs="Times New Roman Regular"/>
            <w:sz w:val="20"/>
            <w:szCs w:val="20"/>
          </w:rPr>
          <m:t>=</m:t>
        </m:r>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β</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0</m:t>
            </m:r>
            <m:ctrlPr>
              <w:rPr>
                <w:rFonts w:ascii="DejaVu Math TeX Gyre" w:hAnsi="DejaVu Math TeX Gyre" w:cs="Times New Roman Regular"/>
                <w:i/>
                <w:iCs/>
                <w:sz w:val="20"/>
                <w:szCs w:val="20"/>
              </w:rPr>
            </m:ctrlPr>
          </m:sub>
        </m:sSub>
      </m:oMath>
      <w:r>
        <w:rPr>
          <w:rFonts w:ascii="Times New Roman Regular" w:hAnsi="Times New Roman Regular" w:cs="Times New Roman Regular"/>
          <w:sz w:val="20"/>
          <w:szCs w:val="20"/>
        </w:rPr>
        <w:t>+</w:t>
      </w:r>
      <m:oMath>
        <m:nary>
          <m:naryPr>
            <m:chr m:val="∑"/>
            <m:limLoc m:val="undOvr"/>
            <m:ctrlPr>
              <w:rPr>
                <w:rFonts w:ascii="DejaVu Math TeX Gyre" w:hAnsi="DejaVu Math TeX Gyre" w:cs="Times New Roman Regular"/>
                <w:sz w:val="20"/>
                <w:szCs w:val="20"/>
              </w:rPr>
            </m:ctrlPr>
          </m:naryPr>
          <m:sub>
            <m:r>
              <m:rPr>
                <m:sty m:val="p"/>
              </m:rPr>
              <w:rPr>
                <w:rFonts w:ascii="DejaVu Math TeX Gyre" w:hAnsi="DejaVu Math TeX Gyre" w:cs="Times New Roman Regular"/>
                <w:sz w:val="20"/>
                <w:szCs w:val="20"/>
              </w:rPr>
              <m:t>j=1</m:t>
            </m:r>
            <m:ctrlPr>
              <w:rPr>
                <w:rFonts w:ascii="DejaVu Math TeX Gyre" w:hAnsi="DejaVu Math TeX Gyre" w:cs="Times New Roman Regular"/>
                <w:sz w:val="20"/>
                <w:szCs w:val="20"/>
              </w:rPr>
            </m:ctrlPr>
          </m:sub>
          <m:sup>
            <m:r>
              <m:rPr>
                <m:sty m:val="p"/>
              </m:rPr>
              <w:rPr>
                <w:rFonts w:ascii="DejaVu Math TeX Gyre" w:hAnsi="DejaVu Math TeX Gyre" w:cs="Times New Roman Regular"/>
                <w:sz w:val="20"/>
                <w:szCs w:val="20"/>
              </w:rPr>
              <m:t>J</m:t>
            </m:r>
            <m:ctrlPr>
              <w:rPr>
                <w:rFonts w:ascii="DejaVu Math TeX Gyre" w:hAnsi="DejaVu Math TeX Gyre" w:cs="Times New Roman Regular"/>
                <w:sz w:val="20"/>
                <w:szCs w:val="20"/>
              </w:rPr>
            </m:ctrlPr>
          </m:sup>
          <m:e>
            <m:sSub>
              <m:sSubPr>
                <m:ctrlPr>
                  <w:rPr>
                    <w:rFonts w:ascii="DejaVu Math TeX Gyre" w:hAnsi="DejaVu Math TeX Gyre" w:cs="Times New Roman Regular"/>
                    <w:i/>
                    <w:iCs/>
                    <w:sz w:val="20"/>
                    <w:szCs w:val="20"/>
                  </w:rPr>
                </m:ctrlPr>
              </m:sSubPr>
              <m:e>
                <m:r>
                  <m:rPr/>
                  <w:rPr>
                    <w:rFonts w:hint="default" w:ascii="DejaVu Math TeX Gyre" w:hAnsi="DejaVu Math TeX Gyre" w:cs="Times New Roman Regular"/>
                    <w:sz w:val="20"/>
                    <w:szCs w:val="20"/>
                  </w:rPr>
                  <m:t>β</m:t>
                </m:r>
                <m:ctrlPr>
                  <w:rPr>
                    <w:rFonts w:ascii="DejaVu Math TeX Gyre" w:hAnsi="DejaVu Math TeX Gyre" w:cs="Times New Roman Regular"/>
                    <w:i/>
                    <w:iCs/>
                    <w:sz w:val="20"/>
                    <w:szCs w:val="20"/>
                  </w:rPr>
                </m:ctrlPr>
              </m:e>
              <m:sub>
                <m:r>
                  <m:rPr/>
                  <w:rPr>
                    <w:rFonts w:hint="default" w:ascii="DejaVu Math TeX Gyre" w:hAnsi="DejaVu Math TeX Gyre" w:cs="Times New Roman Regular"/>
                    <w:sz w:val="20"/>
                    <w:szCs w:val="20"/>
                  </w:rPr>
                  <m:t>k</m:t>
                </m:r>
                <m:ctrlPr>
                  <w:rPr>
                    <w:rFonts w:ascii="DejaVu Math TeX Gyre" w:hAnsi="DejaVu Math TeX Gyre" w:cs="Times New Roman Regular"/>
                    <w:i/>
                    <w:iCs/>
                    <w:sz w:val="20"/>
                    <w:szCs w:val="20"/>
                  </w:rPr>
                </m:ctrlPr>
              </m:sub>
            </m:sSub>
            <m:sSub>
              <m:sSubPr>
                <m:ctrlPr>
                  <w:rPr>
                    <w:rFonts w:ascii="DejaVu Math TeX Gyre" w:hAnsi="DejaVu Math TeX Gyre" w:cs="Times New Roman Regular"/>
                    <w:i/>
                    <w:iCs/>
                    <w:sz w:val="20"/>
                    <w:szCs w:val="20"/>
                  </w:rPr>
                </m:ctrlPr>
              </m:sSubPr>
              <m:e>
                <m:r>
                  <m:rPr/>
                  <w:rPr>
                    <w:rFonts w:hint="default" w:ascii="DejaVu Math TeX Gyre" w:hAnsi="DejaVu Math TeX Gyre" w:cs="Times New Roman Regular"/>
                    <w:sz w:val="20"/>
                    <w:szCs w:val="20"/>
                  </w:rPr>
                  <m:t>Dummy</m:t>
                </m:r>
                <m:ctrlPr>
                  <w:rPr>
                    <w:rFonts w:ascii="DejaVu Math TeX Gyre" w:hAnsi="DejaVu Math TeX Gyre" w:cs="Times New Roman Regular"/>
                    <w:i/>
                    <w:iCs/>
                    <w:sz w:val="20"/>
                    <w:szCs w:val="20"/>
                  </w:rPr>
                </m:ctrlPr>
              </m:e>
              <m:sub>
                <m:r>
                  <m:rPr/>
                  <w:rPr>
                    <w:rFonts w:hint="default" w:ascii="DejaVu Math TeX Gyre" w:hAnsi="DejaVu Math TeX Gyre" w:cs="Times New Roman Regular"/>
                    <w:sz w:val="20"/>
                    <w:szCs w:val="20"/>
                  </w:rPr>
                  <m:t>t+k</m:t>
                </m:r>
                <m:ctrlPr>
                  <w:rPr>
                    <w:rFonts w:ascii="DejaVu Math TeX Gyre" w:hAnsi="DejaVu Math TeX Gyre" w:cs="Times New Roman Regular"/>
                    <w:i/>
                    <w:iCs/>
                    <w:sz w:val="20"/>
                    <w:szCs w:val="20"/>
                  </w:rPr>
                </m:ctrlPr>
              </m:sub>
            </m:sSub>
            <m:ctrlPr>
              <w:rPr>
                <w:rFonts w:ascii="DejaVu Math TeX Gyre" w:hAnsi="DejaVu Math TeX Gyre" w:cs="Times New Roman Regular"/>
                <w:sz w:val="20"/>
                <w:szCs w:val="20"/>
              </w:rPr>
            </m:ctrlPr>
          </m:e>
        </m:nary>
        <m:r>
          <m:rPr>
            <m:sty m:val="p"/>
          </m:rPr>
          <w:rPr>
            <w:rFonts w:ascii="DejaVu Math TeX Gyre" w:hAnsi="DejaVu Math TeX Gyre" w:cs="Times New Roman Regular"/>
            <w:sz w:val="20"/>
            <w:szCs w:val="20"/>
          </w:rPr>
          <m:t>++</m:t>
        </m:r>
        <m:nary>
          <m:naryPr>
            <m:chr m:val="∑"/>
            <m:limLoc m:val="undOvr"/>
            <m:ctrlPr>
              <w:rPr>
                <w:rFonts w:ascii="DejaVu Math TeX Gyre" w:hAnsi="DejaVu Math TeX Gyre" w:cs="Times New Roman Regular"/>
                <w:sz w:val="20"/>
                <w:szCs w:val="20"/>
              </w:rPr>
            </m:ctrlPr>
          </m:naryPr>
          <m:sub>
            <m:r>
              <m:rPr>
                <m:sty m:val="p"/>
              </m:rPr>
              <w:rPr>
                <w:rFonts w:ascii="DejaVu Math TeX Gyre" w:hAnsi="DejaVu Math TeX Gyre" w:cs="Times New Roman Regular"/>
                <w:sz w:val="20"/>
                <w:szCs w:val="20"/>
              </w:rPr>
              <m:t>j=1</m:t>
            </m:r>
            <m:ctrlPr>
              <w:rPr>
                <w:rFonts w:ascii="DejaVu Math TeX Gyre" w:hAnsi="DejaVu Math TeX Gyre" w:cs="Times New Roman Regular"/>
                <w:sz w:val="20"/>
                <w:szCs w:val="20"/>
              </w:rPr>
            </m:ctrlPr>
          </m:sub>
          <m:sup>
            <m:r>
              <m:rPr>
                <m:sty m:val="p"/>
              </m:rPr>
              <w:rPr>
                <w:rFonts w:ascii="DejaVu Math TeX Gyre" w:hAnsi="DejaVu Math TeX Gyre" w:cs="Times New Roman Regular"/>
                <w:sz w:val="20"/>
                <w:szCs w:val="20"/>
              </w:rPr>
              <m:t>J</m:t>
            </m:r>
            <m:ctrlPr>
              <w:rPr>
                <w:rFonts w:ascii="DejaVu Math TeX Gyre" w:hAnsi="DejaVu Math TeX Gyre" w:cs="Times New Roman Regular"/>
                <w:sz w:val="20"/>
                <w:szCs w:val="20"/>
              </w:rPr>
            </m:ctrlPr>
          </m:sup>
          <m:e>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φ</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it</m:t>
                </m:r>
                <m:ctrlPr>
                  <w:rPr>
                    <w:rFonts w:ascii="DejaVu Math TeX Gyre" w:hAnsi="DejaVu Math TeX Gyre" w:cs="Times New Roman Regular"/>
                    <w:i/>
                    <w:iCs/>
                    <w:sz w:val="20"/>
                    <w:szCs w:val="20"/>
                  </w:rPr>
                </m:ctrlPr>
              </m:sub>
            </m:sSub>
            <m:sSubSup>
              <m:sSubSupPr>
                <m:ctrlPr>
                  <w:rPr>
                    <w:rFonts w:ascii="DejaVu Math TeX Gyre" w:hAnsi="DejaVu Math TeX Gyre" w:cs="Times New Roman Regular"/>
                    <w:i/>
                    <w:iCs/>
                    <w:sz w:val="20"/>
                    <w:szCs w:val="20"/>
                  </w:rPr>
                </m:ctrlPr>
              </m:sSubSupPr>
              <m:e>
                <m:r>
                  <m:rPr/>
                  <w:rPr>
                    <w:rFonts w:hint="eastAsia" w:ascii="DejaVu Math TeX Gyre" w:hAnsi="DejaVu Math TeX Gyre" w:cs="Times New Roman Regular"/>
                    <w:sz w:val="20"/>
                    <w:szCs w:val="20"/>
                    <w:lang w:val="en-US" w:eastAsia="zh-CN"/>
                  </w:rPr>
                  <m:t>Controls</m:t>
                </m:r>
                <m:ctrlPr>
                  <w:rPr>
                    <w:rFonts w:ascii="DejaVu Math TeX Gyre" w:hAnsi="DejaVu Math TeX Gyre" w:cs="Times New Roman Regular"/>
                    <w:i/>
                    <w:iCs/>
                    <w:sz w:val="20"/>
                    <w:szCs w:val="20"/>
                  </w:rPr>
                </m:ctrlPr>
              </m:e>
              <m:sub>
                <m:r>
                  <m:rPr/>
                  <w:rPr>
                    <w:rFonts w:hint="eastAsia" w:ascii="DejaVu Math TeX Gyre" w:hAnsi="DejaVu Math TeX Gyre" w:cs="Times New Roman Regular"/>
                    <w:sz w:val="20"/>
                    <w:szCs w:val="20"/>
                    <w:lang w:val="en-US" w:eastAsia="zh-CN"/>
                  </w:rPr>
                  <m:t>it</m:t>
                </m:r>
                <m:ctrlPr>
                  <w:rPr>
                    <w:rFonts w:ascii="DejaVu Math TeX Gyre" w:hAnsi="DejaVu Math TeX Gyre" w:cs="Times New Roman Regular"/>
                    <w:i/>
                    <w:iCs/>
                    <w:sz w:val="20"/>
                    <w:szCs w:val="20"/>
                  </w:rPr>
                </m:ctrlPr>
              </m:sub>
              <m:sup>
                <m:r>
                  <m:rPr/>
                  <w:rPr>
                    <w:rFonts w:hint="eastAsia" w:ascii="DejaVu Math TeX Gyre" w:hAnsi="DejaVu Math TeX Gyre" w:cs="Times New Roman Regular"/>
                    <w:sz w:val="20"/>
                    <w:szCs w:val="20"/>
                    <w:lang w:val="en-US" w:eastAsia="zh-CN"/>
                  </w:rPr>
                  <m:t>j</m:t>
                </m:r>
                <m:ctrlPr>
                  <w:rPr>
                    <w:rFonts w:ascii="DejaVu Math TeX Gyre" w:hAnsi="DejaVu Math TeX Gyre" w:cs="Times New Roman Regular"/>
                    <w:i/>
                    <w:iCs/>
                    <w:sz w:val="20"/>
                    <w:szCs w:val="20"/>
                  </w:rPr>
                </m:ctrlPr>
              </m:sup>
            </m:sSubSup>
            <m:ctrlPr>
              <w:rPr>
                <w:rFonts w:ascii="DejaVu Math TeX Gyre" w:hAnsi="DejaVu Math TeX Gyre" w:cs="Times New Roman Regular"/>
                <w:sz w:val="20"/>
                <w:szCs w:val="20"/>
              </w:rPr>
            </m:ctrlPr>
          </m:e>
        </m:nary>
        <m:r>
          <m:rPr>
            <m:sty m:val="p"/>
          </m:rPr>
          <w:rPr>
            <w:rFonts w:ascii="DejaVu Math TeX Gyre" w:hAnsi="DejaVu Math TeX Gyre" w:cs="Times New Roman Regular"/>
            <w:sz w:val="20"/>
            <w:szCs w:val="20"/>
          </w:rPr>
          <m:t>+</m:t>
        </m:r>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μ</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t</m:t>
            </m:r>
            <m:ctrlPr>
              <w:rPr>
                <w:rFonts w:ascii="DejaVu Math TeX Gyre" w:hAnsi="DejaVu Math TeX Gyre" w:cs="Times New Roman Regular"/>
                <w:i/>
                <w:iCs/>
                <w:sz w:val="20"/>
                <w:szCs w:val="20"/>
              </w:rPr>
            </m:ctrlPr>
          </m:sub>
        </m:sSub>
        <m:r>
          <m:rPr>
            <m:sty m:val="p"/>
          </m:rPr>
          <w:rPr>
            <w:rFonts w:ascii="DejaVu Math TeX Gyre" w:hAnsi="DejaVu Math TeX Gyre" w:cs="Times New Roman Regular"/>
            <w:sz w:val="20"/>
            <w:szCs w:val="20"/>
          </w:rPr>
          <m:t>+</m:t>
        </m:r>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α</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i</m:t>
            </m:r>
            <m:ctrlPr>
              <w:rPr>
                <w:rFonts w:ascii="DejaVu Math TeX Gyre" w:hAnsi="DejaVu Math TeX Gyre" w:cs="Times New Roman Regular"/>
                <w:i/>
                <w:iCs/>
                <w:sz w:val="20"/>
                <w:szCs w:val="20"/>
              </w:rPr>
            </m:ctrlPr>
          </m:sub>
        </m:sSub>
        <m:r>
          <m:rPr>
            <m:sty m:val="p"/>
          </m:rPr>
          <w:rPr>
            <w:rFonts w:ascii="DejaVu Math TeX Gyre" w:hAnsi="DejaVu Math TeX Gyre" w:cs="Times New Roman Regular"/>
            <w:sz w:val="20"/>
            <w:szCs w:val="20"/>
          </w:rPr>
          <m:t>+</m:t>
        </m:r>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ε</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it</m:t>
            </m:r>
            <m:ctrlPr>
              <w:rPr>
                <w:rFonts w:ascii="DejaVu Math TeX Gyre" w:hAnsi="DejaVu Math TeX Gyre" w:cs="Times New Roman Regular"/>
                <w:i/>
                <w:iCs/>
                <w:sz w:val="20"/>
                <w:szCs w:val="20"/>
              </w:rPr>
            </m:ctrlPr>
          </m:sub>
        </m:sSub>
      </m:oMath>
      <w:r>
        <w:rPr>
          <w:rFonts w:ascii="Times New Roman Regular" w:hAnsi="Times New Roman Regular" w:cs="Times New Roman Regular"/>
          <w:iCs/>
          <w:sz w:val="20"/>
          <w:szCs w:val="20"/>
        </w:rPr>
        <w:t>(3)</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c>
          <w:tcPr>
            <w:tcW w:w="4261" w:type="dxa"/>
            <w:tcBorders>
              <w:top w:val="nil"/>
              <w:left w:val="nil"/>
              <w:bottom w:val="nil"/>
              <w:right w:val="nil"/>
            </w:tcBorders>
          </w:tcPr>
          <w:p>
            <w:pPr>
              <w:rPr>
                <w:rFonts w:ascii="Times New Roman Regular" w:hAnsi="Times New Roman Regular" w:cs="Times New Roman Regular"/>
                <w:sz w:val="22"/>
                <w:szCs w:val="22"/>
              </w:rPr>
            </w:pPr>
            <w:r>
              <w:rPr>
                <w:rFonts w:ascii="Times New Roman Regular" w:hAnsi="Times New Roman Regular" w:cs="Times New Roman Regular"/>
                <w:sz w:val="22"/>
                <w:szCs w:val="22"/>
              </w:rPr>
              <w:drawing>
                <wp:inline distT="0" distB="0" distL="114300" distR="114300">
                  <wp:extent cx="2640330" cy="1920875"/>
                  <wp:effectExtent l="0" t="0" r="1270" b="9525"/>
                  <wp:docPr id="2" name="图片 2" descr=" parallel trends assum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 parallel trends assumption"/>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2640330" cy="1920875"/>
                          </a:xfrm>
                          <a:prstGeom prst="rect">
                            <a:avLst/>
                          </a:prstGeom>
                        </pic:spPr>
                      </pic:pic>
                    </a:graphicData>
                  </a:graphic>
                </wp:inline>
              </w:drawing>
            </w:r>
          </w:p>
        </w:tc>
        <w:tc>
          <w:tcPr>
            <w:tcW w:w="4261" w:type="dxa"/>
            <w:tcBorders>
              <w:top w:val="nil"/>
              <w:left w:val="nil"/>
              <w:bottom w:val="nil"/>
              <w:right w:val="nil"/>
            </w:tcBorders>
          </w:tcPr>
          <w:p>
            <w:pPr>
              <w:rPr>
                <w:rFonts w:ascii="Times New Roman Regular" w:hAnsi="Times New Roman Regular" w:cs="Times New Roman Regular"/>
                <w:sz w:val="22"/>
                <w:szCs w:val="22"/>
              </w:rPr>
            </w:pPr>
            <w:r>
              <w:rPr>
                <w:rFonts w:ascii="Times New Roman Regular" w:hAnsi="Times New Roman Regular" w:cs="Times New Roman Regular"/>
                <w:sz w:val="22"/>
                <w:szCs w:val="22"/>
              </w:rPr>
              <w:drawing>
                <wp:inline distT="0" distB="0" distL="114300" distR="114300">
                  <wp:extent cx="2633345" cy="1915795"/>
                  <wp:effectExtent l="0" t="0" r="8255" b="14605"/>
                  <wp:docPr id="4" name="图片 4" descr=" parallel trends assumption_P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 parallel trends assumption_PSM"/>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2633345" cy="1915795"/>
                          </a:xfrm>
                          <a:prstGeom prst="rect">
                            <a:avLst/>
                          </a:prstGeom>
                        </pic:spPr>
                      </pic:pic>
                    </a:graphicData>
                  </a:graphic>
                </wp:inline>
              </w:drawing>
            </w:r>
          </w:p>
        </w:tc>
      </w:tr>
      <w:tr>
        <w:tc>
          <w:tcPr>
            <w:tcW w:w="8522" w:type="dxa"/>
            <w:gridSpan w:val="2"/>
            <w:tcBorders>
              <w:top w:val="nil"/>
              <w:left w:val="nil"/>
              <w:bottom w:val="nil"/>
              <w:right w:val="nil"/>
            </w:tcBorders>
          </w:tcPr>
          <w:p>
            <w:pPr>
              <w:jc w:val="center"/>
              <w:rPr>
                <w:rFonts w:ascii="Times New Roman Regular" w:hAnsi="Times New Roman Regular" w:cs="Times New Roman Regular"/>
                <w:b/>
                <w:bCs/>
                <w:sz w:val="22"/>
                <w:szCs w:val="22"/>
              </w:rPr>
            </w:pPr>
            <w:r>
              <w:rPr>
                <w:rFonts w:ascii="Times New Roman Bold" w:hAnsi="Times New Roman Bold" w:cs="Times New Roman Bold"/>
                <w:b/>
                <w:sz w:val="20"/>
                <w:szCs w:val="20"/>
              </w:rPr>
              <w:t>Fig.</w:t>
            </w:r>
            <w:r>
              <w:rPr>
                <w:rFonts w:hint="eastAsia" w:ascii="Times New Roman Bold" w:hAnsi="Times New Roman Bold" w:cs="Times New Roman Bold"/>
                <w:b/>
                <w:sz w:val="20"/>
                <w:szCs w:val="20"/>
                <w:lang w:val="en-US" w:eastAsia="zh-CN"/>
              </w:rPr>
              <w:t xml:space="preserve"> </w:t>
            </w:r>
            <w:r>
              <w:rPr>
                <w:rFonts w:ascii="Times New Roman Bold" w:hAnsi="Times New Roman Bold" w:cs="Times New Roman Bold"/>
                <w:b/>
                <w:sz w:val="20"/>
                <w:szCs w:val="20"/>
              </w:rPr>
              <w:t>3.</w:t>
            </w:r>
            <w:r>
              <w:rPr>
                <w:rFonts w:hint="eastAsia" w:ascii="Times New Roman Bold" w:hAnsi="Times New Roman Bold" w:cs="Times New Roman Bold"/>
                <w:b/>
                <w:sz w:val="20"/>
                <w:szCs w:val="20"/>
                <w:lang w:val="en-US" w:eastAsia="zh-CN"/>
              </w:rPr>
              <w:t xml:space="preserve"> </w:t>
            </w:r>
            <w:r>
              <w:rPr>
                <w:rFonts w:ascii="Times New Roman Regular" w:hAnsi="Times New Roman Regular" w:cs="Times New Roman Regular"/>
                <w:bCs/>
                <w:sz w:val="20"/>
                <w:szCs w:val="20"/>
              </w:rPr>
              <w:t>Parallel Trends Test</w:t>
            </w:r>
          </w:p>
        </w:tc>
      </w:tr>
    </w:tbl>
    <w:p>
      <w:pPr>
        <w:spacing w:before="156" w:beforeLines="50"/>
        <w:ind w:firstLine="240" w:firstLineChars="100"/>
        <w:rPr>
          <w:rFonts w:ascii="Times New Roman Regular" w:hAnsi="Times New Roman Regular" w:cs="Times New Roman Regular"/>
          <w:sz w:val="24"/>
        </w:rPr>
      </w:pPr>
      <w:r>
        <w:rPr>
          <w:rFonts w:ascii="Times New Roman Regular" w:hAnsi="Times New Roman Regular" w:cs="Times New Roman Regular"/>
          <w:sz w:val="24"/>
        </w:rPr>
        <w:t xml:space="preserve">In the model, </w:t>
      </w:r>
      <w:r>
        <w:rPr>
          <w:rFonts w:ascii="Times New Roman Italic" w:hAnsi="Times New Roman Italic" w:cs="Times New Roman Italic"/>
          <w:i/>
          <w:iCs/>
          <w:sz w:val="24"/>
        </w:rPr>
        <w:t>Dummy</w:t>
      </w:r>
      <w:r>
        <w:rPr>
          <w:rFonts w:ascii="Times New Roman Italic" w:hAnsi="Times New Roman Italic" w:cs="Times New Roman Italic"/>
          <w:i/>
          <w:iCs/>
          <w:sz w:val="24"/>
          <w:vertAlign w:val="subscript"/>
        </w:rPr>
        <w:t>t+k</w:t>
      </w:r>
      <w:r>
        <w:rPr>
          <w:rFonts w:ascii="Times New Roman Regular" w:hAnsi="Times New Roman Regular" w:cs="Times New Roman Regular"/>
          <w:sz w:val="24"/>
        </w:rPr>
        <w:t xml:space="preserve"> represent</w:t>
      </w:r>
      <w:r>
        <w:rPr>
          <w:rFonts w:hint="eastAsia" w:ascii="Times New Roman Regular" w:hAnsi="Times New Roman Regular" w:cs="Times New Roman Regular"/>
          <w:sz w:val="24"/>
          <w:lang w:val="en-US" w:eastAsia="zh-CN"/>
        </w:rPr>
        <w:t>ed</w:t>
      </w:r>
      <w:r>
        <w:rPr>
          <w:rFonts w:ascii="Times New Roman Regular" w:hAnsi="Times New Roman Regular" w:cs="Times New Roman Regular"/>
          <w:sz w:val="24"/>
        </w:rPr>
        <w:t xml:space="preserve"> a set of event-time dummy variables relative to the treatment year, with </w:t>
      </w:r>
      <w:r>
        <w:rPr>
          <w:rFonts w:ascii="Times New Roman Italic" w:hAnsi="Times New Roman Italic" w:cs="Times New Roman Italic"/>
          <w:i/>
          <w:iCs/>
          <w:sz w:val="24"/>
        </w:rPr>
        <w:t xml:space="preserve">t </w:t>
      </w:r>
      <w:r>
        <w:rPr>
          <w:rFonts w:ascii="Times New Roman Regular" w:hAnsi="Times New Roman Regular" w:cs="Times New Roman Regular"/>
          <w:sz w:val="24"/>
        </w:rPr>
        <w:t xml:space="preserve">= –1 (the year prior to policy implementation) used as the reference period. The estimated coefficients </w:t>
      </w:r>
      <w:r>
        <w:rPr>
          <w:rFonts w:ascii="Times New Roman Italic" w:hAnsi="Times New Roman Italic" w:cs="Times New Roman Italic"/>
          <w:i/>
          <w:iCs/>
          <w:sz w:val="24"/>
        </w:rPr>
        <w:t>β</w:t>
      </w:r>
      <w:r>
        <w:rPr>
          <w:rFonts w:ascii="Times New Roman Italic" w:hAnsi="Times New Roman Italic" w:cs="Times New Roman Italic"/>
          <w:i/>
          <w:iCs/>
          <w:sz w:val="24"/>
          <w:vertAlign w:val="subscript"/>
        </w:rPr>
        <w:t>k</w:t>
      </w:r>
      <w:r>
        <w:rPr>
          <w:rFonts w:ascii="Times New Roman Regular" w:hAnsi="Times New Roman Regular" w:cs="Times New Roman Regular"/>
          <w:sz w:val="24"/>
        </w:rPr>
        <w:t xml:space="preserve"> capture</w:t>
      </w:r>
      <w:r>
        <w:rPr>
          <w:rFonts w:hint="eastAsia" w:ascii="Times New Roman Regular" w:hAnsi="Times New Roman Regular" w:cs="Times New Roman Regular"/>
          <w:sz w:val="24"/>
          <w:lang w:val="en-US" w:eastAsia="zh-CN"/>
        </w:rPr>
        <w:t>d</w:t>
      </w:r>
      <w:r>
        <w:rPr>
          <w:rFonts w:ascii="Times New Roman Regular" w:hAnsi="Times New Roman Regular" w:cs="Times New Roman Regular"/>
          <w:sz w:val="24"/>
        </w:rPr>
        <w:t xml:space="preserve"> the dynamic changes in urban employment quality before and after the policy intervention. Control variables include</w:t>
      </w:r>
      <w:r>
        <w:rPr>
          <w:rFonts w:hint="eastAsia" w:ascii="Times New Roman Regular" w:hAnsi="Times New Roman Regular" w:cs="Times New Roman Regular"/>
          <w:sz w:val="24"/>
          <w:lang w:val="en-US" w:eastAsia="zh-CN"/>
        </w:rPr>
        <w:t>d</w:t>
      </w:r>
      <w:r>
        <w:rPr>
          <w:rFonts w:ascii="Times New Roman Regular" w:hAnsi="Times New Roman Regular" w:cs="Times New Roman Regular"/>
          <w:sz w:val="24"/>
        </w:rPr>
        <w:t xml:space="preserve"> a range of city-level economic indicators, and both city and year fixed effects are included to absorb unobserved heterogeneity.</w:t>
      </w:r>
      <w:r>
        <w:rPr>
          <w:rFonts w:hint="eastAsia" w:ascii="Times New Roman Regular" w:hAnsi="Times New Roman Regular" w:cs="Times New Roman Regular"/>
          <w:sz w:val="24"/>
          <w:lang w:val="en-US" w:eastAsia="zh-CN"/>
        </w:rPr>
        <w:t xml:space="preserve"> </w:t>
      </w:r>
      <w:r>
        <w:rPr>
          <w:rFonts w:ascii="Times New Roman Regular" w:hAnsi="Times New Roman Regular" w:cs="Times New Roman Regular"/>
          <w:sz w:val="24"/>
        </w:rPr>
        <w:t>Figure 1 illustrate</w:t>
      </w:r>
      <w:r>
        <w:rPr>
          <w:rFonts w:hint="eastAsia" w:ascii="Times New Roman Regular" w:hAnsi="Times New Roman Regular" w:cs="Times New Roman Regular"/>
          <w:sz w:val="24"/>
          <w:lang w:val="en-US" w:eastAsia="zh-CN"/>
        </w:rPr>
        <w:t>d</w:t>
      </w:r>
      <w:r>
        <w:rPr>
          <w:rFonts w:ascii="Times New Roman Regular" w:hAnsi="Times New Roman Regular" w:cs="Times New Roman Regular"/>
          <w:sz w:val="24"/>
        </w:rPr>
        <w:t xml:space="preserve"> the dynamic effects of the policy shock on employment quality. The left </w:t>
      </w:r>
      <w:r>
        <w:rPr>
          <w:rFonts w:hint="eastAsia" w:ascii="Times New Roman Regular" w:hAnsi="Times New Roman Regular" w:cs="Times New Roman Regular"/>
          <w:sz w:val="24"/>
          <w:lang w:val="en-US" w:eastAsia="zh-CN"/>
        </w:rPr>
        <w:t>figure</w:t>
      </w:r>
      <w:r>
        <w:rPr>
          <w:rFonts w:ascii="Times New Roman Regular" w:hAnsi="Times New Roman Regular" w:cs="Times New Roman Regular"/>
          <w:sz w:val="24"/>
        </w:rPr>
        <w:t xml:space="preserve"> show</w:t>
      </w:r>
      <w:r>
        <w:rPr>
          <w:rFonts w:hint="eastAsia" w:ascii="Times New Roman Regular" w:hAnsi="Times New Roman Regular" w:cs="Times New Roman Regular"/>
          <w:sz w:val="24"/>
          <w:lang w:val="en-US" w:eastAsia="zh-CN"/>
        </w:rPr>
        <w:t>ed</w:t>
      </w:r>
      <w:r>
        <w:rPr>
          <w:rFonts w:ascii="Times New Roman Regular" w:hAnsi="Times New Roman Regular" w:cs="Times New Roman Regular"/>
          <w:sz w:val="24"/>
        </w:rPr>
        <w:t xml:space="preserve"> the estimates based on the full sample, while the right </w:t>
      </w:r>
      <w:r>
        <w:rPr>
          <w:rFonts w:hint="eastAsia" w:ascii="Times New Roman Regular" w:hAnsi="Times New Roman Regular" w:cs="Times New Roman Regular"/>
          <w:sz w:val="24"/>
          <w:lang w:val="en-US" w:eastAsia="zh-CN"/>
        </w:rPr>
        <w:t>figure</w:t>
      </w:r>
      <w:r>
        <w:rPr>
          <w:rFonts w:ascii="Times New Roman Regular" w:hAnsi="Times New Roman Regular" w:cs="Times New Roman Regular"/>
          <w:sz w:val="24"/>
        </w:rPr>
        <w:t xml:space="preserve"> present</w:t>
      </w:r>
      <w:r>
        <w:rPr>
          <w:rFonts w:hint="eastAsia" w:ascii="Times New Roman Regular" w:hAnsi="Times New Roman Regular" w:cs="Times New Roman Regular"/>
          <w:sz w:val="24"/>
          <w:lang w:val="en-US" w:eastAsia="zh-CN"/>
        </w:rPr>
        <w:t>ed</w:t>
      </w:r>
      <w:r>
        <w:rPr>
          <w:rFonts w:ascii="Times New Roman Regular" w:hAnsi="Times New Roman Regular" w:cs="Times New Roman Regular"/>
          <w:sz w:val="24"/>
        </w:rPr>
        <w:t xml:space="preserve"> the results after applying PSM matching. The shaded areas indicate</w:t>
      </w:r>
      <w:r>
        <w:rPr>
          <w:rFonts w:hint="eastAsia" w:ascii="Times New Roman Regular" w:hAnsi="Times New Roman Regular" w:cs="Times New Roman Regular"/>
          <w:sz w:val="24"/>
          <w:lang w:val="en-US" w:eastAsia="zh-CN"/>
        </w:rPr>
        <w:t>d</w:t>
      </w:r>
      <w:r>
        <w:rPr>
          <w:rFonts w:ascii="Times New Roman Regular" w:hAnsi="Times New Roman Regular" w:cs="Times New Roman Regular"/>
          <w:sz w:val="24"/>
        </w:rPr>
        <w:t xml:space="preserve"> 95% confidence intervals, and the vertical dashed line mark</w:t>
      </w:r>
      <w:r>
        <w:rPr>
          <w:rFonts w:hint="eastAsia" w:ascii="Times New Roman Regular" w:hAnsi="Times New Roman Regular" w:cs="Times New Roman Regular"/>
          <w:sz w:val="24"/>
          <w:lang w:val="en-US" w:eastAsia="zh-CN"/>
        </w:rPr>
        <w:t>ed</w:t>
      </w:r>
      <w:r>
        <w:rPr>
          <w:rFonts w:ascii="Times New Roman Regular" w:hAnsi="Times New Roman Regular" w:cs="Times New Roman Regular"/>
          <w:sz w:val="24"/>
        </w:rPr>
        <w:t xml:space="preserve"> the timing of the policy intervention.</w:t>
      </w:r>
      <w:r>
        <w:rPr>
          <w:rFonts w:hint="eastAsia" w:ascii="Times New Roman Regular" w:hAnsi="Times New Roman Regular" w:cs="Times New Roman Regular"/>
          <w:sz w:val="24"/>
          <w:lang w:val="en-US" w:eastAsia="zh-CN"/>
        </w:rPr>
        <w:t xml:space="preserve"> </w:t>
      </w:r>
      <w:r>
        <w:rPr>
          <w:rFonts w:ascii="Times New Roman Regular" w:hAnsi="Times New Roman Regular" w:cs="Times New Roman Regular"/>
          <w:sz w:val="24"/>
        </w:rPr>
        <w:t>As shown in the figure, during the pre-treatment periods (</w:t>
      </w:r>
      <w:r>
        <w:rPr>
          <w:rFonts w:ascii="Times New Roman Italic" w:hAnsi="Times New Roman Italic" w:cs="Times New Roman Italic"/>
          <w:i/>
          <w:iCs/>
          <w:sz w:val="24"/>
        </w:rPr>
        <w:t>Pre</w:t>
      </w:r>
      <w:r>
        <w:rPr>
          <w:rFonts w:ascii="Times New Roman" w:hAnsi="Times New Roman" w:cs="Times New Roman"/>
          <w:i w:val="0"/>
          <w:iCs w:val="0"/>
          <w:sz w:val="24"/>
        </w:rPr>
        <w:t>–4</w:t>
      </w:r>
      <w:r>
        <w:rPr>
          <w:rFonts w:ascii="Times New Roman Italic" w:hAnsi="Times New Roman Italic" w:cs="Times New Roman Italic"/>
          <w:i/>
          <w:iCs/>
          <w:sz w:val="24"/>
        </w:rPr>
        <w:t xml:space="preserve"> </w:t>
      </w:r>
      <w:r>
        <w:rPr>
          <w:rFonts w:ascii="Times New Roman Regular" w:hAnsi="Times New Roman Regular" w:cs="Times New Roman Regular"/>
          <w:sz w:val="24"/>
        </w:rPr>
        <w:t xml:space="preserve">to </w:t>
      </w:r>
      <w:r>
        <w:rPr>
          <w:rFonts w:ascii="Times New Roman Italic" w:hAnsi="Times New Roman Italic" w:cs="Times New Roman Italic"/>
          <w:i/>
          <w:iCs/>
          <w:sz w:val="24"/>
        </w:rPr>
        <w:t>Pre</w:t>
      </w:r>
      <w:r>
        <w:rPr>
          <w:rFonts w:ascii="Times New Roman" w:hAnsi="Times New Roman" w:cs="Times New Roman"/>
          <w:i w:val="0"/>
          <w:iCs w:val="0"/>
          <w:sz w:val="24"/>
        </w:rPr>
        <w:t>–1</w:t>
      </w:r>
      <w:r>
        <w:rPr>
          <w:rFonts w:ascii="Times New Roman Regular" w:hAnsi="Times New Roman Regular" w:cs="Times New Roman Regular"/>
          <w:sz w:val="24"/>
        </w:rPr>
        <w:t>), the estimated coefficients fluctuate</w:t>
      </w:r>
      <w:r>
        <w:rPr>
          <w:rFonts w:hint="eastAsia" w:ascii="Times New Roman Regular" w:hAnsi="Times New Roman Regular" w:cs="Times New Roman Regular"/>
          <w:sz w:val="24"/>
          <w:lang w:val="en-US" w:eastAsia="zh-CN"/>
        </w:rPr>
        <w:t>d</w:t>
      </w:r>
      <w:r>
        <w:rPr>
          <w:rFonts w:ascii="Times New Roman Regular" w:hAnsi="Times New Roman Regular" w:cs="Times New Roman Regular"/>
          <w:sz w:val="24"/>
        </w:rPr>
        <w:t xml:space="preserve"> around zero and </w:t>
      </w:r>
      <w:r>
        <w:rPr>
          <w:rFonts w:hint="eastAsia" w:ascii="Times New Roman Regular" w:hAnsi="Times New Roman Regular" w:cs="Times New Roman Regular"/>
          <w:sz w:val="24"/>
          <w:lang w:val="en-US" w:eastAsia="zh-CN"/>
        </w:rPr>
        <w:t>were</w:t>
      </w:r>
      <w:r>
        <w:rPr>
          <w:rFonts w:ascii="Times New Roman Regular" w:hAnsi="Times New Roman Regular" w:cs="Times New Roman Regular"/>
          <w:sz w:val="24"/>
        </w:rPr>
        <w:t xml:space="preserve"> statistically insignificant, lending support to the parallel trends assumption. Starting from the year of policy implementation (</w:t>
      </w:r>
      <w:r>
        <w:rPr>
          <w:rFonts w:ascii="Times New Roman Italic" w:hAnsi="Times New Roman Italic" w:cs="Times New Roman Italic"/>
          <w:i/>
          <w:iCs/>
          <w:sz w:val="24"/>
        </w:rPr>
        <w:t>Current</w:t>
      </w:r>
      <w:r>
        <w:rPr>
          <w:rFonts w:ascii="Times New Roman Regular" w:hAnsi="Times New Roman Regular" w:cs="Times New Roman Regular"/>
          <w:sz w:val="24"/>
        </w:rPr>
        <w:t>), the coefficients bec</w:t>
      </w:r>
      <w:r>
        <w:rPr>
          <w:rFonts w:hint="eastAsia" w:ascii="Times New Roman Regular" w:hAnsi="Times New Roman Regular" w:cs="Times New Roman Regular"/>
          <w:sz w:val="24"/>
          <w:lang w:val="en-US" w:eastAsia="zh-CN"/>
        </w:rPr>
        <w:t>a</w:t>
      </w:r>
      <w:r>
        <w:rPr>
          <w:rFonts w:ascii="Times New Roman Regular" w:hAnsi="Times New Roman Regular" w:cs="Times New Roman Regular"/>
          <w:sz w:val="24"/>
        </w:rPr>
        <w:t>me increasingly positive and statistically significant, with confidence intervals excluding zero. This indicates that the pilot urbanization policy has a significant and positive dynamic effect on urban employment quality.</w:t>
      </w:r>
    </w:p>
    <w:p>
      <w:pPr>
        <w:spacing w:before="157" w:beforeLines="50" w:after="157" w:afterLines="50"/>
        <w:rPr>
          <w:rFonts w:ascii="Times New Roman Bold Italic" w:hAnsi="Times New Roman Bold Italic" w:cs="Times New Roman Bold Italic"/>
          <w:b/>
          <w:i/>
          <w:iCs/>
          <w:sz w:val="24"/>
        </w:rPr>
      </w:pPr>
      <w:r>
        <w:rPr>
          <w:rFonts w:hint="eastAsia" w:ascii="Times New Roman Bold Italic" w:hAnsi="Times New Roman Bold Italic" w:cs="Times New Roman Bold Italic"/>
          <w:b/>
          <w:i/>
          <w:iCs/>
          <w:sz w:val="24"/>
          <w:lang w:val="en-US" w:eastAsia="zh-CN"/>
        </w:rPr>
        <w:t>4</w:t>
      </w:r>
      <w:r>
        <w:rPr>
          <w:rFonts w:ascii="Times New Roman Bold Italic" w:hAnsi="Times New Roman Bold Italic" w:cs="Times New Roman Bold Italic"/>
          <w:b/>
          <w:i/>
          <w:iCs/>
          <w:sz w:val="24"/>
        </w:rPr>
        <w:t>.2.</w:t>
      </w:r>
      <w:r>
        <w:rPr>
          <w:rFonts w:ascii="Times New Roman Bold" w:hAnsi="Times New Roman Bold" w:cs="Times New Roman Bold"/>
          <w:b/>
          <w:bCs/>
          <w:i/>
          <w:iCs/>
          <w:sz w:val="24"/>
        </w:rPr>
        <w:t>2</w:t>
      </w:r>
      <w:r>
        <w:rPr>
          <w:rFonts w:hint="eastAsia" w:ascii="Times New Roman Bold" w:hAnsi="Times New Roman Bold" w:cs="Times New Roman Bold"/>
          <w:b/>
          <w:bCs/>
          <w:i/>
          <w:iCs/>
          <w:sz w:val="24"/>
          <w:lang w:val="en-US" w:eastAsia="zh-CN"/>
        </w:rPr>
        <w:t xml:space="preserve"> P</w:t>
      </w:r>
      <w:r>
        <w:rPr>
          <w:rFonts w:ascii="Times New Roman Bold" w:hAnsi="Times New Roman Bold" w:cs="Times New Roman Bold"/>
          <w:b/>
          <w:bCs/>
          <w:i/>
          <w:iCs/>
          <w:sz w:val="24"/>
        </w:rPr>
        <w:t xml:space="preserve">lacebo </w:t>
      </w:r>
      <w:r>
        <w:rPr>
          <w:rFonts w:hint="eastAsia" w:ascii="Times New Roman Bold" w:hAnsi="Times New Roman Bold" w:cs="Times New Roman Bold"/>
          <w:b/>
          <w:bCs/>
          <w:i/>
          <w:iCs/>
          <w:sz w:val="24"/>
          <w:lang w:val="en-US" w:eastAsia="zh-CN"/>
        </w:rPr>
        <w:t>t</w:t>
      </w:r>
      <w:r>
        <w:rPr>
          <w:rFonts w:ascii="Times New Roman Bold Italic" w:hAnsi="Times New Roman Bold Italic" w:cs="Times New Roman Bold Italic"/>
          <w:b/>
          <w:i/>
          <w:iCs/>
          <w:sz w:val="24"/>
        </w:rPr>
        <w:t>est</w:t>
      </w:r>
    </w:p>
    <w:p>
      <w:pPr>
        <w:spacing w:before="0" w:beforeLines="0" w:after="157" w:afterLines="50"/>
        <w:ind w:firstLine="240" w:firstLineChars="100"/>
        <w:rPr>
          <w:rFonts w:ascii="Times New Roman Regular" w:hAnsi="Times New Roman Regular" w:cs="Times New Roman Regular"/>
          <w:sz w:val="24"/>
        </w:rPr>
      </w:pPr>
      <w:r>
        <w:rPr>
          <w:rFonts w:ascii="Times New Roman Regular" w:hAnsi="Times New Roman Regular" w:cs="Times New Roman Regular"/>
          <w:sz w:val="24"/>
        </w:rPr>
        <w:t>To further verify the robustness of the estimated policy effect, we conduct</w:t>
      </w:r>
      <w:r>
        <w:rPr>
          <w:rFonts w:hint="eastAsia" w:ascii="Times New Roman Regular" w:hAnsi="Times New Roman Regular" w:cs="Times New Roman Regular"/>
          <w:sz w:val="24"/>
          <w:lang w:val="en-US" w:eastAsia="zh-CN"/>
        </w:rPr>
        <w:t>ed</w:t>
      </w:r>
      <w:r>
        <w:rPr>
          <w:rFonts w:ascii="Times New Roman Regular" w:hAnsi="Times New Roman Regular" w:cs="Times New Roman Regular"/>
          <w:sz w:val="24"/>
        </w:rPr>
        <w:t xml:space="preserve"> a placebo test by randomly assigning the timing of policy implementation and re-estimating the baseline model 500 times. Specifically, we randomly reassign</w:t>
      </w:r>
      <w:r>
        <w:rPr>
          <w:rFonts w:hint="eastAsia" w:ascii="Times New Roman Regular" w:hAnsi="Times New Roman Regular" w:cs="Times New Roman Regular"/>
          <w:sz w:val="24"/>
          <w:lang w:val="en-US" w:eastAsia="zh-CN"/>
        </w:rPr>
        <w:t>ed</w:t>
      </w:r>
      <w:r>
        <w:rPr>
          <w:rFonts w:ascii="Times New Roman Regular" w:hAnsi="Times New Roman Regular" w:cs="Times New Roman Regular"/>
          <w:sz w:val="24"/>
        </w:rPr>
        <w:t xml:space="preserve"> the policy treatment year to untreated cities, while keeping the original sample structure unchanged, and then re-estimate</w:t>
      </w:r>
      <w:r>
        <w:rPr>
          <w:rFonts w:hint="eastAsia" w:ascii="Times New Roman Regular" w:hAnsi="Times New Roman Regular" w:cs="Times New Roman Regular"/>
          <w:sz w:val="24"/>
          <w:lang w:val="en-US" w:eastAsia="zh-CN"/>
        </w:rPr>
        <w:t>d</w:t>
      </w:r>
      <w:r>
        <w:rPr>
          <w:rFonts w:ascii="Times New Roman Regular" w:hAnsi="Times New Roman Regular" w:cs="Times New Roman Regular"/>
          <w:sz w:val="24"/>
        </w:rPr>
        <w:t xml:space="preserve"> the DID coefficients each time. The purpose of this test is to ensure that the observed treatment effect </w:t>
      </w:r>
      <w:r>
        <w:rPr>
          <w:rFonts w:hint="eastAsia" w:ascii="Times New Roman Regular" w:hAnsi="Times New Roman Regular" w:cs="Times New Roman Regular"/>
          <w:sz w:val="24"/>
          <w:lang w:val="en-US" w:eastAsia="zh-CN"/>
        </w:rPr>
        <w:t>was</w:t>
      </w:r>
      <w:r>
        <w:rPr>
          <w:rFonts w:ascii="Times New Roman Regular" w:hAnsi="Times New Roman Regular" w:cs="Times New Roman Regular"/>
          <w:sz w:val="24"/>
        </w:rPr>
        <w:t xml:space="preserve"> not driven by spurious correlations or time trends unrelated to the actual policy intervention. Figure 3 present</w:t>
      </w:r>
      <w:r>
        <w:rPr>
          <w:rFonts w:hint="eastAsia" w:ascii="Times New Roman Regular" w:hAnsi="Times New Roman Regular" w:cs="Times New Roman Regular"/>
          <w:sz w:val="24"/>
          <w:lang w:val="en-US" w:eastAsia="zh-CN"/>
        </w:rPr>
        <w:t>ed</w:t>
      </w:r>
      <w:r>
        <w:rPr>
          <w:rFonts w:ascii="Times New Roman Regular" w:hAnsi="Times New Roman Regular" w:cs="Times New Roman Regular"/>
          <w:sz w:val="24"/>
        </w:rPr>
        <w:t xml:space="preserve"> the distribution of the estimated placebo coefficients (solid line) along with their corresponding p-values (hollow circles). The distribution </w:t>
      </w:r>
      <w:r>
        <w:rPr>
          <w:rFonts w:hint="eastAsia" w:ascii="Times New Roman Regular" w:hAnsi="Times New Roman Regular" w:cs="Times New Roman Regular"/>
          <w:sz w:val="24"/>
          <w:lang w:val="en-US" w:eastAsia="zh-CN"/>
        </w:rPr>
        <w:t>was</w:t>
      </w:r>
      <w:r>
        <w:rPr>
          <w:rFonts w:ascii="Times New Roman Regular" w:hAnsi="Times New Roman Regular" w:cs="Times New Roman Regular"/>
          <w:sz w:val="24"/>
        </w:rPr>
        <w:t xml:space="preserve"> approximately centered around zero, indicating that, in the absence of the true policy shock, the estimated effects </w:t>
      </w:r>
      <w:r>
        <w:rPr>
          <w:rFonts w:hint="eastAsia" w:ascii="Times New Roman Regular" w:hAnsi="Times New Roman Regular" w:cs="Times New Roman Regular"/>
          <w:sz w:val="24"/>
          <w:lang w:val="en-US" w:eastAsia="zh-CN"/>
        </w:rPr>
        <w:t>were</w:t>
      </w:r>
      <w:r>
        <w:rPr>
          <w:rFonts w:ascii="Times New Roman Regular" w:hAnsi="Times New Roman Regular" w:cs="Times New Roman Regular"/>
          <w:sz w:val="24"/>
        </w:rPr>
        <w:t xml:space="preserve"> randomly distributed and largely insignificant. In contrast, the actual estimated policy effect </w:t>
      </w:r>
      <w:r>
        <w:rPr>
          <w:rFonts w:hint="eastAsia" w:ascii="Times New Roman Regular" w:hAnsi="Times New Roman Regular" w:cs="Times New Roman Regular"/>
          <w:sz w:val="24"/>
          <w:lang w:val="en-US" w:eastAsia="zh-CN"/>
        </w:rPr>
        <w:t>lay</w:t>
      </w:r>
      <w:r>
        <w:rPr>
          <w:rFonts w:ascii="Times New Roman Regular" w:hAnsi="Times New Roman Regular" w:cs="Times New Roman Regular"/>
          <w:sz w:val="24"/>
        </w:rPr>
        <w:t xml:space="preserve"> far in the tail of the distribution, well beyond the bulk of the placebo estimates. This result suggest</w:t>
      </w:r>
      <w:r>
        <w:rPr>
          <w:rFonts w:hint="eastAsia" w:ascii="Times New Roman Regular" w:hAnsi="Times New Roman Regular" w:cs="Times New Roman Regular"/>
          <w:sz w:val="24"/>
          <w:lang w:val="en-US" w:eastAsia="zh-CN"/>
        </w:rPr>
        <w:t>ed</w:t>
      </w:r>
      <w:r>
        <w:rPr>
          <w:rFonts w:ascii="Times New Roman Regular" w:hAnsi="Times New Roman Regular" w:cs="Times New Roman Regular"/>
          <w:sz w:val="24"/>
        </w:rPr>
        <w:t xml:space="preserve"> that the observed positive effect of the urbanization pilot policy on urban employment quality </w:t>
      </w:r>
      <w:r>
        <w:rPr>
          <w:rFonts w:hint="eastAsia" w:ascii="Times New Roman Regular" w:hAnsi="Times New Roman Regular" w:cs="Times New Roman Regular"/>
          <w:sz w:val="24"/>
          <w:lang w:val="en-US" w:eastAsia="zh-CN"/>
        </w:rPr>
        <w:t>was</w:t>
      </w:r>
      <w:r>
        <w:rPr>
          <w:rFonts w:ascii="Times New Roman Regular" w:hAnsi="Times New Roman Regular" w:cs="Times New Roman Regular"/>
          <w:sz w:val="24"/>
        </w:rPr>
        <w:t xml:space="preserve"> unlikely to be a product of chance, and confirm</w:t>
      </w:r>
      <w:r>
        <w:rPr>
          <w:rFonts w:hint="eastAsia" w:ascii="Times New Roman Regular" w:hAnsi="Times New Roman Regular" w:cs="Times New Roman Regular"/>
          <w:sz w:val="24"/>
          <w:lang w:val="en-US" w:eastAsia="zh-CN"/>
        </w:rPr>
        <w:t>ed</w:t>
      </w:r>
      <w:r>
        <w:rPr>
          <w:rFonts w:ascii="Times New Roman Regular" w:hAnsi="Times New Roman Regular" w:cs="Times New Roman Regular"/>
          <w:sz w:val="24"/>
        </w:rPr>
        <w:t xml:space="preserve"> the robustness and credibility of the baseline findings</w:t>
      </w:r>
      <w:r>
        <w:rPr>
          <w:rStyle w:val="17"/>
          <w:rFonts w:ascii="Times New Roman Regular" w:hAnsi="Times New Roman Regular" w:cs="Times New Roman Regular"/>
          <w:sz w:val="24"/>
        </w:rPr>
        <w:footnoteReference w:id="3"/>
      </w:r>
      <w:r>
        <w:rPr>
          <w:rFonts w:ascii="Times New Roman Regular" w:hAnsi="Times New Roman Regular" w:cs="Times New Roman Regular"/>
          <w:sz w:val="24"/>
        </w:rPr>
        <w:t>.</w:t>
      </w:r>
    </w:p>
    <w:p>
      <w:pPr>
        <w:rPr>
          <w:rFonts w:hint="eastAsia" w:ascii="Times New Roman Regular" w:hAnsi="Times New Roman Regular" w:cs="Times New Roman Regular" w:eastAsiaTheme="minorEastAsia"/>
          <w:sz w:val="22"/>
          <w:szCs w:val="22"/>
          <w:lang w:eastAsia="zh-CN"/>
        </w:rPr>
      </w:pPr>
      <w:r>
        <w:rPr>
          <w:rFonts w:hint="eastAsia" w:ascii="Times New Roman Regular" w:hAnsi="Times New Roman Regular" w:cs="Times New Roman Regular" w:eastAsiaTheme="minorEastAsia"/>
          <w:sz w:val="22"/>
          <w:szCs w:val="22"/>
          <w:lang w:eastAsia="zh-CN"/>
        </w:rPr>
        <w:drawing>
          <wp:inline distT="0" distB="0" distL="114300" distR="114300">
            <wp:extent cx="5029200" cy="3657600"/>
            <wp:effectExtent l="0" t="0" r="0" b="0"/>
            <wp:docPr id="1" name="图片 1" descr="placeb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placebo"/>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5029200" cy="3657600"/>
                    </a:xfrm>
                    <a:prstGeom prst="rect">
                      <a:avLst/>
                    </a:prstGeom>
                  </pic:spPr>
                </pic:pic>
              </a:graphicData>
            </a:graphic>
          </wp:inline>
        </w:drawing>
      </w:r>
    </w:p>
    <w:p>
      <w:pPr>
        <w:spacing w:after="157" w:afterLines="50"/>
        <w:jc w:val="center"/>
        <w:rPr>
          <w:rFonts w:ascii="Times New Roman Regular" w:hAnsi="Times New Roman Regular" w:cs="Times New Roman Regular"/>
          <w:sz w:val="22"/>
          <w:szCs w:val="22"/>
        </w:rPr>
      </w:pPr>
      <w:r>
        <w:rPr>
          <w:rFonts w:ascii="Times New Roman Bold" w:hAnsi="Times New Roman Bold" w:cs="Times New Roman Bold"/>
          <w:b/>
          <w:sz w:val="20"/>
          <w:szCs w:val="20"/>
        </w:rPr>
        <w:t>Fig.</w:t>
      </w:r>
      <w:r>
        <w:rPr>
          <w:rFonts w:hint="eastAsia" w:ascii="Times New Roman Bold" w:hAnsi="Times New Roman Bold" w:cs="Times New Roman Bold"/>
          <w:b/>
          <w:sz w:val="20"/>
          <w:szCs w:val="20"/>
          <w:lang w:val="en-US" w:eastAsia="zh-CN"/>
        </w:rPr>
        <w:t xml:space="preserve"> </w:t>
      </w:r>
      <w:r>
        <w:rPr>
          <w:rFonts w:hint="eastAsia" w:ascii="Times New Roman Bold" w:hAnsi="Times New Roman Bold" w:cs="Times New Roman Bold"/>
          <w:b/>
          <w:sz w:val="20"/>
          <w:szCs w:val="20"/>
        </w:rPr>
        <w:t>4</w:t>
      </w:r>
      <w:r>
        <w:rPr>
          <w:rFonts w:ascii="Times New Roman Bold" w:hAnsi="Times New Roman Bold" w:cs="Times New Roman Bold"/>
          <w:b/>
          <w:sz w:val="20"/>
          <w:szCs w:val="20"/>
        </w:rPr>
        <w:t>.</w:t>
      </w:r>
      <w:r>
        <w:rPr>
          <w:rFonts w:ascii="Times New Roman Regular" w:hAnsi="Times New Roman Regular" w:cs="Times New Roman Regular"/>
          <w:bCs/>
          <w:sz w:val="20"/>
          <w:szCs w:val="20"/>
        </w:rPr>
        <w:t xml:space="preserve"> Placebo Test</w:t>
      </w:r>
    </w:p>
    <w:p>
      <w:pPr>
        <w:spacing w:before="157" w:beforeLines="50" w:after="157" w:afterLines="50"/>
        <w:rPr>
          <w:rFonts w:ascii="Times New Roman Bold Italic" w:hAnsi="Times New Roman Bold Italic" w:cs="Times New Roman Bold Italic"/>
          <w:b/>
          <w:i/>
          <w:iCs/>
          <w:sz w:val="24"/>
          <w:szCs w:val="24"/>
        </w:rPr>
      </w:pPr>
      <w:r>
        <w:rPr>
          <w:rFonts w:hint="eastAsia" w:ascii="Times New Roman Bold Italic" w:hAnsi="Times New Roman Bold Italic" w:cs="Times New Roman Bold Italic"/>
          <w:b/>
          <w:i/>
          <w:iCs/>
          <w:sz w:val="24"/>
          <w:szCs w:val="24"/>
          <w:lang w:val="en-US" w:eastAsia="zh-CN"/>
        </w:rPr>
        <w:t>4</w:t>
      </w:r>
      <w:r>
        <w:rPr>
          <w:rFonts w:ascii="Times New Roman Bold Italic" w:hAnsi="Times New Roman Bold Italic" w:cs="Times New Roman Bold Italic"/>
          <w:b/>
          <w:i/>
          <w:iCs/>
          <w:sz w:val="24"/>
          <w:szCs w:val="24"/>
        </w:rPr>
        <w:t>.2.3 IV—2SLS</w:t>
      </w:r>
    </w:p>
    <w:p>
      <w:pPr>
        <w:spacing w:before="0" w:beforeLines="0" w:after="157" w:afterLines="50"/>
        <w:ind w:firstLine="240" w:firstLineChars="100"/>
        <w:rPr>
          <w:rFonts w:ascii="Times New Roman Regular" w:hAnsi="Times New Roman Regular" w:cs="Times New Roman Regular"/>
          <w:sz w:val="24"/>
        </w:rPr>
      </w:pPr>
      <w:r>
        <w:rPr>
          <w:rFonts w:ascii="Times New Roman Regular" w:hAnsi="Times New Roman Regular" w:cs="Times New Roman Regular"/>
          <w:sz w:val="24"/>
        </w:rPr>
        <w:t>To address potential endogeneity concerns related to the non-random selection of pilot cities for the urbanization policy, we employ</w:t>
      </w:r>
      <w:r>
        <w:rPr>
          <w:rFonts w:hint="eastAsia" w:ascii="Times New Roman Regular" w:hAnsi="Times New Roman Regular" w:cs="Times New Roman Regular"/>
          <w:sz w:val="24"/>
          <w:lang w:val="en-US" w:eastAsia="zh-CN"/>
        </w:rPr>
        <w:t>ed</w:t>
      </w:r>
      <w:r>
        <w:rPr>
          <w:rFonts w:ascii="Times New Roman Regular" w:hAnsi="Times New Roman Regular" w:cs="Times New Roman Regular"/>
          <w:sz w:val="24"/>
        </w:rPr>
        <w:t xml:space="preserve"> a two-stage least squares (2SLS) estimation strategy using two instrumental variables. The first instrument </w:t>
      </w:r>
      <w:r>
        <w:rPr>
          <w:rFonts w:hint="eastAsia" w:ascii="Times New Roman Regular" w:hAnsi="Times New Roman Regular" w:cs="Times New Roman Regular"/>
          <w:sz w:val="24"/>
          <w:lang w:val="en-US" w:eastAsia="zh-CN"/>
        </w:rPr>
        <w:t>was</w:t>
      </w:r>
      <w:r>
        <w:rPr>
          <w:rFonts w:ascii="Times New Roman Regular" w:hAnsi="Times New Roman Regular" w:cs="Times New Roman Regular"/>
          <w:sz w:val="24"/>
        </w:rPr>
        <w:t xml:space="preserve"> the interaction between the number of Ming Dynasty post stations in a prefecture-level city and the post-treatment indicator (IV1 = </w:t>
      </w:r>
      <w:r>
        <w:rPr>
          <w:rFonts w:ascii="Times New Roman Italic" w:hAnsi="Times New Roman Italic" w:cs="Times New Roman Italic"/>
          <w:i/>
          <w:iCs/>
          <w:sz w:val="24"/>
        </w:rPr>
        <w:t>station × post</w:t>
      </w:r>
      <w:r>
        <w:rPr>
          <w:rFonts w:ascii="Times New Roman Regular" w:hAnsi="Times New Roman Regular" w:cs="Times New Roman Regular"/>
          <w:sz w:val="24"/>
        </w:rPr>
        <w:t>). The historical presence of post stations reflect</w:t>
      </w:r>
      <w:r>
        <w:rPr>
          <w:rFonts w:hint="eastAsia" w:ascii="Times New Roman Regular" w:hAnsi="Times New Roman Regular" w:cs="Times New Roman Regular"/>
          <w:sz w:val="24"/>
          <w:lang w:val="en-US" w:eastAsia="zh-CN"/>
        </w:rPr>
        <w:t>ed</w:t>
      </w:r>
      <w:r>
        <w:rPr>
          <w:rFonts w:ascii="Times New Roman Regular" w:hAnsi="Times New Roman Regular" w:cs="Times New Roman Regular"/>
          <w:sz w:val="24"/>
        </w:rPr>
        <w:t xml:space="preserve"> long-term transportation and institutional infrastructure, which may influence the likelihood of a city being selected as a policy pilot zone but </w:t>
      </w:r>
      <w:r>
        <w:rPr>
          <w:rFonts w:hint="eastAsia" w:ascii="Times New Roman Regular" w:hAnsi="Times New Roman Regular" w:cs="Times New Roman Regular"/>
          <w:sz w:val="24"/>
          <w:lang w:val="en-US" w:eastAsia="zh-CN"/>
        </w:rPr>
        <w:t>was</w:t>
      </w:r>
      <w:r>
        <w:rPr>
          <w:rFonts w:ascii="Times New Roman Regular" w:hAnsi="Times New Roman Regular" w:cs="Times New Roman Regular"/>
          <w:sz w:val="24"/>
        </w:rPr>
        <w:t xml:space="preserve"> plausibly exogenous to current employment quality. The second instrument is the interaction between river network density and the post indicator (IV2 = </w:t>
      </w:r>
      <w:r>
        <w:rPr>
          <w:rFonts w:ascii="Times New Roman Italic" w:hAnsi="Times New Roman Italic" w:cs="Times New Roman Italic"/>
          <w:i/>
          <w:iCs/>
          <w:sz w:val="24"/>
        </w:rPr>
        <w:t>river density × post</w:t>
      </w:r>
      <w:r>
        <w:rPr>
          <w:rFonts w:ascii="Times New Roman Regular" w:hAnsi="Times New Roman Regular" w:cs="Times New Roman Regular"/>
          <w:sz w:val="24"/>
        </w:rPr>
        <w:t>). River density capture</w:t>
      </w:r>
      <w:r>
        <w:rPr>
          <w:rFonts w:hint="eastAsia" w:ascii="Times New Roman Regular" w:hAnsi="Times New Roman Regular" w:cs="Times New Roman Regular"/>
          <w:sz w:val="24"/>
          <w:lang w:val="en-US" w:eastAsia="zh-CN"/>
        </w:rPr>
        <w:t>d</w:t>
      </w:r>
      <w:r>
        <w:rPr>
          <w:rFonts w:ascii="Times New Roman Regular" w:hAnsi="Times New Roman Regular" w:cs="Times New Roman Regular"/>
          <w:sz w:val="24"/>
        </w:rPr>
        <w:t xml:space="preserve"> geographic and infrastructural accessibility that may affect policy rollout decisions but d</w:t>
      </w:r>
      <w:r>
        <w:rPr>
          <w:rFonts w:hint="eastAsia" w:ascii="Times New Roman Regular" w:hAnsi="Times New Roman Regular" w:cs="Times New Roman Regular"/>
          <w:sz w:val="24"/>
          <w:lang w:val="en-US" w:eastAsia="zh-CN"/>
        </w:rPr>
        <w:t xml:space="preserve">id </w:t>
      </w:r>
      <w:r>
        <w:rPr>
          <w:rFonts w:ascii="Times New Roman Regular" w:hAnsi="Times New Roman Regular" w:cs="Times New Roman Regular"/>
          <w:sz w:val="24"/>
        </w:rPr>
        <w:t xml:space="preserve">not directly influence employment quality after controlling for economic fundamentals and fixed effects. </w:t>
      </w:r>
    </w:p>
    <w:p>
      <w:pPr>
        <w:spacing w:before="0" w:beforeLines="0" w:after="157" w:afterLines="50"/>
        <w:ind w:firstLine="240" w:firstLineChars="100"/>
        <w:rPr>
          <w:rFonts w:ascii="Times New Roman Regular" w:hAnsi="Times New Roman Regular" w:cs="Times New Roman Regular"/>
          <w:sz w:val="24"/>
        </w:rPr>
      </w:pPr>
      <w:r>
        <w:rPr>
          <w:rFonts w:ascii="Times New Roman Regular" w:hAnsi="Times New Roman Regular" w:cs="Times New Roman Regular"/>
          <w:sz w:val="24"/>
        </w:rPr>
        <w:t>Columns (1) and (3) of Table 1 present</w:t>
      </w:r>
      <w:r>
        <w:rPr>
          <w:rFonts w:hint="eastAsia" w:ascii="Times New Roman Regular" w:hAnsi="Times New Roman Regular" w:cs="Times New Roman Regular"/>
          <w:sz w:val="24"/>
          <w:lang w:val="en-US" w:eastAsia="zh-CN"/>
        </w:rPr>
        <w:t>ed</w:t>
      </w:r>
      <w:r>
        <w:rPr>
          <w:rFonts w:ascii="Times New Roman Regular" w:hAnsi="Times New Roman Regular" w:cs="Times New Roman Regular"/>
          <w:sz w:val="24"/>
        </w:rPr>
        <w:t xml:space="preserve"> the first-stage regression results, showing that both instruments are strongly correlated with the endogenous policy variable. The coefficients on the instruments </w:t>
      </w:r>
      <w:r>
        <w:rPr>
          <w:rFonts w:hint="eastAsia" w:ascii="Times New Roman Regular" w:hAnsi="Times New Roman Regular" w:cs="Times New Roman Regular"/>
          <w:sz w:val="24"/>
          <w:lang w:val="en-US" w:eastAsia="zh-CN"/>
        </w:rPr>
        <w:t>were</w:t>
      </w:r>
      <w:r>
        <w:rPr>
          <w:rFonts w:ascii="Times New Roman Regular" w:hAnsi="Times New Roman Regular" w:cs="Times New Roman Regular"/>
          <w:sz w:val="24"/>
        </w:rPr>
        <w:t xml:space="preserve"> highly significant at the 1% level, and the Kleibergen-Paap LM statistics exceed</w:t>
      </w:r>
      <w:r>
        <w:rPr>
          <w:rFonts w:hint="eastAsia" w:ascii="Times New Roman Regular" w:hAnsi="Times New Roman Regular" w:cs="Times New Roman Regular"/>
          <w:sz w:val="24"/>
          <w:lang w:val="en-US" w:eastAsia="zh-CN"/>
        </w:rPr>
        <w:t>ed</w:t>
      </w:r>
      <w:r>
        <w:rPr>
          <w:rFonts w:ascii="Times New Roman Regular" w:hAnsi="Times New Roman Regular" w:cs="Times New Roman Regular"/>
          <w:sz w:val="24"/>
        </w:rPr>
        <w:t xml:space="preserve"> conventional thresholds (629.35 and 1237.08, respectively), confirming the relevance of the instruments. Columns (2) and (4) report</w:t>
      </w:r>
      <w:r>
        <w:rPr>
          <w:rFonts w:hint="eastAsia" w:ascii="Times New Roman Regular" w:hAnsi="Times New Roman Regular" w:cs="Times New Roman Regular"/>
          <w:sz w:val="24"/>
          <w:lang w:val="en-US" w:eastAsia="zh-CN"/>
        </w:rPr>
        <w:t>ed</w:t>
      </w:r>
      <w:r>
        <w:rPr>
          <w:rFonts w:ascii="Times New Roman Regular" w:hAnsi="Times New Roman Regular" w:cs="Times New Roman Regular"/>
          <w:sz w:val="24"/>
        </w:rPr>
        <w:t xml:space="preserve"> the second-stage results. After instrumenting the policy variable, the estimated effect of the urbanization policy on employment quality remain</w:t>
      </w:r>
      <w:r>
        <w:rPr>
          <w:rFonts w:hint="eastAsia" w:ascii="Times New Roman Regular" w:hAnsi="Times New Roman Regular" w:cs="Times New Roman Regular"/>
          <w:sz w:val="24"/>
          <w:lang w:val="en-US" w:eastAsia="zh-CN"/>
        </w:rPr>
        <w:t>ed</w:t>
      </w:r>
      <w:r>
        <w:rPr>
          <w:rFonts w:ascii="Times New Roman Regular" w:hAnsi="Times New Roman Regular" w:cs="Times New Roman Regular"/>
          <w:sz w:val="24"/>
        </w:rPr>
        <w:t xml:space="preserve"> positive and statistically significant, with coefficients of 0.2</w:t>
      </w:r>
      <w:r>
        <w:rPr>
          <w:rFonts w:hint="default" w:ascii="Times New Roman Regular" w:hAnsi="Times New Roman Regular" w:cs="Times New Roman Regular"/>
          <w:sz w:val="24"/>
          <w:lang w:val="en-US"/>
        </w:rPr>
        <w:t>408</w:t>
      </w:r>
      <w:r>
        <w:rPr>
          <w:rFonts w:ascii="Times New Roman Regular" w:hAnsi="Times New Roman Regular" w:cs="Times New Roman Regular"/>
          <w:sz w:val="24"/>
        </w:rPr>
        <w:t xml:space="preserve"> and 0.1</w:t>
      </w:r>
      <w:r>
        <w:rPr>
          <w:rFonts w:hint="default" w:ascii="Times New Roman Regular" w:hAnsi="Times New Roman Regular" w:cs="Times New Roman Regular"/>
          <w:sz w:val="24"/>
          <w:lang w:val="en-US"/>
        </w:rPr>
        <w:t>323</w:t>
      </w:r>
      <w:r>
        <w:rPr>
          <w:rFonts w:ascii="Times New Roman Regular" w:hAnsi="Times New Roman Regular" w:cs="Times New Roman Regular"/>
          <w:sz w:val="24"/>
        </w:rPr>
        <w:t xml:space="preserve">, respectively. These findings </w:t>
      </w:r>
      <w:r>
        <w:rPr>
          <w:rFonts w:hint="eastAsia" w:ascii="Times New Roman Regular" w:hAnsi="Times New Roman Regular" w:cs="Times New Roman Regular"/>
          <w:sz w:val="24"/>
          <w:lang w:val="en-US" w:eastAsia="zh-CN"/>
        </w:rPr>
        <w:t>were</w:t>
      </w:r>
      <w:r>
        <w:rPr>
          <w:rFonts w:ascii="Times New Roman Regular" w:hAnsi="Times New Roman Regular" w:cs="Times New Roman Regular"/>
          <w:sz w:val="24"/>
        </w:rPr>
        <w:t xml:space="preserve"> consistent with our baseline estimates, suggesting that the results </w:t>
      </w:r>
      <w:r>
        <w:rPr>
          <w:rFonts w:hint="eastAsia" w:ascii="Times New Roman Regular" w:hAnsi="Times New Roman Regular" w:cs="Times New Roman Regular"/>
          <w:sz w:val="24"/>
          <w:lang w:val="en-US" w:eastAsia="zh-CN"/>
        </w:rPr>
        <w:t>were</w:t>
      </w:r>
      <w:r>
        <w:rPr>
          <w:rFonts w:ascii="Times New Roman Regular" w:hAnsi="Times New Roman Regular" w:cs="Times New Roman Regular"/>
          <w:sz w:val="24"/>
        </w:rPr>
        <w:t xml:space="preserve"> robust to endogeneity concerns. Finally, the Hansen J-statistic is near zero in both specifications, indicating that the instruments are valid and satisf</w:t>
      </w:r>
      <w:r>
        <w:rPr>
          <w:rFonts w:hint="eastAsia" w:ascii="Times New Roman Regular" w:hAnsi="Times New Roman Regular" w:cs="Times New Roman Regular"/>
          <w:sz w:val="24"/>
          <w:lang w:val="en-US" w:eastAsia="zh-CN"/>
        </w:rPr>
        <w:t>ied</w:t>
      </w:r>
      <w:r>
        <w:rPr>
          <w:rFonts w:ascii="Times New Roman Regular" w:hAnsi="Times New Roman Regular" w:cs="Times New Roman Regular"/>
          <w:sz w:val="24"/>
        </w:rPr>
        <w:t xml:space="preserve"> the exclusion restriction. Overall, the IV-2SLS results reinforce</w:t>
      </w:r>
      <w:r>
        <w:rPr>
          <w:rFonts w:hint="eastAsia" w:ascii="Times New Roman Regular" w:hAnsi="Times New Roman Regular" w:cs="Times New Roman Regular"/>
          <w:sz w:val="24"/>
          <w:lang w:val="en-US" w:eastAsia="zh-CN"/>
        </w:rPr>
        <w:t>d</w:t>
      </w:r>
      <w:r>
        <w:rPr>
          <w:rFonts w:ascii="Times New Roman Regular" w:hAnsi="Times New Roman Regular" w:cs="Times New Roman Regular"/>
          <w:sz w:val="24"/>
        </w:rPr>
        <w:t xml:space="preserve"> the credibility of our identification strategy and provide</w:t>
      </w:r>
      <w:r>
        <w:rPr>
          <w:rFonts w:hint="eastAsia" w:ascii="Times New Roman Regular" w:hAnsi="Times New Roman Regular" w:cs="Times New Roman Regular"/>
          <w:sz w:val="24"/>
          <w:lang w:val="en-US" w:eastAsia="zh-CN"/>
        </w:rPr>
        <w:t>d</w:t>
      </w:r>
      <w:r>
        <w:rPr>
          <w:rFonts w:ascii="Times New Roman Regular" w:hAnsi="Times New Roman Regular" w:cs="Times New Roman Regular"/>
          <w:sz w:val="24"/>
        </w:rPr>
        <w:t xml:space="preserve"> further empirical support for the positive impact of the urbanization pilot policy on urban employment quality.</w:t>
      </w:r>
    </w:p>
    <w:p>
      <w:pPr>
        <w:widowControl w:val="0"/>
        <w:spacing w:before="0" w:beforeLines="0" w:after="157" w:afterLines="50"/>
        <w:ind w:firstLine="240" w:firstLineChars="100"/>
        <w:jc w:val="both"/>
        <w:rPr>
          <w:rFonts w:hint="eastAsia" w:ascii="Times New Roman Regular" w:hAnsi="Times New Roman Regular" w:cs="Times New Roman Regular"/>
          <w:sz w:val="24"/>
          <w:lang w:val="en-US" w:eastAsia="zh-CN"/>
        </w:rPr>
      </w:pPr>
      <w:r>
        <w:rPr>
          <w:rFonts w:ascii="Times New Roman Regular" w:hAnsi="Times New Roman Regular" w:cs="Times New Roman Regular"/>
          <w:sz w:val="24"/>
        </w:rPr>
        <w:t xml:space="preserve">To address potential endogeneity arising from </w:t>
      </w:r>
      <w:r>
        <w:rPr>
          <w:rStyle w:val="13"/>
          <w:rFonts w:ascii="Times New Roman Regular" w:hAnsi="Times New Roman Regular" w:cs="Times New Roman Regular"/>
          <w:b w:val="0"/>
          <w:sz w:val="24"/>
        </w:rPr>
        <w:t>bidirectional causality</w:t>
      </w:r>
      <w:r>
        <w:rPr>
          <w:rFonts w:ascii="Times New Roman Regular" w:hAnsi="Times New Roman Regular" w:cs="Times New Roman Regular"/>
          <w:sz w:val="24"/>
        </w:rPr>
        <w:t xml:space="preserve"> between the urbanization policy and employment-quality outcomes, we adopt</w:t>
      </w:r>
      <w:r>
        <w:rPr>
          <w:rFonts w:hint="eastAsia" w:ascii="Times New Roman Regular" w:hAnsi="Times New Roman Regular" w:cs="Times New Roman Regular"/>
          <w:sz w:val="24"/>
          <w:lang w:val="en-US" w:eastAsia="zh-CN"/>
        </w:rPr>
        <w:t>ed</w:t>
      </w:r>
      <w:r>
        <w:rPr>
          <w:rFonts w:ascii="Times New Roman Regular" w:hAnsi="Times New Roman Regular" w:cs="Times New Roman Regular"/>
          <w:sz w:val="24"/>
        </w:rPr>
        <w:t xml:space="preserve"> a two-stage least squares (2SLS) approach. On one hand, cities with relatively higher employment quality (better labour markets, higher human-capital, more dynamic industries) may have been more likely to be selected as pilot cities under the new urbanization policy, introducing reverse-causality bias. On the other hand, being chosen as a pilot city could itself </w:t>
      </w:r>
      <w:r>
        <w:rPr>
          <w:rFonts w:hint="eastAsia" w:ascii="Times New Roman Regular" w:hAnsi="Times New Roman Regular" w:cs="Times New Roman Regular"/>
          <w:sz w:val="24"/>
          <w:lang w:val="en-US" w:eastAsia="zh-CN"/>
        </w:rPr>
        <w:t xml:space="preserve">have </w:t>
      </w:r>
      <w:r>
        <w:rPr>
          <w:rFonts w:ascii="Times New Roman Regular" w:hAnsi="Times New Roman Regular" w:cs="Times New Roman Regular"/>
          <w:sz w:val="24"/>
        </w:rPr>
        <w:t>improve</w:t>
      </w:r>
      <w:r>
        <w:rPr>
          <w:rFonts w:hint="eastAsia" w:ascii="Times New Roman Regular" w:hAnsi="Times New Roman Regular" w:cs="Times New Roman Regular"/>
          <w:sz w:val="24"/>
          <w:lang w:val="en-US" w:eastAsia="zh-CN"/>
        </w:rPr>
        <w:t>d</w:t>
      </w:r>
      <w:r>
        <w:rPr>
          <w:rFonts w:ascii="Times New Roman Regular" w:hAnsi="Times New Roman Regular" w:cs="Times New Roman Regular"/>
          <w:sz w:val="24"/>
        </w:rPr>
        <w:t xml:space="preserve"> employment quality through institutional, infrastructural, and agglomeration channels. Without instrumentation, the estimated policy effect may therefore </w:t>
      </w:r>
      <w:r>
        <w:rPr>
          <w:rFonts w:hint="eastAsia" w:ascii="Times New Roman Regular" w:hAnsi="Times New Roman Regular" w:cs="Times New Roman Regular"/>
          <w:sz w:val="24"/>
          <w:lang w:val="en-US" w:eastAsia="zh-CN"/>
        </w:rPr>
        <w:t xml:space="preserve">have </w:t>
      </w:r>
      <w:r>
        <w:rPr>
          <w:rFonts w:ascii="Times New Roman Regular" w:hAnsi="Times New Roman Regular" w:cs="Times New Roman Regular"/>
          <w:sz w:val="24"/>
        </w:rPr>
        <w:t>be</w:t>
      </w:r>
      <w:r>
        <w:rPr>
          <w:rFonts w:hint="eastAsia" w:ascii="Times New Roman Regular" w:hAnsi="Times New Roman Regular" w:cs="Times New Roman Regular"/>
          <w:sz w:val="24"/>
          <w:lang w:val="en-US" w:eastAsia="zh-CN"/>
        </w:rPr>
        <w:t>en</w:t>
      </w:r>
      <w:r>
        <w:rPr>
          <w:rFonts w:ascii="Times New Roman Regular" w:hAnsi="Times New Roman Regular" w:cs="Times New Roman Regular"/>
          <w:sz w:val="24"/>
        </w:rPr>
        <w:t xml:space="preserve"> conflated by both directions of causality.</w:t>
      </w:r>
      <w:r>
        <w:rPr>
          <w:rFonts w:hint="eastAsia" w:ascii="Times New Roman Regular" w:hAnsi="Times New Roman Regular" w:cs="Times New Roman Regular"/>
          <w:sz w:val="24"/>
          <w:lang w:val="en-US" w:eastAsia="zh-CN"/>
        </w:rPr>
        <w:t xml:space="preserve"> </w:t>
      </w:r>
    </w:p>
    <w:p>
      <w:pPr>
        <w:widowControl w:val="0"/>
        <w:spacing w:before="0" w:beforeLines="0" w:after="157" w:afterLines="50"/>
        <w:ind w:firstLine="240" w:firstLineChars="100"/>
        <w:jc w:val="both"/>
        <w:rPr>
          <w:rFonts w:ascii="Times New Roman Regular" w:hAnsi="Times New Roman Regular" w:cs="Times New Roman Regular"/>
          <w:sz w:val="24"/>
        </w:rPr>
      </w:pPr>
      <w:r>
        <w:rPr>
          <w:rFonts w:ascii="Times New Roman Regular" w:hAnsi="Times New Roman Regular" w:cs="Times New Roman Regular"/>
          <w:sz w:val="24"/>
        </w:rPr>
        <w:t>We thus utili</w:t>
      </w:r>
      <w:r>
        <w:rPr>
          <w:rFonts w:hint="eastAsia" w:ascii="Times New Roman Regular" w:hAnsi="Times New Roman Regular" w:cs="Times New Roman Regular"/>
          <w:sz w:val="24"/>
          <w:lang w:val="en-US" w:eastAsia="zh-CN"/>
        </w:rPr>
        <w:t>zed</w:t>
      </w:r>
      <w:r>
        <w:rPr>
          <w:rFonts w:ascii="Times New Roman Regular" w:hAnsi="Times New Roman Regular" w:cs="Times New Roman Regular"/>
          <w:sz w:val="24"/>
        </w:rPr>
        <w:t xml:space="preserve"> two historical-geographical instruments. The first instrument </w:t>
      </w:r>
      <w:r>
        <w:rPr>
          <w:rFonts w:hint="eastAsia" w:ascii="Times New Roman Regular" w:hAnsi="Times New Roman Regular" w:cs="Times New Roman Regular"/>
          <w:sz w:val="24"/>
          <w:lang w:val="en-US" w:eastAsia="zh-CN"/>
        </w:rPr>
        <w:t>was</w:t>
      </w:r>
      <w:r>
        <w:rPr>
          <w:rFonts w:ascii="Times New Roman Regular" w:hAnsi="Times New Roman Regular" w:cs="Times New Roman Regular"/>
          <w:sz w:val="24"/>
        </w:rPr>
        <w:t xml:space="preserve"> the interaction between the number of </w:t>
      </w:r>
      <w:r>
        <w:rPr>
          <w:rStyle w:val="13"/>
          <w:rFonts w:ascii="Times New Roman Regular" w:hAnsi="Times New Roman Regular" w:cs="Times New Roman Regular"/>
          <w:b w:val="0"/>
          <w:sz w:val="24"/>
        </w:rPr>
        <w:t>Ming‐dynasty post stations</w:t>
      </w:r>
      <w:r>
        <w:rPr>
          <w:rFonts w:ascii="Times New Roman Regular" w:hAnsi="Times New Roman Regular" w:cs="Times New Roman Regular"/>
          <w:sz w:val="24"/>
        </w:rPr>
        <w:t xml:space="preserve"> in a city and the post-treatment indicator (IV₁ =</w:t>
      </w:r>
      <w:r>
        <w:rPr>
          <w:rFonts w:ascii="Times New Roman Italic" w:hAnsi="Times New Roman Italic" w:cs="Times New Roman Italic"/>
          <w:i/>
          <w:iCs/>
          <w:sz w:val="24"/>
        </w:rPr>
        <w:t xml:space="preserve"> station × post</w:t>
      </w:r>
      <w:r>
        <w:rPr>
          <w:rFonts w:ascii="Times New Roman Regular" w:hAnsi="Times New Roman Regular" w:cs="Times New Roman Regular"/>
          <w:sz w:val="24"/>
        </w:rPr>
        <w:t>). The long‐run legacy of historical postal/transportation networks capture</w:t>
      </w:r>
      <w:r>
        <w:rPr>
          <w:rFonts w:hint="eastAsia" w:ascii="Times New Roman Regular" w:hAnsi="Times New Roman Regular" w:cs="Times New Roman Regular"/>
          <w:sz w:val="24"/>
          <w:lang w:val="en-US" w:eastAsia="zh-CN"/>
        </w:rPr>
        <w:t>d</w:t>
      </w:r>
      <w:r>
        <w:rPr>
          <w:rFonts w:ascii="Times New Roman Regular" w:hAnsi="Times New Roman Regular" w:cs="Times New Roman Regular"/>
          <w:sz w:val="24"/>
        </w:rPr>
        <w:t xml:space="preserve"> variation in institutional and connectivity endowments that may </w:t>
      </w:r>
      <w:r>
        <w:rPr>
          <w:rFonts w:hint="eastAsia" w:ascii="Times New Roman Regular" w:hAnsi="Times New Roman Regular" w:cs="Times New Roman Regular"/>
          <w:sz w:val="24"/>
          <w:lang w:val="en-US" w:eastAsia="zh-CN"/>
        </w:rPr>
        <w:t xml:space="preserve">have </w:t>
      </w:r>
      <w:r>
        <w:rPr>
          <w:rFonts w:ascii="Times New Roman Regular" w:hAnsi="Times New Roman Regular" w:cs="Times New Roman Regular"/>
          <w:sz w:val="24"/>
        </w:rPr>
        <w:t>affect</w:t>
      </w:r>
      <w:r>
        <w:rPr>
          <w:rFonts w:hint="eastAsia" w:ascii="Times New Roman Regular" w:hAnsi="Times New Roman Regular" w:cs="Times New Roman Regular"/>
          <w:sz w:val="24"/>
          <w:lang w:val="en-US" w:eastAsia="zh-CN"/>
        </w:rPr>
        <w:t>ed</w:t>
      </w:r>
      <w:r>
        <w:rPr>
          <w:rFonts w:ascii="Times New Roman Regular" w:hAnsi="Times New Roman Regular" w:cs="Times New Roman Regular"/>
          <w:sz w:val="24"/>
        </w:rPr>
        <w:t xml:space="preserve"> the likelihood of policy rollout, yet plausibly d</w:t>
      </w:r>
      <w:r>
        <w:rPr>
          <w:rFonts w:hint="eastAsia" w:ascii="Times New Roman Regular" w:hAnsi="Times New Roman Regular" w:cs="Times New Roman Regular"/>
          <w:sz w:val="24"/>
          <w:lang w:val="en-US" w:eastAsia="zh-CN"/>
        </w:rPr>
        <w:t>id</w:t>
      </w:r>
      <w:r>
        <w:rPr>
          <w:rFonts w:ascii="Times New Roman Regular" w:hAnsi="Times New Roman Regular" w:cs="Times New Roman Regular"/>
          <w:sz w:val="24"/>
        </w:rPr>
        <w:t xml:space="preserve"> not directly affect</w:t>
      </w:r>
      <w:r>
        <w:rPr>
          <w:rFonts w:hint="eastAsia" w:ascii="Times New Roman Regular" w:hAnsi="Times New Roman Regular" w:cs="Times New Roman Regular"/>
          <w:sz w:val="24"/>
          <w:lang w:val="en-US" w:eastAsia="zh-CN"/>
        </w:rPr>
        <w:t>ed</w:t>
      </w:r>
      <w:r>
        <w:rPr>
          <w:rFonts w:ascii="Times New Roman Regular" w:hAnsi="Times New Roman Regular" w:cs="Times New Roman Regular"/>
          <w:sz w:val="24"/>
        </w:rPr>
        <w:t xml:space="preserve"> current employment quality once modern controls are included (Banerjee et al., 2020). The second instruments</w:t>
      </w:r>
      <w:r>
        <w:rPr>
          <w:rFonts w:hint="eastAsia" w:ascii="Times New Roman Regular" w:hAnsi="Times New Roman Regular" w:cs="Times New Roman Regular"/>
          <w:sz w:val="24"/>
          <w:lang w:val="en-US" w:eastAsia="zh-CN"/>
        </w:rPr>
        <w:t xml:space="preserve"> was</w:t>
      </w:r>
      <w:r>
        <w:rPr>
          <w:rFonts w:ascii="Times New Roman Regular" w:hAnsi="Times New Roman Regular" w:cs="Times New Roman Regular"/>
          <w:sz w:val="24"/>
        </w:rPr>
        <w:t xml:space="preserve"> the interaction between </w:t>
      </w:r>
      <w:r>
        <w:rPr>
          <w:rStyle w:val="13"/>
          <w:rFonts w:ascii="Times New Roman Regular" w:hAnsi="Times New Roman Regular" w:cs="Times New Roman Regular"/>
          <w:b w:val="0"/>
          <w:sz w:val="24"/>
        </w:rPr>
        <w:t>river-network density</w:t>
      </w:r>
      <w:r>
        <w:rPr>
          <w:rFonts w:ascii="Times New Roman Regular" w:hAnsi="Times New Roman Regular" w:cs="Times New Roman Regular"/>
          <w:sz w:val="24"/>
        </w:rPr>
        <w:t xml:space="preserve"> and the post indicator (IV₂=</w:t>
      </w:r>
      <w:r>
        <w:rPr>
          <w:rFonts w:ascii="Times New Roman Italic" w:hAnsi="Times New Roman Italic" w:cs="Times New Roman Italic"/>
          <w:i/>
          <w:iCs/>
          <w:sz w:val="24"/>
        </w:rPr>
        <w:t xml:space="preserve"> river density × post</w:t>
      </w:r>
      <w:r>
        <w:rPr>
          <w:rFonts w:ascii="Times New Roman Regular" w:hAnsi="Times New Roman Regular" w:cs="Times New Roman Regular"/>
          <w:sz w:val="24"/>
        </w:rPr>
        <w:t>). River-network density reflect</w:t>
      </w:r>
      <w:r>
        <w:rPr>
          <w:rFonts w:hint="eastAsia" w:ascii="Times New Roman Regular" w:hAnsi="Times New Roman Regular" w:cs="Times New Roman Regular"/>
          <w:sz w:val="24"/>
          <w:lang w:val="en-US" w:eastAsia="zh-CN"/>
        </w:rPr>
        <w:t>ed</w:t>
      </w:r>
      <w:r>
        <w:rPr>
          <w:rFonts w:ascii="Times New Roman Regular" w:hAnsi="Times New Roman Regular" w:cs="Times New Roman Regular"/>
          <w:sz w:val="24"/>
        </w:rPr>
        <w:t xml:space="preserve"> deep geographic and infrastructural accessibility which influence</w:t>
      </w:r>
      <w:r>
        <w:rPr>
          <w:rFonts w:hint="eastAsia" w:ascii="Times New Roman Regular" w:hAnsi="Times New Roman Regular" w:cs="Times New Roman Regular"/>
          <w:sz w:val="24"/>
          <w:lang w:val="en-US" w:eastAsia="zh-CN"/>
        </w:rPr>
        <w:t>d</w:t>
      </w:r>
      <w:r>
        <w:rPr>
          <w:rFonts w:ascii="Times New Roman Regular" w:hAnsi="Times New Roman Regular" w:cs="Times New Roman Regular"/>
          <w:sz w:val="24"/>
        </w:rPr>
        <w:t xml:space="preserve"> policy suitability but is plausibly exogenous to contemporaneous employment-quality, conditional on economic fundamentals and fixed effects</w:t>
      </w:r>
      <w:r>
        <w:rPr>
          <w:rFonts w:ascii="Times New Roman Regular" w:hAnsi="Times New Roman Regular" w:cs="Times New Roman Regular"/>
          <w:sz w:val="24"/>
          <w:szCs w:val="24"/>
        </w:rPr>
        <w:t>(</w:t>
      </w:r>
      <w:r>
        <w:rPr>
          <w:rFonts w:ascii="Times New Roman Regular" w:hAnsi="Times New Roman Regular" w:eastAsia="宋体" w:cs="Times New Roman Regular"/>
          <w:i w:val="0"/>
          <w:iCs w:val="0"/>
          <w:caps w:val="0"/>
          <w:color w:val="222222"/>
          <w:spacing w:val="0"/>
          <w:kern w:val="0"/>
          <w:sz w:val="24"/>
          <w:szCs w:val="24"/>
          <w:shd w:val="clear" w:fill="FFFFFF"/>
          <w:lang w:val="en-US" w:eastAsia="zh-CN" w:bidi="ar"/>
        </w:rPr>
        <w:t>Bleakley</w:t>
      </w:r>
      <w:r>
        <w:rPr>
          <w:rFonts w:ascii="Times New Roman Regular" w:hAnsi="Times New Roman Regular" w:cs="Times New Roman Regular"/>
          <w:sz w:val="24"/>
          <w:szCs w:val="24"/>
        </w:rPr>
        <w:t xml:space="preserve"> et al., 20</w:t>
      </w:r>
      <w:r>
        <w:rPr>
          <w:rFonts w:hint="eastAsia" w:ascii="Times New Roman Regular" w:hAnsi="Times New Roman Regular" w:cs="Times New Roman Regular"/>
          <w:sz w:val="24"/>
          <w:szCs w:val="24"/>
          <w:lang w:val="en-US" w:eastAsia="zh-CN"/>
        </w:rPr>
        <w:t>12</w:t>
      </w:r>
      <w:r>
        <w:rPr>
          <w:rFonts w:ascii="Times New Roman Regular" w:hAnsi="Times New Roman Regular" w:cs="Times New Roman Regular"/>
          <w:sz w:val="24"/>
          <w:szCs w:val="24"/>
        </w:rPr>
        <w:t>)</w:t>
      </w:r>
      <w:r>
        <w:rPr>
          <w:rFonts w:ascii="Times New Roman Regular" w:hAnsi="Times New Roman Regular" w:cs="Times New Roman Regular"/>
          <w:sz w:val="24"/>
        </w:rPr>
        <w:t>.</w:t>
      </w:r>
      <w:r>
        <w:rPr>
          <w:rFonts w:hint="eastAsia" w:ascii="Times New Roman Regular" w:hAnsi="Times New Roman Regular" w:cs="Times New Roman Regular"/>
          <w:sz w:val="24"/>
          <w:szCs w:val="24"/>
          <w:lang w:val="en-US" w:eastAsia="zh-CN"/>
        </w:rPr>
        <w:t xml:space="preserve"> </w:t>
      </w:r>
      <w:r>
        <w:rPr>
          <w:rFonts w:ascii="Times New Roman Regular" w:hAnsi="Times New Roman Regular" w:cs="Times New Roman Regular"/>
          <w:sz w:val="24"/>
        </w:rPr>
        <w:t>First-stage results show both instruments strongly correlate</w:t>
      </w:r>
      <w:r>
        <w:rPr>
          <w:rFonts w:hint="eastAsia" w:ascii="Times New Roman Regular" w:hAnsi="Times New Roman Regular" w:cs="Times New Roman Regular"/>
          <w:sz w:val="24"/>
          <w:lang w:val="en-US" w:eastAsia="zh-CN"/>
        </w:rPr>
        <w:t>d</w:t>
      </w:r>
      <w:r>
        <w:rPr>
          <w:rFonts w:ascii="Times New Roman Regular" w:hAnsi="Times New Roman Regular" w:cs="Times New Roman Regular"/>
          <w:sz w:val="24"/>
        </w:rPr>
        <w:t xml:space="preserve"> with the treatment variable (Kleibergen–Paap LM statistics = 629.35, 1237.08). Second-stage estimate still show</w:t>
      </w:r>
      <w:r>
        <w:rPr>
          <w:rFonts w:hint="eastAsia" w:ascii="Times New Roman Regular" w:hAnsi="Times New Roman Regular" w:cs="Times New Roman Regular"/>
          <w:sz w:val="24"/>
          <w:lang w:val="en-US" w:eastAsia="zh-CN"/>
        </w:rPr>
        <w:t>ed</w:t>
      </w:r>
      <w:r>
        <w:rPr>
          <w:rFonts w:ascii="Times New Roman Regular" w:hAnsi="Times New Roman Regular" w:cs="Times New Roman Regular"/>
          <w:sz w:val="24"/>
        </w:rPr>
        <w:t xml:space="preserve"> a positive and statistically significant effect of the urbanization pilot policy on employment quality (coefficients = 0.2236, 0.1022). The Hansen J-test </w:t>
      </w:r>
      <w:r>
        <w:rPr>
          <w:rFonts w:hint="eastAsia" w:ascii="Times New Roman Regular" w:hAnsi="Times New Roman Regular" w:cs="Times New Roman Regular"/>
          <w:sz w:val="24"/>
          <w:lang w:val="en-US" w:eastAsia="zh-CN"/>
        </w:rPr>
        <w:t>was</w:t>
      </w:r>
      <w:r>
        <w:rPr>
          <w:rFonts w:ascii="Times New Roman Regular" w:hAnsi="Times New Roman Regular" w:cs="Times New Roman Regular"/>
          <w:sz w:val="24"/>
        </w:rPr>
        <w:t xml:space="preserve"> not rejected, supporting validity of exclusion restrictions. Together, the IV-2SLS results enhance</w:t>
      </w:r>
      <w:r>
        <w:rPr>
          <w:rFonts w:hint="eastAsia" w:ascii="Times New Roman Regular" w:hAnsi="Times New Roman Regular" w:cs="Times New Roman Regular"/>
          <w:sz w:val="24"/>
          <w:lang w:val="en-US" w:eastAsia="zh-CN"/>
        </w:rPr>
        <w:t>d</w:t>
      </w:r>
      <w:r>
        <w:rPr>
          <w:rFonts w:ascii="Times New Roman Regular" w:hAnsi="Times New Roman Regular" w:cs="Times New Roman Regular"/>
          <w:sz w:val="24"/>
        </w:rPr>
        <w:t xml:space="preserve"> our confidence in interpreting the policy effect as causal.</w:t>
      </w:r>
    </w:p>
    <w:tbl>
      <w:tblPr>
        <w:tblStyle w:val="10"/>
        <w:tblW w:w="0" w:type="auto"/>
        <w:tblInd w:w="0" w:type="dxa"/>
        <w:tblLayout w:type="autofit"/>
        <w:tblCellMar>
          <w:top w:w="0" w:type="dxa"/>
          <w:left w:w="0" w:type="dxa"/>
          <w:bottom w:w="0" w:type="dxa"/>
          <w:right w:w="0" w:type="dxa"/>
        </w:tblCellMar>
      </w:tblPr>
      <w:tblGrid>
        <w:gridCol w:w="1679"/>
        <w:gridCol w:w="1679"/>
        <w:gridCol w:w="1679"/>
        <w:gridCol w:w="1679"/>
        <w:gridCol w:w="1680"/>
      </w:tblGrid>
      <w:tr>
        <w:tc>
          <w:tcPr>
            <w:tcW w:w="8396" w:type="dxa"/>
            <w:gridSpan w:val="5"/>
            <w:tcBorders>
              <w:top w:val="nil"/>
              <w:left w:val="nil"/>
              <w:bottom w:val="double" w:color="auto" w:sz="4" w:space="0"/>
              <w:right w:val="nil"/>
            </w:tcBorders>
            <w:shd w:val="clear" w:color="auto" w:fill="auto"/>
            <w:tcMar>
              <w:left w:w="100" w:type="dxa"/>
              <w:right w:w="100" w:type="dxa"/>
            </w:tcMar>
            <w:vAlign w:val="center"/>
          </w:tcPr>
          <w:p>
            <w:pPr>
              <w:pStyle w:val="8"/>
              <w:widowControl/>
              <w:spacing w:beforeAutospacing="0" w:afterAutospacing="0"/>
              <w:rPr>
                <w:rFonts w:ascii="Times New Roman Regular" w:hAnsi="Times New Roman Regular" w:cs="Times New Roman Regular"/>
                <w:sz w:val="20"/>
                <w:szCs w:val="20"/>
              </w:rPr>
            </w:pPr>
            <w:r>
              <w:rPr>
                <w:rFonts w:ascii="Times New Roman Bold" w:hAnsi="Times New Roman Bold" w:cs="Times New Roman Bold"/>
                <w:b/>
                <w:sz w:val="20"/>
                <w:szCs w:val="20"/>
              </w:rPr>
              <w:t>Table</w:t>
            </w:r>
            <w:r>
              <w:rPr>
                <w:rFonts w:hint="eastAsia" w:ascii="Times New Roman Bold" w:hAnsi="Times New Roman Bold" w:cs="Times New Roman Bold"/>
                <w:b/>
                <w:sz w:val="20"/>
                <w:szCs w:val="20"/>
                <w:lang w:val="en-US" w:eastAsia="zh-CN"/>
              </w:rPr>
              <w:t xml:space="preserve"> </w:t>
            </w:r>
            <w:r>
              <w:rPr>
                <w:rFonts w:ascii="Times New Roman Bold" w:hAnsi="Times New Roman Bold" w:cs="Times New Roman Bold"/>
                <w:b/>
                <w:sz w:val="20"/>
                <w:szCs w:val="20"/>
              </w:rPr>
              <w:t>4</w:t>
            </w:r>
            <w:r>
              <w:rPr>
                <w:rFonts w:ascii="Times New Roman Regular" w:hAnsi="Times New Roman Regular" w:cs="Times New Roman Regular"/>
                <w:bCs/>
                <w:sz w:val="20"/>
                <w:szCs w:val="20"/>
              </w:rPr>
              <w:t xml:space="preserve"> IV-2SLS</w:t>
            </w:r>
          </w:p>
        </w:tc>
      </w:tr>
      <w:tr>
        <w:tc>
          <w:tcPr>
            <w:tcW w:w="1679" w:type="dxa"/>
            <w:tcBorders>
              <w:top w:val="double" w:color="auto" w:sz="4" w:space="0"/>
              <w:left w:val="nil"/>
              <w:bottom w:val="single" w:color="auto" w:sz="4" w:space="0"/>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rPr>
            </w:pPr>
          </w:p>
        </w:tc>
        <w:tc>
          <w:tcPr>
            <w:tcW w:w="1679" w:type="dxa"/>
            <w:tcBorders>
              <w:top w:val="double" w:color="auto" w:sz="4" w:space="0"/>
              <w:left w:val="nil"/>
              <w:bottom w:val="single" w:color="auto" w:sz="4" w:space="0"/>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(1)</w:t>
            </w:r>
          </w:p>
        </w:tc>
        <w:tc>
          <w:tcPr>
            <w:tcW w:w="1679" w:type="dxa"/>
            <w:tcBorders>
              <w:top w:val="double" w:color="auto" w:sz="4" w:space="0"/>
              <w:left w:val="nil"/>
              <w:bottom w:val="single" w:color="auto" w:sz="4" w:space="0"/>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(2)</w:t>
            </w:r>
          </w:p>
        </w:tc>
        <w:tc>
          <w:tcPr>
            <w:tcW w:w="1679" w:type="dxa"/>
            <w:tcBorders>
              <w:top w:val="double" w:color="auto" w:sz="4" w:space="0"/>
              <w:left w:val="nil"/>
              <w:bottom w:val="single" w:color="auto" w:sz="4" w:space="0"/>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(3)</w:t>
            </w:r>
          </w:p>
        </w:tc>
        <w:tc>
          <w:tcPr>
            <w:tcW w:w="1680" w:type="dxa"/>
            <w:tcBorders>
              <w:top w:val="double" w:color="auto" w:sz="4" w:space="0"/>
              <w:left w:val="nil"/>
              <w:bottom w:val="single" w:color="auto" w:sz="4" w:space="0"/>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(4)</w:t>
            </w:r>
          </w:p>
        </w:tc>
      </w:tr>
      <w:tr>
        <w:tc>
          <w:tcPr>
            <w:tcW w:w="1679" w:type="dxa"/>
            <w:tcBorders>
              <w:top w:val="single" w:color="auto" w:sz="4" w:space="0"/>
              <w:left w:val="nil"/>
              <w:bottom w:val="single" w:color="auto" w:sz="4" w:space="0"/>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rPr>
            </w:pPr>
          </w:p>
        </w:tc>
        <w:tc>
          <w:tcPr>
            <w:tcW w:w="3358" w:type="dxa"/>
            <w:gridSpan w:val="2"/>
            <w:tcBorders>
              <w:top w:val="single" w:color="auto" w:sz="4" w:space="0"/>
              <w:left w:val="nil"/>
              <w:bottom w:val="single" w:color="auto" w:sz="4" w:space="0"/>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i/>
                <w:iCs/>
                <w:sz w:val="20"/>
                <w:szCs w:val="20"/>
              </w:rPr>
            </w:pPr>
            <w:r>
              <w:rPr>
                <w:rFonts w:ascii="Times New Roman Regular" w:hAnsi="Times New Roman Regular" w:cs="Times New Roman Regular"/>
                <w:sz w:val="20"/>
                <w:szCs w:val="20"/>
              </w:rPr>
              <w:t>IV1=</w:t>
            </w:r>
            <w:r>
              <w:rPr>
                <w:rFonts w:ascii="Times New Roman Regular" w:hAnsi="Times New Roman Regular" w:cs="Times New Roman Regular"/>
                <w:i/>
                <w:iCs/>
                <w:sz w:val="20"/>
                <w:szCs w:val="20"/>
              </w:rPr>
              <w:t>station</w:t>
            </w:r>
          </w:p>
        </w:tc>
        <w:tc>
          <w:tcPr>
            <w:tcW w:w="3359" w:type="dxa"/>
            <w:gridSpan w:val="2"/>
            <w:tcBorders>
              <w:top w:val="single" w:color="auto" w:sz="4" w:space="0"/>
              <w:left w:val="nil"/>
              <w:bottom w:val="single" w:color="auto" w:sz="4" w:space="0"/>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i/>
                <w:iCs/>
                <w:sz w:val="20"/>
                <w:szCs w:val="20"/>
              </w:rPr>
            </w:pPr>
            <w:r>
              <w:rPr>
                <w:rFonts w:ascii="Times New Roman Regular" w:hAnsi="Times New Roman Regular" w:cs="Times New Roman Regular"/>
                <w:sz w:val="20"/>
                <w:szCs w:val="20"/>
              </w:rPr>
              <w:t>IV2</w:t>
            </w:r>
            <w:r>
              <w:rPr>
                <w:rFonts w:ascii="Times New Roman Regular" w:hAnsi="Times New Roman Regular" w:cs="Times New Roman Regular"/>
                <w:i/>
                <w:iCs/>
                <w:sz w:val="20"/>
                <w:szCs w:val="20"/>
              </w:rPr>
              <w:t>=river density</w:t>
            </w:r>
          </w:p>
        </w:tc>
      </w:tr>
      <w:tr>
        <w:tc>
          <w:tcPr>
            <w:tcW w:w="1679" w:type="dxa"/>
            <w:tcBorders>
              <w:top w:val="single" w:color="auto" w:sz="4" w:space="0"/>
              <w:left w:val="nil"/>
              <w:bottom w:val="nil"/>
              <w:right w:val="nil"/>
            </w:tcBorders>
            <w:shd w:val="clear" w:color="auto" w:fill="auto"/>
            <w:tcMar>
              <w:left w:w="100" w:type="dxa"/>
              <w:right w:w="100" w:type="dxa"/>
            </w:tcMar>
            <w:vAlign w:val="center"/>
          </w:tcPr>
          <w:p>
            <w:pPr>
              <w:pStyle w:val="8"/>
              <w:widowControl/>
              <w:spacing w:beforeAutospacing="0" w:afterAutospacing="0"/>
              <w:rPr>
                <w:rFonts w:ascii="Times New Roman Regular" w:hAnsi="Times New Roman Regular" w:cs="Times New Roman Regular"/>
                <w:sz w:val="20"/>
                <w:szCs w:val="20"/>
              </w:rPr>
            </w:pPr>
          </w:p>
        </w:tc>
        <w:tc>
          <w:tcPr>
            <w:tcW w:w="1679" w:type="dxa"/>
            <w:tcBorders>
              <w:top w:val="single" w:color="auto" w:sz="4" w:space="0"/>
              <w:left w:val="nil"/>
              <w:bottom w:val="nil"/>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i/>
                <w:iCs/>
                <w:sz w:val="20"/>
                <w:szCs w:val="20"/>
              </w:rPr>
            </w:pPr>
            <w:r>
              <w:rPr>
                <w:rFonts w:ascii="Times New Roman Regular" w:hAnsi="Times New Roman Regular" w:cs="Times New Roman Regular"/>
                <w:i/>
                <w:iCs/>
                <w:sz w:val="20"/>
                <w:szCs w:val="20"/>
              </w:rPr>
              <w:t>treat*post</w:t>
            </w:r>
          </w:p>
        </w:tc>
        <w:tc>
          <w:tcPr>
            <w:tcW w:w="1679" w:type="dxa"/>
            <w:tcBorders>
              <w:top w:val="single" w:color="auto" w:sz="4" w:space="0"/>
              <w:left w:val="nil"/>
              <w:bottom w:val="nil"/>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i/>
                <w:iCs/>
                <w:sz w:val="20"/>
                <w:szCs w:val="20"/>
              </w:rPr>
            </w:pPr>
            <w:r>
              <w:rPr>
                <w:rFonts w:ascii="Times New Roman Regular" w:hAnsi="Times New Roman Regular" w:cs="Times New Roman Regular"/>
                <w:i/>
                <w:iCs/>
                <w:sz w:val="20"/>
                <w:szCs w:val="20"/>
                <w:lang w:bidi="ar"/>
              </w:rPr>
              <w:t>EMP</w:t>
            </w:r>
          </w:p>
        </w:tc>
        <w:tc>
          <w:tcPr>
            <w:tcW w:w="1679" w:type="dxa"/>
            <w:tcBorders>
              <w:top w:val="single" w:color="auto" w:sz="4" w:space="0"/>
              <w:left w:val="nil"/>
              <w:bottom w:val="nil"/>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i/>
                <w:iCs/>
                <w:sz w:val="20"/>
                <w:szCs w:val="20"/>
              </w:rPr>
            </w:pPr>
            <w:r>
              <w:rPr>
                <w:rFonts w:ascii="Times New Roman Regular" w:hAnsi="Times New Roman Regular" w:cs="Times New Roman Regular"/>
                <w:i/>
                <w:iCs/>
                <w:sz w:val="20"/>
                <w:szCs w:val="20"/>
              </w:rPr>
              <w:t>treat*post</w:t>
            </w:r>
          </w:p>
        </w:tc>
        <w:tc>
          <w:tcPr>
            <w:tcW w:w="1680" w:type="dxa"/>
            <w:tcBorders>
              <w:top w:val="single" w:color="auto" w:sz="4" w:space="0"/>
              <w:left w:val="nil"/>
              <w:bottom w:val="nil"/>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i/>
                <w:iCs/>
                <w:sz w:val="20"/>
                <w:szCs w:val="20"/>
              </w:rPr>
            </w:pPr>
            <w:r>
              <w:rPr>
                <w:rFonts w:ascii="Times New Roman Regular" w:hAnsi="Times New Roman Regular" w:cs="Times New Roman Regular"/>
                <w:i/>
                <w:iCs/>
                <w:sz w:val="20"/>
                <w:szCs w:val="20"/>
                <w:lang w:bidi="ar"/>
              </w:rPr>
              <w:t>EMP</w:t>
            </w:r>
          </w:p>
        </w:tc>
      </w:tr>
      <w:tr>
        <w:tc>
          <w:tcPr>
            <w:tcW w:w="1679"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rPr>
                <w:rFonts w:ascii="Times New Roman Regular" w:hAnsi="Times New Roman Regular" w:cs="Times New Roman Regular"/>
                <w:i/>
                <w:iCs/>
                <w:sz w:val="20"/>
                <w:szCs w:val="20"/>
              </w:rPr>
            </w:pPr>
            <w:r>
              <w:rPr>
                <w:rFonts w:ascii="Times New Roman Regular" w:hAnsi="Times New Roman Regular" w:cs="Times New Roman Regular"/>
                <w:sz w:val="20"/>
                <w:szCs w:val="20"/>
                <w:lang w:bidi="ar"/>
              </w:rPr>
              <w:t>IV</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0.1318</w:t>
            </w:r>
            <w:r>
              <w:rPr>
                <w:rFonts w:hint="default" w:ascii="Times New Roman" w:hAnsi="Times New Roman" w:cs="Times New Roman"/>
                <w:kern w:val="0"/>
                <w:sz w:val="20"/>
                <w:szCs w:val="20"/>
                <w:vertAlign w:val="superscript"/>
                <w:lang w:val="en-US" w:eastAsia="zh-CN" w:bidi="ar"/>
              </w:rPr>
              <w:t>***</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2.7013</w:t>
            </w:r>
            <w:r>
              <w:rPr>
                <w:rFonts w:hint="default" w:ascii="Times New Roman" w:hAnsi="Times New Roman" w:cs="Times New Roman"/>
                <w:kern w:val="0"/>
                <w:sz w:val="20"/>
                <w:szCs w:val="20"/>
                <w:vertAlign w:val="superscript"/>
                <w:lang w:val="en-US" w:eastAsia="zh-CN" w:bidi="ar"/>
              </w:rPr>
              <w:t>***</w:t>
            </w:r>
          </w:p>
        </w:tc>
        <w:tc>
          <w:tcPr>
            <w:tcW w:w="1680"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r>
      <w:tr>
        <w:tc>
          <w:tcPr>
            <w:tcW w:w="1679"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rPr>
                <w:rFonts w:ascii="Times New Roman Regular" w:hAnsi="Times New Roman Regular" w:cs="Times New Roman Regular"/>
                <w:i/>
                <w:iCs/>
                <w:sz w:val="20"/>
                <w:szCs w:val="20"/>
              </w:rPr>
            </w:pP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(0.0043)</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(0.0664)</w:t>
            </w:r>
          </w:p>
        </w:tc>
        <w:tc>
          <w:tcPr>
            <w:tcW w:w="1680"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r>
      <w:tr>
        <w:tc>
          <w:tcPr>
            <w:tcW w:w="1679"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rPr>
                <w:rFonts w:ascii="Times New Roman Regular" w:hAnsi="Times New Roman Regular" w:cs="Times New Roman Regular"/>
                <w:i/>
                <w:iCs/>
                <w:sz w:val="20"/>
                <w:szCs w:val="20"/>
              </w:rPr>
            </w:pPr>
            <w:r>
              <w:rPr>
                <w:rFonts w:ascii="Times New Roman Regular" w:hAnsi="Times New Roman Regular" w:cs="Times New Roman Regular"/>
                <w:i/>
                <w:iCs/>
                <w:sz w:val="20"/>
                <w:szCs w:val="20"/>
              </w:rPr>
              <w:t>policy*post</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0.2408</w:t>
            </w:r>
            <w:r>
              <w:rPr>
                <w:rFonts w:hint="default" w:ascii="Times New Roman" w:hAnsi="Times New Roman" w:cs="Times New Roman"/>
                <w:kern w:val="0"/>
                <w:sz w:val="20"/>
                <w:szCs w:val="20"/>
                <w:vertAlign w:val="superscript"/>
                <w:lang w:val="en-US" w:eastAsia="zh-CN" w:bidi="ar"/>
              </w:rPr>
              <w:t>***</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1680"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0.1323</w:t>
            </w:r>
            <w:r>
              <w:rPr>
                <w:rFonts w:hint="default" w:ascii="Times New Roman" w:hAnsi="Times New Roman" w:cs="Times New Roman"/>
                <w:kern w:val="0"/>
                <w:sz w:val="20"/>
                <w:szCs w:val="20"/>
                <w:vertAlign w:val="superscript"/>
                <w:lang w:val="en-US" w:eastAsia="zh-CN" w:bidi="ar"/>
              </w:rPr>
              <w:t>***</w:t>
            </w:r>
          </w:p>
        </w:tc>
      </w:tr>
      <w:tr>
        <w:tc>
          <w:tcPr>
            <w:tcW w:w="1679"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rPr>
                <w:rFonts w:ascii="Times New Roman Regular" w:hAnsi="Times New Roman Regular" w:cs="Times New Roman Regular"/>
                <w:i/>
                <w:iCs/>
                <w:sz w:val="20"/>
                <w:szCs w:val="20"/>
              </w:rPr>
            </w:pP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(0.0495)</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1680"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(0.0330)</w:t>
            </w:r>
          </w:p>
        </w:tc>
      </w:tr>
      <w:tr>
        <w:tc>
          <w:tcPr>
            <w:tcW w:w="1679"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rPr>
                <w:rFonts w:ascii="Times New Roman Regular" w:hAnsi="Times New Roman Regular" w:cs="Times New Roman Regular"/>
                <w:i/>
                <w:iCs/>
                <w:sz w:val="20"/>
                <w:szCs w:val="20"/>
              </w:rPr>
            </w:pPr>
            <w:r>
              <w:rPr>
                <w:rFonts w:ascii="Times New Roman Regular" w:hAnsi="Times New Roman Regular" w:cs="Times New Roman Regular"/>
                <w:i/>
                <w:iCs/>
                <w:sz w:val="20"/>
                <w:szCs w:val="20"/>
                <w:lang w:bidi="ar"/>
              </w:rPr>
              <w:t>_cons</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0.1814</w:t>
            </w:r>
            <w:r>
              <w:rPr>
                <w:rFonts w:hint="default" w:ascii="Times New Roman" w:hAnsi="Times New Roman" w:cs="Times New Roman"/>
                <w:kern w:val="0"/>
                <w:sz w:val="20"/>
                <w:szCs w:val="20"/>
                <w:vertAlign w:val="superscript"/>
                <w:lang w:val="en-US" w:eastAsia="zh-CN" w:bidi="ar"/>
              </w:rPr>
              <w:t>***</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0.0035</w:t>
            </w:r>
          </w:p>
        </w:tc>
        <w:tc>
          <w:tcPr>
            <w:tcW w:w="1680"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r>
      <w:tr>
        <w:tc>
          <w:tcPr>
            <w:tcW w:w="1679"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rPr>
                <w:rFonts w:ascii="Times New Roman Regular" w:hAnsi="Times New Roman Regular" w:cs="Times New Roman Regular"/>
                <w:i/>
                <w:iCs/>
                <w:sz w:val="20"/>
                <w:szCs w:val="20"/>
              </w:rPr>
            </w:pP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(0.0435)</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(0.0312)</w:t>
            </w:r>
          </w:p>
        </w:tc>
        <w:tc>
          <w:tcPr>
            <w:tcW w:w="1680"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r>
      <w:tr>
        <w:tc>
          <w:tcPr>
            <w:tcW w:w="1679"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Controls</w:t>
            </w:r>
          </w:p>
        </w:tc>
        <w:tc>
          <w:tcPr>
            <w:tcW w:w="1679"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Yes</w:t>
            </w:r>
          </w:p>
        </w:tc>
        <w:tc>
          <w:tcPr>
            <w:tcW w:w="1679"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Yes</w:t>
            </w:r>
          </w:p>
        </w:tc>
        <w:tc>
          <w:tcPr>
            <w:tcW w:w="1679"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Yes</w:t>
            </w:r>
          </w:p>
        </w:tc>
        <w:tc>
          <w:tcPr>
            <w:tcW w:w="1680"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Yes</w:t>
            </w:r>
          </w:p>
        </w:tc>
      </w:tr>
      <w:tr>
        <w:tc>
          <w:tcPr>
            <w:tcW w:w="1679"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CITY</w:t>
            </w:r>
          </w:p>
        </w:tc>
        <w:tc>
          <w:tcPr>
            <w:tcW w:w="1679"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Yes</w:t>
            </w:r>
          </w:p>
        </w:tc>
        <w:tc>
          <w:tcPr>
            <w:tcW w:w="1679"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Yes</w:t>
            </w:r>
          </w:p>
        </w:tc>
        <w:tc>
          <w:tcPr>
            <w:tcW w:w="1679"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Yes</w:t>
            </w:r>
          </w:p>
        </w:tc>
        <w:tc>
          <w:tcPr>
            <w:tcW w:w="1680"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Yes</w:t>
            </w:r>
          </w:p>
        </w:tc>
      </w:tr>
      <w:tr>
        <w:tc>
          <w:tcPr>
            <w:tcW w:w="1679"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YEAR</w:t>
            </w:r>
          </w:p>
        </w:tc>
        <w:tc>
          <w:tcPr>
            <w:tcW w:w="1679"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Yes</w:t>
            </w:r>
          </w:p>
        </w:tc>
        <w:tc>
          <w:tcPr>
            <w:tcW w:w="1679"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Yes</w:t>
            </w:r>
          </w:p>
        </w:tc>
        <w:tc>
          <w:tcPr>
            <w:tcW w:w="1679"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Yes</w:t>
            </w:r>
          </w:p>
        </w:tc>
        <w:tc>
          <w:tcPr>
            <w:tcW w:w="1680"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Yes</w:t>
            </w:r>
          </w:p>
        </w:tc>
      </w:tr>
      <w:tr>
        <w:tc>
          <w:tcPr>
            <w:tcW w:w="1679"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rPr>
                <w:rFonts w:ascii="Times New Roman Regular" w:hAnsi="Times New Roman Regular" w:cs="Times New Roman Regular"/>
                <w:sz w:val="20"/>
                <w:szCs w:val="20"/>
              </w:rPr>
            </w:pPr>
            <w:r>
              <w:rPr>
                <w:rFonts w:ascii="Times New Roman Regular" w:hAnsi="Times New Roman Regular" w:cs="Times New Roman Regular"/>
                <w:i/>
                <w:iCs/>
                <w:sz w:val="20"/>
                <w:szCs w:val="20"/>
                <w:lang w:bidi="ar"/>
              </w:rPr>
              <w:t>N</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4150</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4150</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4152</w:t>
            </w:r>
          </w:p>
        </w:tc>
        <w:tc>
          <w:tcPr>
            <w:tcW w:w="1680"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4152</w:t>
            </w:r>
          </w:p>
        </w:tc>
      </w:tr>
      <w:tr>
        <w:tc>
          <w:tcPr>
            <w:tcW w:w="1679"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rPr>
                <w:rFonts w:hint="default" w:ascii="Times New Roman Regular" w:hAnsi="Times New Roman Regular" w:cs="Times New Roman Regular"/>
                <w:sz w:val="20"/>
                <w:szCs w:val="20"/>
                <w:lang w:val="en-US"/>
              </w:rPr>
            </w:pPr>
            <w:r>
              <w:rPr>
                <w:rFonts w:hint="eastAsia" w:ascii="Times New Roman Regular" w:hAnsi="Times New Roman Regular" w:cs="Times New Roman Regular"/>
                <w:sz w:val="20"/>
                <w:szCs w:val="20"/>
                <w:lang w:val="en-US" w:eastAsia="zh-CN"/>
              </w:rPr>
              <w:t>Within R2</w:t>
            </w:r>
            <w:r>
              <w:rPr>
                <w:rFonts w:ascii="Times New Roman Regular" w:hAnsi="Times New Roman Regular" w:cs="Times New Roman Regular"/>
                <w:sz w:val="20"/>
                <w:szCs w:val="20"/>
                <w:lang w:val="en-US" w:bidi="ar"/>
              </w:rPr>
              <w:t>r2_within</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0.3905</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0.6866</w:t>
            </w:r>
          </w:p>
        </w:tc>
        <w:tc>
          <w:tcPr>
            <w:tcW w:w="1680"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r>
      <w:tr>
        <w:tc>
          <w:tcPr>
            <w:tcW w:w="1679"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K-P LM stat.</w:t>
            </w:r>
          </w:p>
        </w:tc>
        <w:tc>
          <w:tcPr>
            <w:tcW w:w="3358" w:type="dxa"/>
            <w:gridSpan w:val="2"/>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ind w:firstLine="1200" w:firstLineChars="600"/>
              <w:jc w:val="center"/>
              <w:rPr>
                <w:rFonts w:ascii="Times New Roman Regular" w:hAnsi="Times New Roman Regular" w:cs="Times New Roman Regular"/>
                <w:sz w:val="20"/>
                <w:szCs w:val="20"/>
              </w:rPr>
            </w:pPr>
            <w:r>
              <w:rPr>
                <w:rFonts w:hint="eastAsia" w:ascii="Times New Roman Regular" w:hAnsi="Times New Roman Regular" w:cs="Times New Roman Regular"/>
                <w:sz w:val="20"/>
                <w:szCs w:val="20"/>
                <w:lang w:bidi="ar"/>
              </w:rPr>
              <w:t>946.682</w:t>
            </w:r>
          </w:p>
        </w:tc>
        <w:tc>
          <w:tcPr>
            <w:tcW w:w="3359" w:type="dxa"/>
            <w:gridSpan w:val="2"/>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rPr>
            </w:pPr>
            <w:r>
              <w:rPr>
                <w:rFonts w:hint="eastAsia" w:ascii="Times New Roman Regular" w:hAnsi="Times New Roman Regular" w:cs="Times New Roman Regular"/>
                <w:sz w:val="20"/>
                <w:szCs w:val="20"/>
                <w:lang w:bidi="ar"/>
              </w:rPr>
              <w:t>1652.919</w:t>
            </w:r>
          </w:p>
        </w:tc>
      </w:tr>
      <w:tr>
        <w:tc>
          <w:tcPr>
            <w:tcW w:w="1679"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rPr>
                <w:rFonts w:ascii="Times New Roman Regular" w:hAnsi="Times New Roman Regular" w:cs="Times New Roman Regular"/>
                <w:sz w:val="20"/>
                <w:szCs w:val="20"/>
              </w:rPr>
            </w:pPr>
          </w:p>
        </w:tc>
        <w:tc>
          <w:tcPr>
            <w:tcW w:w="3358" w:type="dxa"/>
            <w:gridSpan w:val="2"/>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(0.0000)</w:t>
            </w:r>
          </w:p>
        </w:tc>
        <w:tc>
          <w:tcPr>
            <w:tcW w:w="3359" w:type="dxa"/>
            <w:gridSpan w:val="2"/>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(0.0000)</w:t>
            </w:r>
          </w:p>
        </w:tc>
      </w:tr>
      <w:tr>
        <w:tc>
          <w:tcPr>
            <w:tcW w:w="1679" w:type="dxa"/>
            <w:tcBorders>
              <w:top w:val="nil"/>
              <w:left w:val="nil"/>
              <w:bottom w:val="double" w:color="auto" w:sz="4" w:space="0"/>
              <w:right w:val="nil"/>
            </w:tcBorders>
            <w:shd w:val="clear" w:color="auto" w:fill="auto"/>
            <w:tcMar>
              <w:left w:w="100" w:type="dxa"/>
              <w:right w:w="100" w:type="dxa"/>
            </w:tcMar>
            <w:vAlign w:val="center"/>
          </w:tcPr>
          <w:p>
            <w:pPr>
              <w:pStyle w:val="8"/>
              <w:widowControl/>
              <w:spacing w:beforeAutospacing="0" w:afterAutospacing="0"/>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Hansen J stat.</w:t>
            </w:r>
          </w:p>
        </w:tc>
        <w:tc>
          <w:tcPr>
            <w:tcW w:w="3358" w:type="dxa"/>
            <w:gridSpan w:val="2"/>
            <w:tcBorders>
              <w:top w:val="nil"/>
              <w:left w:val="nil"/>
              <w:bottom w:val="double" w:color="auto" w:sz="4" w:space="0"/>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0.0000</w:t>
            </w:r>
          </w:p>
        </w:tc>
        <w:tc>
          <w:tcPr>
            <w:tcW w:w="3359" w:type="dxa"/>
            <w:gridSpan w:val="2"/>
            <w:tcBorders>
              <w:top w:val="nil"/>
              <w:left w:val="nil"/>
              <w:bottom w:val="double" w:color="auto" w:sz="4" w:space="0"/>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0.0000</w:t>
            </w:r>
          </w:p>
        </w:tc>
      </w:tr>
    </w:tbl>
    <w:p>
      <w:pPr>
        <w:pStyle w:val="8"/>
        <w:widowControl/>
        <w:spacing w:beforeAutospacing="0" w:afterAutospacing="0"/>
        <w:jc w:val="both"/>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Standard errors in parentheses</w:t>
      </w:r>
    </w:p>
    <w:p>
      <w:pPr>
        <w:pStyle w:val="8"/>
        <w:widowControl/>
        <w:spacing w:beforeAutospacing="0" w:after="157" w:afterLines="50" w:afterAutospacing="0"/>
        <w:jc w:val="both"/>
        <w:rPr>
          <w:rFonts w:ascii="Times New Roman Regular" w:hAnsi="Times New Roman Regular" w:cs="Times New Roman Regular"/>
          <w:sz w:val="22"/>
          <w:szCs w:val="22"/>
          <w:lang w:bidi="ar"/>
        </w:rPr>
      </w:pPr>
      <w:r>
        <w:rPr>
          <w:rFonts w:ascii="Times New Roman Regular" w:hAnsi="Times New Roman Regular" w:cs="Times New Roman Regular"/>
          <w:sz w:val="20"/>
          <w:szCs w:val="20"/>
          <w:vertAlign w:val="superscript"/>
          <w:lang w:bidi="ar"/>
        </w:rPr>
        <w:t>*</w:t>
      </w:r>
      <w:r>
        <w:rPr>
          <w:rFonts w:ascii="Times New Roman Regular" w:hAnsi="Times New Roman Regular" w:cs="Times New Roman Regular"/>
          <w:sz w:val="20"/>
          <w:szCs w:val="20"/>
          <w:lang w:bidi="ar"/>
        </w:rPr>
        <w:t xml:space="preserve"> </w:t>
      </w:r>
      <w:r>
        <w:rPr>
          <w:rFonts w:ascii="Times New Roman Regular" w:hAnsi="Times New Roman Regular" w:cs="Times New Roman Regular"/>
          <w:i/>
          <w:iCs/>
          <w:sz w:val="20"/>
          <w:szCs w:val="20"/>
          <w:lang w:bidi="ar"/>
        </w:rPr>
        <w:t>p</w:t>
      </w:r>
      <w:r>
        <w:rPr>
          <w:rFonts w:ascii="Times New Roman Regular" w:hAnsi="Times New Roman Regular" w:cs="Times New Roman Regular"/>
          <w:sz w:val="20"/>
          <w:szCs w:val="20"/>
          <w:lang w:bidi="ar"/>
        </w:rPr>
        <w:t xml:space="preserve"> &lt; 0.10, </w:t>
      </w:r>
      <w:r>
        <w:rPr>
          <w:rFonts w:ascii="Times New Roman Regular" w:hAnsi="Times New Roman Regular" w:cs="Times New Roman Regular"/>
          <w:sz w:val="20"/>
          <w:szCs w:val="20"/>
          <w:vertAlign w:val="superscript"/>
          <w:lang w:bidi="ar"/>
        </w:rPr>
        <w:t>**</w:t>
      </w:r>
      <w:r>
        <w:rPr>
          <w:rFonts w:ascii="Times New Roman Regular" w:hAnsi="Times New Roman Regular" w:cs="Times New Roman Regular"/>
          <w:sz w:val="20"/>
          <w:szCs w:val="20"/>
          <w:lang w:bidi="ar"/>
        </w:rPr>
        <w:t xml:space="preserve"> </w:t>
      </w:r>
      <w:r>
        <w:rPr>
          <w:rFonts w:ascii="Times New Roman Regular" w:hAnsi="Times New Roman Regular" w:cs="Times New Roman Regular"/>
          <w:i/>
          <w:iCs/>
          <w:sz w:val="20"/>
          <w:szCs w:val="20"/>
          <w:lang w:bidi="ar"/>
        </w:rPr>
        <w:t>p</w:t>
      </w:r>
      <w:r>
        <w:rPr>
          <w:rFonts w:ascii="Times New Roman Regular" w:hAnsi="Times New Roman Regular" w:cs="Times New Roman Regular"/>
          <w:sz w:val="20"/>
          <w:szCs w:val="20"/>
          <w:lang w:bidi="ar"/>
        </w:rPr>
        <w:t xml:space="preserve"> &lt; 0.05, </w:t>
      </w:r>
      <w:r>
        <w:rPr>
          <w:rFonts w:ascii="Times New Roman Regular" w:hAnsi="Times New Roman Regular" w:cs="Times New Roman Regular"/>
          <w:sz w:val="20"/>
          <w:szCs w:val="20"/>
          <w:vertAlign w:val="superscript"/>
          <w:lang w:bidi="ar"/>
        </w:rPr>
        <w:t>***</w:t>
      </w:r>
      <w:r>
        <w:rPr>
          <w:rFonts w:ascii="Times New Roman Regular" w:hAnsi="Times New Roman Regular" w:cs="Times New Roman Regular"/>
          <w:sz w:val="20"/>
          <w:szCs w:val="20"/>
          <w:lang w:bidi="ar"/>
        </w:rPr>
        <w:t xml:space="preserve"> </w:t>
      </w:r>
      <w:r>
        <w:rPr>
          <w:rFonts w:ascii="Times New Roman Regular" w:hAnsi="Times New Roman Regular" w:cs="Times New Roman Regular"/>
          <w:i/>
          <w:iCs/>
          <w:sz w:val="20"/>
          <w:szCs w:val="20"/>
          <w:lang w:bidi="ar"/>
        </w:rPr>
        <w:t>p</w:t>
      </w:r>
      <w:r>
        <w:rPr>
          <w:rFonts w:ascii="Times New Roman Regular" w:hAnsi="Times New Roman Regular" w:cs="Times New Roman Regular"/>
          <w:sz w:val="20"/>
          <w:szCs w:val="20"/>
          <w:lang w:bidi="ar"/>
        </w:rPr>
        <w:t xml:space="preserve"> &lt; 0.01</w:t>
      </w:r>
    </w:p>
    <w:p>
      <w:pPr>
        <w:spacing w:before="0" w:beforeLines="0" w:after="157" w:afterLines="50"/>
        <w:rPr>
          <w:rFonts w:ascii="Times New Roman Bold Italic" w:hAnsi="Times New Roman Bold Italic" w:cs="Times New Roman Bold Italic"/>
          <w:b/>
          <w:bCs/>
          <w:i/>
          <w:iCs/>
          <w:sz w:val="24"/>
        </w:rPr>
      </w:pPr>
      <w:r>
        <w:rPr>
          <w:rFonts w:hint="eastAsia" w:ascii="Times New Roman Bold Italic" w:hAnsi="Times New Roman Bold Italic" w:cs="Times New Roman Bold Italic"/>
          <w:b/>
          <w:bCs/>
          <w:i/>
          <w:iCs/>
          <w:sz w:val="24"/>
          <w:lang w:val="en-US" w:eastAsia="zh-CN"/>
        </w:rPr>
        <w:t>4</w:t>
      </w:r>
      <w:r>
        <w:rPr>
          <w:rFonts w:ascii="Times New Roman Bold Italic" w:hAnsi="Times New Roman Bold Italic" w:cs="Times New Roman Bold Italic"/>
          <w:b/>
          <w:bCs/>
          <w:i/>
          <w:iCs/>
          <w:sz w:val="24"/>
        </w:rPr>
        <w:t xml:space="preserve">.2.4To rule out the </w:t>
      </w:r>
      <w:r>
        <w:rPr>
          <w:rFonts w:ascii="Times New Roman Bold" w:hAnsi="Times New Roman Bold" w:cs="Times New Roman Bold"/>
          <w:b/>
          <w:bCs/>
          <w:i/>
          <w:iCs/>
          <w:sz w:val="24"/>
        </w:rPr>
        <w:t xml:space="preserve">confounding </w:t>
      </w:r>
      <w:r>
        <w:rPr>
          <w:rFonts w:ascii="Times New Roman Bold Italic" w:hAnsi="Times New Roman Bold Italic" w:cs="Times New Roman Bold Italic"/>
          <w:b/>
          <w:bCs/>
          <w:i/>
          <w:iCs/>
          <w:sz w:val="24"/>
        </w:rPr>
        <w:t>effects of other policies</w:t>
      </w:r>
    </w:p>
    <w:p>
      <w:pPr>
        <w:spacing w:before="0" w:beforeLines="0" w:after="157" w:afterLines="50"/>
        <w:ind w:firstLine="240" w:firstLineChars="100"/>
        <w:rPr>
          <w:rFonts w:ascii="Times New Roman Regular" w:hAnsi="Times New Roman Regular" w:cs="Times New Roman Regular"/>
          <w:sz w:val="24"/>
        </w:rPr>
      </w:pPr>
      <w:r>
        <w:rPr>
          <w:rFonts w:ascii="Times New Roman Regular" w:hAnsi="Times New Roman Regular" w:cs="Times New Roman Regular"/>
          <w:sz w:val="24"/>
        </w:rPr>
        <w:t xml:space="preserve">To ensure that the estimated effect of the New-Type Urbanization Pilot Policy (NTUPP) </w:t>
      </w:r>
      <w:r>
        <w:rPr>
          <w:rFonts w:hint="eastAsia" w:ascii="Times New Roman Regular" w:hAnsi="Times New Roman Regular" w:cs="Times New Roman Regular"/>
          <w:sz w:val="24"/>
          <w:lang w:val="en-US" w:eastAsia="zh-CN"/>
        </w:rPr>
        <w:t>was</w:t>
      </w:r>
      <w:r>
        <w:rPr>
          <w:rFonts w:ascii="Times New Roman Regular" w:hAnsi="Times New Roman Regular" w:cs="Times New Roman Regular"/>
          <w:sz w:val="24"/>
        </w:rPr>
        <w:t xml:space="preserve"> not driven by other concurrent policies, we perform</w:t>
      </w:r>
      <w:r>
        <w:rPr>
          <w:rFonts w:hint="eastAsia" w:ascii="Times New Roman Regular" w:hAnsi="Times New Roman Regular" w:cs="Times New Roman Regular"/>
          <w:sz w:val="24"/>
          <w:lang w:val="en-US" w:eastAsia="zh-CN"/>
        </w:rPr>
        <w:t>ed</w:t>
      </w:r>
      <w:r>
        <w:rPr>
          <w:rFonts w:ascii="Times New Roman Regular" w:hAnsi="Times New Roman Regular" w:cs="Times New Roman Regular"/>
          <w:sz w:val="24"/>
        </w:rPr>
        <w:t xml:space="preserve"> robustness checks by controlling for three potentially influential interventions: the Talent Attraction Policy, the Smart City Pilot Program, and the Introduction of High-Speed Rail (HSR) Service. These policies </w:t>
      </w:r>
      <w:r>
        <w:rPr>
          <w:rFonts w:hint="default" w:ascii="Times New Roman Regular" w:hAnsi="Times New Roman Regular" w:cs="Times New Roman Regular"/>
          <w:sz w:val="24"/>
          <w:lang w:val="en-US"/>
        </w:rPr>
        <w:t>were</w:t>
      </w:r>
      <w:r>
        <w:rPr>
          <w:rFonts w:ascii="Times New Roman Regular" w:hAnsi="Times New Roman Regular" w:cs="Times New Roman Regular"/>
          <w:sz w:val="24"/>
        </w:rPr>
        <w:t xml:space="preserve"> selected because they </w:t>
      </w:r>
      <w:r>
        <w:rPr>
          <w:rFonts w:hint="default" w:ascii="Times New Roman Regular" w:hAnsi="Times New Roman Regular" w:cs="Times New Roman Regular"/>
          <w:sz w:val="24"/>
          <w:lang w:val="en-US"/>
        </w:rPr>
        <w:t>might have</w:t>
      </w:r>
      <w:r>
        <w:rPr>
          <w:rFonts w:ascii="Times New Roman Regular" w:hAnsi="Times New Roman Regular" w:cs="Times New Roman Regular"/>
          <w:sz w:val="24"/>
        </w:rPr>
        <w:t xml:space="preserve"> affect</w:t>
      </w:r>
      <w:r>
        <w:rPr>
          <w:rFonts w:hint="default" w:ascii="Times New Roman Regular" w:hAnsi="Times New Roman Regular" w:cs="Times New Roman Regular"/>
          <w:sz w:val="24"/>
          <w:lang w:val="en-US"/>
        </w:rPr>
        <w:t>ed</w:t>
      </w:r>
      <w:r>
        <w:rPr>
          <w:rFonts w:ascii="Times New Roman Regular" w:hAnsi="Times New Roman Regular" w:cs="Times New Roman Regular"/>
          <w:sz w:val="24"/>
        </w:rPr>
        <w:t xml:space="preserve"> employment outcomes through different channels. Talent attraction policies </w:t>
      </w:r>
      <w:r>
        <w:rPr>
          <w:rFonts w:hint="default" w:ascii="Times New Roman Regular" w:hAnsi="Times New Roman Regular" w:cs="Times New Roman Regular"/>
          <w:sz w:val="24"/>
          <w:lang w:val="en-US"/>
        </w:rPr>
        <w:t>could have</w:t>
      </w:r>
      <w:r>
        <w:rPr>
          <w:rFonts w:ascii="Times New Roman Regular" w:hAnsi="Times New Roman Regular" w:cs="Times New Roman Regular"/>
          <w:sz w:val="24"/>
        </w:rPr>
        <w:t xml:space="preserve"> change</w:t>
      </w:r>
      <w:r>
        <w:rPr>
          <w:rFonts w:hint="default" w:ascii="Times New Roman Regular" w:hAnsi="Times New Roman Regular" w:cs="Times New Roman Regular"/>
          <w:sz w:val="24"/>
          <w:lang w:val="en-US"/>
        </w:rPr>
        <w:t>d</w:t>
      </w:r>
      <w:r>
        <w:rPr>
          <w:rFonts w:ascii="Times New Roman Regular" w:hAnsi="Times New Roman Regular" w:cs="Times New Roman Regular"/>
          <w:sz w:val="24"/>
        </w:rPr>
        <w:t xml:space="preserve"> labor market structure by drawing in high-skilled workers. Smart city programs often improve</w:t>
      </w:r>
      <w:r>
        <w:rPr>
          <w:rFonts w:hint="default" w:ascii="Times New Roman Regular" w:hAnsi="Times New Roman Regular" w:cs="Times New Roman Regular"/>
          <w:sz w:val="24"/>
          <w:lang w:val="en-US"/>
        </w:rPr>
        <w:t>d</w:t>
      </w:r>
      <w:r>
        <w:rPr>
          <w:rFonts w:ascii="Times New Roman Regular" w:hAnsi="Times New Roman Regular" w:cs="Times New Roman Regular"/>
          <w:sz w:val="24"/>
        </w:rPr>
        <w:t xml:space="preserve"> infrastructure and digital services, which m</w:t>
      </w:r>
      <w:r>
        <w:rPr>
          <w:rFonts w:hint="default" w:ascii="Times New Roman Regular" w:hAnsi="Times New Roman Regular" w:cs="Times New Roman Regular"/>
          <w:sz w:val="24"/>
          <w:lang w:val="en-US"/>
        </w:rPr>
        <w:t>ight</w:t>
      </w:r>
      <w:r>
        <w:rPr>
          <w:rFonts w:ascii="Times New Roman Regular" w:hAnsi="Times New Roman Regular" w:cs="Times New Roman Regular"/>
          <w:sz w:val="24"/>
        </w:rPr>
        <w:t xml:space="preserve"> </w:t>
      </w:r>
      <w:r>
        <w:rPr>
          <w:rFonts w:hint="default" w:ascii="Times New Roman Regular" w:hAnsi="Times New Roman Regular" w:cs="Times New Roman Regular"/>
          <w:sz w:val="24"/>
          <w:lang w:val="en-US"/>
        </w:rPr>
        <w:t xml:space="preserve">have </w:t>
      </w:r>
      <w:r>
        <w:rPr>
          <w:rFonts w:ascii="Times New Roman Regular" w:hAnsi="Times New Roman Regular" w:cs="Times New Roman Regular"/>
          <w:sz w:val="24"/>
        </w:rPr>
        <w:t>benefit</w:t>
      </w:r>
      <w:r>
        <w:rPr>
          <w:rFonts w:hint="default" w:ascii="Times New Roman Regular" w:hAnsi="Times New Roman Regular" w:cs="Times New Roman Regular"/>
          <w:sz w:val="24"/>
          <w:lang w:val="en-US"/>
        </w:rPr>
        <w:t>ed</w:t>
      </w:r>
      <w:r>
        <w:rPr>
          <w:rFonts w:ascii="Times New Roman Regular" w:hAnsi="Times New Roman Regular" w:cs="Times New Roman Regular"/>
          <w:sz w:val="24"/>
        </w:rPr>
        <w:t xml:space="preserve"> the employment environment. High-speed rail openings enhance regional connectivity and labor mobility, potentially affecting employment quality. Table 5 report</w:t>
      </w:r>
      <w:r>
        <w:rPr>
          <w:rFonts w:hint="default" w:ascii="Times New Roman Regular" w:hAnsi="Times New Roman Regular" w:cs="Times New Roman Regular"/>
          <w:sz w:val="24"/>
          <w:lang w:val="en-US"/>
        </w:rPr>
        <w:t>ed</w:t>
      </w:r>
      <w:r>
        <w:rPr>
          <w:rFonts w:ascii="Times New Roman Regular" w:hAnsi="Times New Roman Regular" w:cs="Times New Roman Regular"/>
          <w:sz w:val="24"/>
        </w:rPr>
        <w:t xml:space="preserve"> the results. After controlling for each of these policies separately, the coefficient of the NTUP</w:t>
      </w:r>
      <w:r>
        <w:rPr>
          <w:rFonts w:hint="eastAsia" w:ascii="Times New Roman Regular" w:hAnsi="Times New Roman Regular" w:cs="Times New Roman Regular"/>
          <w:sz w:val="24"/>
          <w:lang w:val="en-US" w:eastAsia="zh-CN"/>
        </w:rPr>
        <w:t>P</w:t>
      </w:r>
      <w:r>
        <w:rPr>
          <w:rFonts w:ascii="Times New Roman Regular" w:hAnsi="Times New Roman Regular" w:cs="Times New Roman Regular"/>
          <w:sz w:val="24"/>
        </w:rPr>
        <w:t xml:space="preserve"> variable</w:t>
      </w:r>
      <w:r>
        <w:rPr>
          <w:rFonts w:hint="default" w:ascii="Times New Roman Regular" w:hAnsi="Times New Roman Regular" w:cs="Times New Roman Regular"/>
          <w:sz w:val="24"/>
          <w:lang w:val="en-US"/>
        </w:rPr>
        <w:t xml:space="preserve"> </w:t>
      </w:r>
      <w:r>
        <w:rPr>
          <w:rFonts w:ascii="Times New Roman Regular" w:hAnsi="Times New Roman Regular" w:cs="Times New Roman Regular"/>
          <w:i/>
          <w:iCs/>
          <w:sz w:val="24"/>
          <w:szCs w:val="24"/>
        </w:rPr>
        <w:t>treat*post</w:t>
      </w:r>
      <w:r>
        <w:rPr>
          <w:rFonts w:ascii="Times New Roman Regular" w:hAnsi="Times New Roman Regular" w:cs="Times New Roman Regular"/>
          <w:sz w:val="24"/>
        </w:rPr>
        <w:t xml:space="preserve"> remain</w:t>
      </w:r>
      <w:r>
        <w:rPr>
          <w:rFonts w:hint="default" w:ascii="Times New Roman Regular" w:hAnsi="Times New Roman Regular" w:cs="Times New Roman Regular"/>
          <w:sz w:val="24"/>
          <w:lang w:val="en-US"/>
        </w:rPr>
        <w:t>ed</w:t>
      </w:r>
      <w:r>
        <w:rPr>
          <w:rFonts w:ascii="Times New Roman Regular" w:hAnsi="Times New Roman Regular" w:cs="Times New Roman Regular"/>
          <w:sz w:val="24"/>
        </w:rPr>
        <w:t xml:space="preserve"> positive and statistically significant at the 10% level. This suggest</w:t>
      </w:r>
      <w:r>
        <w:rPr>
          <w:rFonts w:hint="default" w:ascii="Times New Roman Regular" w:hAnsi="Times New Roman Regular" w:cs="Times New Roman Regular"/>
          <w:sz w:val="24"/>
          <w:lang w:val="en-US"/>
        </w:rPr>
        <w:t>ed</w:t>
      </w:r>
      <w:r>
        <w:rPr>
          <w:rFonts w:ascii="Times New Roman Regular" w:hAnsi="Times New Roman Regular" w:cs="Times New Roman Regular"/>
          <w:sz w:val="24"/>
        </w:rPr>
        <w:t xml:space="preserve"> that our main results </w:t>
      </w:r>
      <w:r>
        <w:rPr>
          <w:rFonts w:hint="default" w:ascii="Times New Roman Regular" w:hAnsi="Times New Roman Regular" w:cs="Times New Roman Regular"/>
          <w:sz w:val="24"/>
          <w:lang w:val="en-US"/>
        </w:rPr>
        <w:t>were</w:t>
      </w:r>
      <w:r>
        <w:rPr>
          <w:rFonts w:ascii="Times New Roman Regular" w:hAnsi="Times New Roman Regular" w:cs="Times New Roman Regular"/>
          <w:sz w:val="24"/>
        </w:rPr>
        <w:t xml:space="preserve"> robust and not confounded by the influence of these overlapping reforms.</w:t>
      </w:r>
    </w:p>
    <w:tbl>
      <w:tblPr>
        <w:tblStyle w:val="10"/>
        <w:tblW w:w="0" w:type="auto"/>
        <w:tblInd w:w="0" w:type="dxa"/>
        <w:tblLayout w:type="autofit"/>
        <w:tblCellMar>
          <w:top w:w="0" w:type="dxa"/>
          <w:left w:w="0" w:type="dxa"/>
          <w:bottom w:w="0" w:type="dxa"/>
          <w:right w:w="0" w:type="dxa"/>
        </w:tblCellMar>
      </w:tblPr>
      <w:tblGrid>
        <w:gridCol w:w="1510"/>
        <w:gridCol w:w="2301"/>
        <w:gridCol w:w="2301"/>
        <w:gridCol w:w="2302"/>
      </w:tblGrid>
      <w:tr>
        <w:tc>
          <w:tcPr>
            <w:tcW w:w="8414" w:type="dxa"/>
            <w:gridSpan w:val="4"/>
            <w:tcBorders>
              <w:top w:val="nil"/>
              <w:left w:val="nil"/>
              <w:bottom w:val="double" w:color="auto" w:sz="4" w:space="0"/>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sz w:val="20"/>
                <w:szCs w:val="20"/>
              </w:rPr>
            </w:pPr>
            <w:r>
              <w:rPr>
                <w:rFonts w:ascii="Times New Roman Bold" w:hAnsi="Times New Roman Bold" w:cs="Times New Roman Bold"/>
                <w:b/>
                <w:sz w:val="20"/>
                <w:szCs w:val="20"/>
              </w:rPr>
              <w:t>Table</w:t>
            </w:r>
            <w:r>
              <w:rPr>
                <w:rFonts w:hint="eastAsia" w:ascii="Times New Roman Bold" w:hAnsi="Times New Roman Bold" w:cs="Times New Roman Bold"/>
                <w:b/>
                <w:sz w:val="20"/>
                <w:szCs w:val="20"/>
                <w:lang w:val="en-US" w:eastAsia="zh-CN"/>
              </w:rPr>
              <w:t xml:space="preserve"> </w:t>
            </w:r>
            <w:r>
              <w:rPr>
                <w:rFonts w:ascii="Times New Roman Bold" w:hAnsi="Times New Roman Bold" w:cs="Times New Roman Bold"/>
                <w:b/>
                <w:sz w:val="20"/>
                <w:szCs w:val="20"/>
              </w:rPr>
              <w:t>5</w:t>
            </w:r>
            <w:r>
              <w:rPr>
                <w:rFonts w:ascii="Times New Roman Regular" w:hAnsi="Times New Roman Regular" w:cs="Times New Roman Regular"/>
                <w:b/>
                <w:sz w:val="20"/>
                <w:szCs w:val="20"/>
              </w:rPr>
              <w:t xml:space="preserve"> </w:t>
            </w:r>
            <w:r>
              <w:rPr>
                <w:rFonts w:ascii="Times New Roman Regular" w:hAnsi="Times New Roman Regular" w:cs="Times New Roman Regular"/>
                <w:bCs/>
                <w:sz w:val="20"/>
                <w:szCs w:val="20"/>
              </w:rPr>
              <w:t>Confounding effects of other policies</w:t>
            </w:r>
          </w:p>
        </w:tc>
      </w:tr>
      <w:tr>
        <w:tc>
          <w:tcPr>
            <w:tcW w:w="1510" w:type="dxa"/>
            <w:tcBorders>
              <w:top w:val="double" w:color="auto" w:sz="4" w:space="0"/>
              <w:left w:val="nil"/>
              <w:bottom w:val="single" w:color="auto" w:sz="4" w:space="0"/>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sz w:val="20"/>
                <w:szCs w:val="20"/>
              </w:rPr>
            </w:pPr>
          </w:p>
        </w:tc>
        <w:tc>
          <w:tcPr>
            <w:tcW w:w="2301" w:type="dxa"/>
            <w:tcBorders>
              <w:top w:val="double" w:color="auto" w:sz="4" w:space="0"/>
              <w:left w:val="nil"/>
              <w:bottom w:val="single" w:color="auto" w:sz="4" w:space="0"/>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(1)</w:t>
            </w:r>
          </w:p>
        </w:tc>
        <w:tc>
          <w:tcPr>
            <w:tcW w:w="2301" w:type="dxa"/>
            <w:tcBorders>
              <w:top w:val="double" w:color="auto" w:sz="4" w:space="0"/>
              <w:left w:val="nil"/>
              <w:bottom w:val="single" w:color="auto" w:sz="4" w:space="0"/>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(2)</w:t>
            </w:r>
          </w:p>
        </w:tc>
        <w:tc>
          <w:tcPr>
            <w:tcW w:w="2302" w:type="dxa"/>
            <w:tcBorders>
              <w:top w:val="double" w:color="auto" w:sz="4" w:space="0"/>
              <w:left w:val="nil"/>
              <w:bottom w:val="single" w:color="auto" w:sz="4" w:space="0"/>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(3)</w:t>
            </w:r>
          </w:p>
        </w:tc>
      </w:tr>
      <w:tr>
        <w:tc>
          <w:tcPr>
            <w:tcW w:w="1510" w:type="dxa"/>
            <w:tcBorders>
              <w:top w:val="single" w:color="auto" w:sz="4" w:space="0"/>
              <w:left w:val="nil"/>
              <w:bottom w:val="single" w:color="auto" w:sz="4" w:space="0"/>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sz w:val="20"/>
                <w:szCs w:val="20"/>
              </w:rPr>
            </w:pPr>
          </w:p>
        </w:tc>
        <w:tc>
          <w:tcPr>
            <w:tcW w:w="2301" w:type="dxa"/>
            <w:tcBorders>
              <w:top w:val="single" w:color="auto" w:sz="4" w:space="0"/>
              <w:left w:val="nil"/>
              <w:bottom w:val="single" w:color="auto" w:sz="4" w:space="0"/>
              <w:right w:val="nil"/>
            </w:tcBorders>
            <w:shd w:val="clear" w:color="auto" w:fill="auto"/>
            <w:tcMar>
              <w:left w:w="100" w:type="dxa"/>
              <w:right w:w="100" w:type="dxa"/>
            </w:tcMar>
            <w:vAlign w:val="center"/>
          </w:tcPr>
          <w:p>
            <w:pPr>
              <w:widowControl/>
              <w:jc w:val="center"/>
              <w:rPr>
                <w:rFonts w:ascii="Times New Roman Regular" w:hAnsi="Times New Roman Regular" w:cs="Times New Roman Regular"/>
                <w:kern w:val="0"/>
                <w:sz w:val="20"/>
                <w:szCs w:val="20"/>
                <w:lang w:bidi="ar"/>
              </w:rPr>
            </w:pPr>
            <w:r>
              <w:rPr>
                <w:rFonts w:ascii="Times New Roman Regular" w:hAnsi="Times New Roman Regular" w:eastAsia="宋体" w:cs="Times New Roman Regular"/>
                <w:kern w:val="0"/>
                <w:sz w:val="20"/>
                <w:szCs w:val="20"/>
                <w:lang w:bidi="ar"/>
              </w:rPr>
              <w:t>Talent Attraction Policy</w:t>
            </w:r>
          </w:p>
        </w:tc>
        <w:tc>
          <w:tcPr>
            <w:tcW w:w="2301" w:type="dxa"/>
            <w:tcBorders>
              <w:top w:val="single" w:color="auto" w:sz="4" w:space="0"/>
              <w:left w:val="nil"/>
              <w:bottom w:val="single" w:color="auto" w:sz="4" w:space="0"/>
              <w:right w:val="nil"/>
            </w:tcBorders>
            <w:shd w:val="clear" w:color="auto" w:fill="auto"/>
            <w:tcMar>
              <w:left w:w="100" w:type="dxa"/>
              <w:right w:w="100" w:type="dxa"/>
            </w:tcMar>
            <w:vAlign w:val="center"/>
          </w:tcPr>
          <w:p>
            <w:pPr>
              <w:widowControl/>
              <w:jc w:val="center"/>
              <w:rPr>
                <w:rFonts w:ascii="Times New Roman Regular" w:hAnsi="Times New Roman Regular" w:cs="Times New Roman Regular"/>
                <w:kern w:val="0"/>
                <w:sz w:val="20"/>
                <w:szCs w:val="20"/>
                <w:lang w:bidi="ar"/>
              </w:rPr>
            </w:pPr>
            <w:r>
              <w:rPr>
                <w:rFonts w:ascii="Times New Roman Regular" w:hAnsi="Times New Roman Regular" w:eastAsia="宋体" w:cs="Times New Roman Regular"/>
                <w:kern w:val="0"/>
                <w:sz w:val="20"/>
                <w:szCs w:val="20"/>
                <w:lang w:bidi="ar"/>
              </w:rPr>
              <w:t>Smart City Pilot</w:t>
            </w:r>
          </w:p>
        </w:tc>
        <w:tc>
          <w:tcPr>
            <w:tcW w:w="2302" w:type="dxa"/>
            <w:tcBorders>
              <w:top w:val="single" w:color="auto" w:sz="4" w:space="0"/>
              <w:left w:val="nil"/>
              <w:bottom w:val="single" w:color="auto" w:sz="4" w:space="0"/>
              <w:right w:val="nil"/>
            </w:tcBorders>
            <w:shd w:val="clear" w:color="auto" w:fill="auto"/>
            <w:tcMar>
              <w:left w:w="100" w:type="dxa"/>
              <w:right w:w="100" w:type="dxa"/>
            </w:tcMar>
            <w:vAlign w:val="center"/>
          </w:tcPr>
          <w:p>
            <w:pPr>
              <w:widowControl/>
              <w:jc w:val="center"/>
              <w:rPr>
                <w:rFonts w:ascii="Times New Roman Regular" w:hAnsi="Times New Roman Regular" w:cs="Times New Roman Regular"/>
                <w:kern w:val="0"/>
                <w:sz w:val="20"/>
                <w:szCs w:val="20"/>
                <w:lang w:bidi="ar"/>
              </w:rPr>
            </w:pPr>
            <w:r>
              <w:rPr>
                <w:rFonts w:ascii="Times New Roman Regular" w:hAnsi="Times New Roman Regular" w:eastAsia="宋体" w:cs="Times New Roman Regular"/>
                <w:kern w:val="0"/>
                <w:sz w:val="20"/>
                <w:szCs w:val="20"/>
                <w:lang w:bidi="ar"/>
              </w:rPr>
              <w:t>Introduction of High-Speed Rail Service</w:t>
            </w:r>
          </w:p>
        </w:tc>
      </w:tr>
      <w:tr>
        <w:tc>
          <w:tcPr>
            <w:tcW w:w="1510" w:type="dxa"/>
            <w:tcBorders>
              <w:top w:val="single" w:color="auto" w:sz="4" w:space="0"/>
              <w:left w:val="nil"/>
              <w:bottom w:val="single" w:color="auto" w:sz="4" w:space="0"/>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sz w:val="20"/>
                <w:szCs w:val="20"/>
              </w:rPr>
            </w:pPr>
          </w:p>
        </w:tc>
        <w:tc>
          <w:tcPr>
            <w:tcW w:w="2301" w:type="dxa"/>
            <w:tcBorders>
              <w:top w:val="single" w:color="auto" w:sz="4" w:space="0"/>
              <w:left w:val="nil"/>
              <w:bottom w:val="single" w:color="auto" w:sz="4" w:space="0"/>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EMP</w:t>
            </w:r>
          </w:p>
        </w:tc>
        <w:tc>
          <w:tcPr>
            <w:tcW w:w="2301" w:type="dxa"/>
            <w:tcBorders>
              <w:top w:val="single" w:color="auto" w:sz="4" w:space="0"/>
              <w:left w:val="nil"/>
              <w:bottom w:val="single" w:color="auto" w:sz="4" w:space="0"/>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EMP</w:t>
            </w:r>
          </w:p>
        </w:tc>
        <w:tc>
          <w:tcPr>
            <w:tcW w:w="2302" w:type="dxa"/>
            <w:tcBorders>
              <w:top w:val="single" w:color="auto" w:sz="4" w:space="0"/>
              <w:left w:val="nil"/>
              <w:bottom w:val="single" w:color="auto" w:sz="4" w:space="0"/>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EMP</w:t>
            </w:r>
          </w:p>
        </w:tc>
      </w:tr>
      <w:tr>
        <w:tc>
          <w:tcPr>
            <w:tcW w:w="1510" w:type="dxa"/>
            <w:tcBorders>
              <w:top w:val="single" w:color="auto" w:sz="4" w:space="0"/>
              <w:left w:val="nil"/>
              <w:bottom w:val="nil"/>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sz w:val="20"/>
                <w:szCs w:val="20"/>
              </w:rPr>
            </w:pPr>
            <w:r>
              <w:rPr>
                <w:rFonts w:ascii="Times New Roman Regular" w:hAnsi="Times New Roman Regular" w:cs="Times New Roman Regular"/>
                <w:i/>
                <w:iCs/>
                <w:sz w:val="20"/>
                <w:szCs w:val="20"/>
              </w:rPr>
              <w:t>treat*post</w:t>
            </w:r>
          </w:p>
        </w:tc>
        <w:tc>
          <w:tcPr>
            <w:tcW w:w="2301" w:type="dxa"/>
            <w:tcBorders>
              <w:top w:val="single" w:color="auto" w:sz="4" w:space="0"/>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0.0625</w:t>
            </w:r>
            <w:r>
              <w:rPr>
                <w:rFonts w:hint="default" w:ascii="Times New Roman" w:hAnsi="Times New Roman" w:cs="Times New Roman"/>
                <w:kern w:val="0"/>
                <w:sz w:val="20"/>
                <w:szCs w:val="20"/>
                <w:vertAlign w:val="superscript"/>
                <w:lang w:val="en-US" w:eastAsia="zh-CN" w:bidi="ar"/>
              </w:rPr>
              <w:t>**</w:t>
            </w:r>
          </w:p>
        </w:tc>
        <w:tc>
          <w:tcPr>
            <w:tcW w:w="2301" w:type="dxa"/>
            <w:tcBorders>
              <w:top w:val="single" w:color="auto" w:sz="4" w:space="0"/>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0.0664</w:t>
            </w:r>
            <w:r>
              <w:rPr>
                <w:rFonts w:hint="default" w:ascii="Times New Roman" w:hAnsi="Times New Roman" w:cs="Times New Roman"/>
                <w:kern w:val="0"/>
                <w:sz w:val="20"/>
                <w:szCs w:val="20"/>
                <w:vertAlign w:val="superscript"/>
                <w:lang w:val="en-US" w:eastAsia="zh-CN" w:bidi="ar"/>
              </w:rPr>
              <w:t>**</w:t>
            </w:r>
          </w:p>
        </w:tc>
        <w:tc>
          <w:tcPr>
            <w:tcW w:w="2302" w:type="dxa"/>
            <w:tcBorders>
              <w:top w:val="single" w:color="auto" w:sz="4" w:space="0"/>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0.0647</w:t>
            </w:r>
            <w:r>
              <w:rPr>
                <w:rFonts w:hint="default" w:ascii="Times New Roman" w:hAnsi="Times New Roman" w:cs="Times New Roman"/>
                <w:kern w:val="0"/>
                <w:sz w:val="20"/>
                <w:szCs w:val="20"/>
                <w:vertAlign w:val="superscript"/>
                <w:lang w:val="en-US" w:eastAsia="zh-CN" w:bidi="ar"/>
              </w:rPr>
              <w:t>**</w:t>
            </w:r>
          </w:p>
        </w:tc>
      </w:tr>
      <w:tr>
        <w:tc>
          <w:tcPr>
            <w:tcW w:w="1510"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sz w:val="20"/>
                <w:szCs w:val="20"/>
              </w:rPr>
            </w:pPr>
          </w:p>
        </w:tc>
        <w:tc>
          <w:tcPr>
            <w:tcW w:w="23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(0.0288)</w:t>
            </w:r>
          </w:p>
        </w:tc>
        <w:tc>
          <w:tcPr>
            <w:tcW w:w="23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(0.0286)</w:t>
            </w:r>
          </w:p>
        </w:tc>
        <w:tc>
          <w:tcPr>
            <w:tcW w:w="230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(0.0286)</w:t>
            </w:r>
          </w:p>
        </w:tc>
      </w:tr>
      <w:tr>
        <w:tc>
          <w:tcPr>
            <w:tcW w:w="1510"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i/>
                <w:iCs/>
                <w:sz w:val="20"/>
                <w:szCs w:val="20"/>
              </w:rPr>
            </w:pPr>
            <w:r>
              <w:rPr>
                <w:rFonts w:ascii="Times New Roman Regular" w:hAnsi="Times New Roman Regular" w:cs="Times New Roman Regular"/>
                <w:i/>
                <w:iCs/>
                <w:sz w:val="20"/>
                <w:szCs w:val="20"/>
                <w:lang w:bidi="ar"/>
              </w:rPr>
              <w:t>did_talent</w:t>
            </w:r>
          </w:p>
        </w:tc>
        <w:tc>
          <w:tcPr>
            <w:tcW w:w="23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-0.0226</w:t>
            </w:r>
          </w:p>
        </w:tc>
        <w:tc>
          <w:tcPr>
            <w:tcW w:w="23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230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r>
      <w:tr>
        <w:tc>
          <w:tcPr>
            <w:tcW w:w="1510"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i/>
                <w:iCs/>
                <w:sz w:val="20"/>
                <w:szCs w:val="20"/>
              </w:rPr>
            </w:pPr>
          </w:p>
        </w:tc>
        <w:tc>
          <w:tcPr>
            <w:tcW w:w="23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(0.0227)</w:t>
            </w:r>
          </w:p>
        </w:tc>
        <w:tc>
          <w:tcPr>
            <w:tcW w:w="23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230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r>
      <w:tr>
        <w:tc>
          <w:tcPr>
            <w:tcW w:w="1510"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i/>
                <w:iCs/>
                <w:sz w:val="20"/>
                <w:szCs w:val="20"/>
              </w:rPr>
            </w:pPr>
            <w:r>
              <w:rPr>
                <w:rFonts w:ascii="Times New Roman Regular" w:hAnsi="Times New Roman Regular" w:cs="Times New Roman Regular"/>
                <w:i/>
                <w:iCs/>
                <w:sz w:val="20"/>
                <w:szCs w:val="20"/>
                <w:lang w:bidi="ar"/>
              </w:rPr>
              <w:t>did_smart</w:t>
            </w:r>
          </w:p>
        </w:tc>
        <w:tc>
          <w:tcPr>
            <w:tcW w:w="23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23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-0.0376</w:t>
            </w:r>
          </w:p>
        </w:tc>
        <w:tc>
          <w:tcPr>
            <w:tcW w:w="230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r>
      <w:tr>
        <w:tc>
          <w:tcPr>
            <w:tcW w:w="1510"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i/>
                <w:iCs/>
                <w:sz w:val="20"/>
                <w:szCs w:val="20"/>
              </w:rPr>
            </w:pPr>
          </w:p>
        </w:tc>
        <w:tc>
          <w:tcPr>
            <w:tcW w:w="23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23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(0.0285)</w:t>
            </w:r>
          </w:p>
        </w:tc>
        <w:tc>
          <w:tcPr>
            <w:tcW w:w="230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r>
      <w:tr>
        <w:tc>
          <w:tcPr>
            <w:tcW w:w="1510"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i/>
                <w:iCs/>
                <w:sz w:val="20"/>
                <w:szCs w:val="20"/>
              </w:rPr>
            </w:pPr>
            <w:r>
              <w:rPr>
                <w:rFonts w:ascii="Times New Roman Regular" w:hAnsi="Times New Roman Regular" w:cs="Times New Roman Regular"/>
                <w:i/>
                <w:iCs/>
                <w:sz w:val="20"/>
                <w:szCs w:val="20"/>
                <w:lang w:bidi="ar"/>
              </w:rPr>
              <w:t>did_rail</w:t>
            </w:r>
          </w:p>
        </w:tc>
        <w:tc>
          <w:tcPr>
            <w:tcW w:w="23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23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230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-0.0364</w:t>
            </w:r>
          </w:p>
        </w:tc>
      </w:tr>
      <w:tr>
        <w:tc>
          <w:tcPr>
            <w:tcW w:w="1510"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i/>
                <w:iCs/>
                <w:sz w:val="20"/>
                <w:szCs w:val="20"/>
              </w:rPr>
            </w:pPr>
          </w:p>
        </w:tc>
        <w:tc>
          <w:tcPr>
            <w:tcW w:w="23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23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230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(0.0274)</w:t>
            </w:r>
          </w:p>
        </w:tc>
      </w:tr>
      <w:tr>
        <w:tc>
          <w:tcPr>
            <w:tcW w:w="1510"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_cons</w:t>
            </w:r>
          </w:p>
        </w:tc>
        <w:tc>
          <w:tcPr>
            <w:tcW w:w="23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55.0716</w:t>
            </w:r>
            <w:r>
              <w:rPr>
                <w:rFonts w:hint="default" w:ascii="Times New Roman" w:hAnsi="Times New Roman" w:cs="Times New Roman"/>
                <w:kern w:val="0"/>
                <w:sz w:val="20"/>
                <w:szCs w:val="20"/>
                <w:vertAlign w:val="superscript"/>
                <w:lang w:val="en-US" w:eastAsia="zh-CN" w:bidi="ar"/>
              </w:rPr>
              <w:t>***</w:t>
            </w:r>
          </w:p>
        </w:tc>
        <w:tc>
          <w:tcPr>
            <w:tcW w:w="23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55.0669</w:t>
            </w:r>
            <w:r>
              <w:rPr>
                <w:rFonts w:hint="default" w:ascii="Times New Roman" w:hAnsi="Times New Roman" w:cs="Times New Roman"/>
                <w:kern w:val="0"/>
                <w:sz w:val="20"/>
                <w:szCs w:val="20"/>
                <w:vertAlign w:val="superscript"/>
                <w:lang w:val="en-US" w:eastAsia="zh-CN" w:bidi="ar"/>
              </w:rPr>
              <w:t>***</w:t>
            </w:r>
          </w:p>
        </w:tc>
        <w:tc>
          <w:tcPr>
            <w:tcW w:w="230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55.0653</w:t>
            </w:r>
            <w:r>
              <w:rPr>
                <w:rFonts w:hint="default" w:ascii="Times New Roman" w:hAnsi="Times New Roman" w:cs="Times New Roman"/>
                <w:kern w:val="0"/>
                <w:sz w:val="20"/>
                <w:szCs w:val="20"/>
                <w:vertAlign w:val="superscript"/>
                <w:lang w:val="en-US" w:eastAsia="zh-CN" w:bidi="ar"/>
              </w:rPr>
              <w:t>***</w:t>
            </w:r>
          </w:p>
        </w:tc>
      </w:tr>
      <w:tr>
        <w:tc>
          <w:tcPr>
            <w:tcW w:w="1510"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sz w:val="20"/>
                <w:szCs w:val="20"/>
              </w:rPr>
            </w:pPr>
          </w:p>
        </w:tc>
        <w:tc>
          <w:tcPr>
            <w:tcW w:w="23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(0.1922)</w:t>
            </w:r>
          </w:p>
        </w:tc>
        <w:tc>
          <w:tcPr>
            <w:tcW w:w="23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(0.1910)</w:t>
            </w:r>
          </w:p>
        </w:tc>
        <w:tc>
          <w:tcPr>
            <w:tcW w:w="230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(0.1903)</w:t>
            </w:r>
          </w:p>
        </w:tc>
      </w:tr>
      <w:tr>
        <w:tc>
          <w:tcPr>
            <w:tcW w:w="1510"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Controls</w:t>
            </w:r>
          </w:p>
        </w:tc>
        <w:tc>
          <w:tcPr>
            <w:tcW w:w="23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Yes</w:t>
            </w:r>
          </w:p>
        </w:tc>
        <w:tc>
          <w:tcPr>
            <w:tcW w:w="23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Yes</w:t>
            </w:r>
          </w:p>
        </w:tc>
        <w:tc>
          <w:tcPr>
            <w:tcW w:w="230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Yes</w:t>
            </w:r>
          </w:p>
        </w:tc>
      </w:tr>
      <w:tr>
        <w:tc>
          <w:tcPr>
            <w:tcW w:w="1510"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CITY</w:t>
            </w:r>
          </w:p>
        </w:tc>
        <w:tc>
          <w:tcPr>
            <w:tcW w:w="23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Yes</w:t>
            </w:r>
          </w:p>
        </w:tc>
        <w:tc>
          <w:tcPr>
            <w:tcW w:w="23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Yes</w:t>
            </w:r>
          </w:p>
        </w:tc>
        <w:tc>
          <w:tcPr>
            <w:tcW w:w="230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Yes</w:t>
            </w:r>
          </w:p>
        </w:tc>
      </w:tr>
      <w:tr>
        <w:tc>
          <w:tcPr>
            <w:tcW w:w="1510"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YEAR</w:t>
            </w:r>
          </w:p>
        </w:tc>
        <w:tc>
          <w:tcPr>
            <w:tcW w:w="23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Yes</w:t>
            </w:r>
          </w:p>
        </w:tc>
        <w:tc>
          <w:tcPr>
            <w:tcW w:w="23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Yes</w:t>
            </w:r>
          </w:p>
        </w:tc>
        <w:tc>
          <w:tcPr>
            <w:tcW w:w="230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Yes</w:t>
            </w:r>
          </w:p>
        </w:tc>
      </w:tr>
      <w:tr>
        <w:tc>
          <w:tcPr>
            <w:tcW w:w="1510"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sz w:val="20"/>
                <w:szCs w:val="20"/>
              </w:rPr>
            </w:pPr>
            <w:r>
              <w:rPr>
                <w:rFonts w:ascii="Times New Roman Regular" w:hAnsi="Times New Roman Regular" w:cs="Times New Roman Regular"/>
                <w:i/>
                <w:iCs/>
                <w:sz w:val="20"/>
                <w:szCs w:val="20"/>
                <w:lang w:bidi="ar"/>
              </w:rPr>
              <w:t>N</w:t>
            </w:r>
          </w:p>
        </w:tc>
        <w:tc>
          <w:tcPr>
            <w:tcW w:w="23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4137</w:t>
            </w:r>
          </w:p>
        </w:tc>
        <w:tc>
          <w:tcPr>
            <w:tcW w:w="23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4137</w:t>
            </w:r>
          </w:p>
        </w:tc>
        <w:tc>
          <w:tcPr>
            <w:tcW w:w="230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4137</w:t>
            </w:r>
          </w:p>
        </w:tc>
      </w:tr>
      <w:tr>
        <w:tc>
          <w:tcPr>
            <w:tcW w:w="1510" w:type="dxa"/>
            <w:tcBorders>
              <w:top w:val="nil"/>
              <w:left w:val="nil"/>
              <w:bottom w:val="double" w:color="auto" w:sz="4" w:space="0"/>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r2_</w:t>
            </w:r>
            <w:r>
              <w:rPr>
                <w:rFonts w:hint="eastAsia" w:ascii="Times New Roman Regular" w:hAnsi="Times New Roman Regular" w:cs="Times New Roman Regular"/>
                <w:sz w:val="20"/>
                <w:szCs w:val="20"/>
                <w:lang w:val="en-US" w:eastAsia="zh-CN" w:bidi="ar"/>
              </w:rPr>
              <w:t>within</w:t>
            </w:r>
          </w:p>
        </w:tc>
        <w:tc>
          <w:tcPr>
            <w:tcW w:w="2301" w:type="dxa"/>
            <w:tcBorders>
              <w:top w:val="nil"/>
              <w:left w:val="nil"/>
              <w:bottom w:val="double" w:color="auto" w:sz="4" w:space="0"/>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0.1256</w:t>
            </w:r>
          </w:p>
        </w:tc>
        <w:tc>
          <w:tcPr>
            <w:tcW w:w="2301" w:type="dxa"/>
            <w:tcBorders>
              <w:top w:val="nil"/>
              <w:left w:val="nil"/>
              <w:bottom w:val="double" w:color="auto" w:sz="4" w:space="0"/>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0.1258</w:t>
            </w:r>
          </w:p>
        </w:tc>
        <w:tc>
          <w:tcPr>
            <w:tcW w:w="2302" w:type="dxa"/>
            <w:tcBorders>
              <w:top w:val="nil"/>
              <w:left w:val="nil"/>
              <w:bottom w:val="double" w:color="auto" w:sz="4" w:space="0"/>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0.1258</w:t>
            </w:r>
          </w:p>
        </w:tc>
      </w:tr>
    </w:tbl>
    <w:p>
      <w:pPr>
        <w:pStyle w:val="8"/>
        <w:widowControl/>
        <w:spacing w:beforeAutospacing="0" w:afterAutospacing="0"/>
        <w:jc w:val="both"/>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Standard errors in parentheses</w:t>
      </w:r>
    </w:p>
    <w:p>
      <w:pPr>
        <w:pStyle w:val="8"/>
        <w:widowControl/>
        <w:spacing w:beforeAutospacing="0" w:after="157" w:afterLines="50" w:afterAutospacing="0"/>
        <w:jc w:val="both"/>
        <w:rPr>
          <w:rFonts w:ascii="Times New Roman Regular" w:hAnsi="Times New Roman Regular" w:eastAsia="STKaiti" w:cs="Times New Roman Regular"/>
          <w:sz w:val="22"/>
          <w:szCs w:val="22"/>
        </w:rPr>
      </w:pPr>
      <w:r>
        <w:rPr>
          <w:rFonts w:ascii="Times New Roman Regular" w:hAnsi="Times New Roman Regular" w:cs="Times New Roman Regular"/>
          <w:sz w:val="20"/>
          <w:szCs w:val="20"/>
          <w:vertAlign w:val="superscript"/>
          <w:lang w:bidi="ar"/>
        </w:rPr>
        <w:t>*</w:t>
      </w:r>
      <w:r>
        <w:rPr>
          <w:rFonts w:ascii="Times New Roman Regular" w:hAnsi="Times New Roman Regular" w:cs="Times New Roman Regular"/>
          <w:sz w:val="20"/>
          <w:szCs w:val="20"/>
          <w:lang w:bidi="ar"/>
        </w:rPr>
        <w:t xml:space="preserve"> </w:t>
      </w:r>
      <w:r>
        <w:rPr>
          <w:rFonts w:ascii="Times New Roman Regular" w:hAnsi="Times New Roman Regular" w:cs="Times New Roman Regular"/>
          <w:i/>
          <w:iCs/>
          <w:sz w:val="20"/>
          <w:szCs w:val="20"/>
          <w:lang w:bidi="ar"/>
        </w:rPr>
        <w:t>p</w:t>
      </w:r>
      <w:r>
        <w:rPr>
          <w:rFonts w:ascii="Times New Roman Regular" w:hAnsi="Times New Roman Regular" w:cs="Times New Roman Regular"/>
          <w:sz w:val="20"/>
          <w:szCs w:val="20"/>
          <w:lang w:bidi="ar"/>
        </w:rPr>
        <w:t xml:space="preserve"> &lt; 0.10, </w:t>
      </w:r>
      <w:r>
        <w:rPr>
          <w:rFonts w:ascii="Times New Roman Regular" w:hAnsi="Times New Roman Regular" w:cs="Times New Roman Regular"/>
          <w:sz w:val="20"/>
          <w:szCs w:val="20"/>
          <w:vertAlign w:val="superscript"/>
          <w:lang w:bidi="ar"/>
        </w:rPr>
        <w:t>**</w:t>
      </w:r>
      <w:r>
        <w:rPr>
          <w:rFonts w:ascii="Times New Roman Regular" w:hAnsi="Times New Roman Regular" w:cs="Times New Roman Regular"/>
          <w:sz w:val="20"/>
          <w:szCs w:val="20"/>
          <w:lang w:bidi="ar"/>
        </w:rPr>
        <w:t xml:space="preserve"> </w:t>
      </w:r>
      <w:r>
        <w:rPr>
          <w:rFonts w:ascii="Times New Roman Regular" w:hAnsi="Times New Roman Regular" w:cs="Times New Roman Regular"/>
          <w:i/>
          <w:iCs/>
          <w:sz w:val="20"/>
          <w:szCs w:val="20"/>
          <w:lang w:bidi="ar"/>
        </w:rPr>
        <w:t>p</w:t>
      </w:r>
      <w:r>
        <w:rPr>
          <w:rFonts w:ascii="Times New Roman Regular" w:hAnsi="Times New Roman Regular" w:cs="Times New Roman Regular"/>
          <w:sz w:val="20"/>
          <w:szCs w:val="20"/>
          <w:lang w:bidi="ar"/>
        </w:rPr>
        <w:t xml:space="preserve"> &lt; 0.05, </w:t>
      </w:r>
      <w:r>
        <w:rPr>
          <w:rFonts w:ascii="Times New Roman Regular" w:hAnsi="Times New Roman Regular" w:cs="Times New Roman Regular"/>
          <w:sz w:val="20"/>
          <w:szCs w:val="20"/>
          <w:vertAlign w:val="superscript"/>
          <w:lang w:bidi="ar"/>
        </w:rPr>
        <w:t>***</w:t>
      </w:r>
      <w:r>
        <w:rPr>
          <w:rFonts w:ascii="Times New Roman Regular" w:hAnsi="Times New Roman Regular" w:cs="Times New Roman Regular"/>
          <w:sz w:val="20"/>
          <w:szCs w:val="20"/>
          <w:lang w:bidi="ar"/>
        </w:rPr>
        <w:t xml:space="preserve"> </w:t>
      </w:r>
      <w:r>
        <w:rPr>
          <w:rFonts w:ascii="Times New Roman Regular" w:hAnsi="Times New Roman Regular" w:cs="Times New Roman Regular"/>
          <w:i/>
          <w:iCs/>
          <w:sz w:val="20"/>
          <w:szCs w:val="20"/>
          <w:lang w:bidi="ar"/>
        </w:rPr>
        <w:t>p</w:t>
      </w:r>
      <w:r>
        <w:rPr>
          <w:rFonts w:ascii="Times New Roman Regular" w:hAnsi="Times New Roman Regular" w:cs="Times New Roman Regular"/>
          <w:sz w:val="20"/>
          <w:szCs w:val="20"/>
          <w:lang w:bidi="ar"/>
        </w:rPr>
        <w:t xml:space="preserve"> &lt; 0.01</w:t>
      </w:r>
    </w:p>
    <w:p>
      <w:pPr>
        <w:spacing w:before="0" w:beforeLines="0" w:after="157" w:afterLines="50"/>
        <w:rPr>
          <w:rFonts w:ascii="Times New Roman Bold Italic" w:hAnsi="Times New Roman Bold Italic" w:cs="Times New Roman Bold Italic"/>
          <w:b/>
          <w:i/>
          <w:iCs/>
          <w:sz w:val="22"/>
          <w:szCs w:val="22"/>
        </w:rPr>
      </w:pPr>
      <w:r>
        <w:rPr>
          <w:rFonts w:hint="eastAsia" w:ascii="Times New Roman Bold Italic" w:hAnsi="Times New Roman Bold Italic" w:cs="Times New Roman Bold Italic"/>
          <w:b/>
          <w:i/>
          <w:iCs/>
          <w:sz w:val="22"/>
          <w:szCs w:val="22"/>
          <w:lang w:val="en-US" w:eastAsia="zh-CN"/>
        </w:rPr>
        <w:t>4</w:t>
      </w:r>
      <w:r>
        <w:rPr>
          <w:rFonts w:ascii="Times New Roman Bold Italic" w:hAnsi="Times New Roman Bold Italic" w:cs="Times New Roman Bold Italic"/>
          <w:b/>
          <w:i/>
          <w:iCs/>
          <w:sz w:val="22"/>
          <w:szCs w:val="22"/>
        </w:rPr>
        <w:t xml:space="preserve">.2.5 Double </w:t>
      </w:r>
      <w:r>
        <w:rPr>
          <w:rFonts w:hint="eastAsia" w:ascii="Times New Roman Bold Italic" w:hAnsi="Times New Roman Bold Italic" w:cs="Times New Roman Bold Italic"/>
          <w:b/>
          <w:i/>
          <w:iCs/>
          <w:sz w:val="22"/>
          <w:szCs w:val="22"/>
          <w:lang w:val="en-US" w:eastAsia="zh-CN"/>
        </w:rPr>
        <w:t>m</w:t>
      </w:r>
      <w:r>
        <w:rPr>
          <w:rFonts w:ascii="Times New Roman Bold" w:hAnsi="Times New Roman Bold" w:cs="Times New Roman Bold"/>
          <w:b/>
          <w:bCs/>
          <w:i/>
          <w:iCs/>
          <w:sz w:val="22"/>
          <w:szCs w:val="22"/>
        </w:rPr>
        <w:t xml:space="preserve">achine </w:t>
      </w:r>
      <w:r>
        <w:rPr>
          <w:rFonts w:hint="eastAsia" w:ascii="Times New Roman Bold" w:hAnsi="Times New Roman Bold" w:cs="Times New Roman Bold"/>
          <w:b/>
          <w:bCs/>
          <w:i/>
          <w:iCs/>
          <w:sz w:val="22"/>
          <w:szCs w:val="22"/>
          <w:lang w:val="en-US" w:eastAsia="zh-CN"/>
        </w:rPr>
        <w:t>l</w:t>
      </w:r>
      <w:r>
        <w:rPr>
          <w:rFonts w:ascii="Times New Roman Bold Italic" w:hAnsi="Times New Roman Bold Italic" w:cs="Times New Roman Bold Italic"/>
          <w:b/>
          <w:i/>
          <w:iCs/>
          <w:sz w:val="22"/>
          <w:szCs w:val="22"/>
        </w:rPr>
        <w:t>earning-</w:t>
      </w:r>
      <w:r>
        <w:rPr>
          <w:rFonts w:hint="eastAsia" w:ascii="Times New Roman Bold Italic" w:hAnsi="Times New Roman Bold Italic" w:cs="Times New Roman Bold Italic"/>
          <w:b/>
          <w:i/>
          <w:iCs/>
          <w:sz w:val="22"/>
          <w:szCs w:val="22"/>
          <w:lang w:val="en-US" w:eastAsia="zh-CN"/>
        </w:rPr>
        <w:t>b</w:t>
      </w:r>
      <w:r>
        <w:rPr>
          <w:rFonts w:ascii="Times New Roman Bold Italic" w:hAnsi="Times New Roman Bold Italic" w:cs="Times New Roman Bold Italic"/>
          <w:b/>
          <w:i/>
          <w:iCs/>
          <w:sz w:val="22"/>
          <w:szCs w:val="22"/>
        </w:rPr>
        <w:t xml:space="preserve">ased </w:t>
      </w:r>
      <w:r>
        <w:rPr>
          <w:rFonts w:hint="eastAsia" w:ascii="Times New Roman Bold Italic" w:hAnsi="Times New Roman Bold Italic" w:cs="Times New Roman Bold Italic"/>
          <w:b/>
          <w:i/>
          <w:iCs/>
          <w:sz w:val="22"/>
          <w:szCs w:val="22"/>
          <w:lang w:val="en-US" w:eastAsia="zh-CN"/>
        </w:rPr>
        <w:t>r</w:t>
      </w:r>
      <w:r>
        <w:rPr>
          <w:rFonts w:ascii="Times New Roman Bold Italic" w:hAnsi="Times New Roman Bold Italic" w:cs="Times New Roman Bold Italic"/>
          <w:b/>
          <w:i/>
          <w:iCs/>
          <w:sz w:val="22"/>
          <w:szCs w:val="22"/>
        </w:rPr>
        <w:t>e-estimation</w:t>
      </w:r>
    </w:p>
    <w:p>
      <w:pPr>
        <w:pStyle w:val="8"/>
        <w:widowControl/>
        <w:spacing w:beforeAutospacing="0" w:after="157" w:afterLines="50" w:afterAutospacing="0"/>
        <w:ind w:firstLine="220" w:firstLineChars="100"/>
        <w:jc w:val="both"/>
        <w:rPr>
          <w:rFonts w:ascii="Times New Roman Regular" w:hAnsi="Times New Roman Regular" w:cs="Times New Roman Regular"/>
          <w:i/>
          <w:kern w:val="2"/>
          <w:sz w:val="22"/>
          <w:szCs w:val="22"/>
        </w:rPr>
      </w:pPr>
      <w:r>
        <w:rPr>
          <w:rFonts w:ascii="Times New Roman Regular" w:hAnsi="Times New Roman Regular" w:eastAsia="STKaiti" w:cs="Times New Roman Regular"/>
          <w:sz w:val="22"/>
          <w:szCs w:val="22"/>
        </w:rPr>
        <w:t>Although the preceding sections ha</w:t>
      </w:r>
      <w:r>
        <w:rPr>
          <w:rFonts w:hint="default" w:ascii="Times New Roman Regular" w:hAnsi="Times New Roman Regular" w:eastAsia="STKaiti" w:cs="Times New Roman Regular"/>
          <w:sz w:val="22"/>
          <w:szCs w:val="22"/>
          <w:lang w:val="en-US"/>
        </w:rPr>
        <w:t>d</w:t>
      </w:r>
      <w:r>
        <w:rPr>
          <w:rFonts w:ascii="Times New Roman Regular" w:hAnsi="Times New Roman Regular" w:eastAsia="STKaiti" w:cs="Times New Roman Regular"/>
          <w:sz w:val="22"/>
          <w:szCs w:val="22"/>
        </w:rPr>
        <w:t xml:space="preserve"> verified the validity of the baseline </w:t>
      </w:r>
      <w:r>
        <w:rPr>
          <w:rFonts w:hint="eastAsia" w:ascii="Times New Roman Regular" w:hAnsi="Times New Roman Regular" w:eastAsia="STKaiti" w:cs="Times New Roman Regular"/>
          <w:sz w:val="22"/>
          <w:szCs w:val="22"/>
          <w:lang w:val="en-US" w:eastAsia="zh-CN"/>
        </w:rPr>
        <w:t>DID</w:t>
      </w:r>
      <w:r>
        <w:rPr>
          <w:rFonts w:ascii="Times New Roman Regular" w:hAnsi="Times New Roman Regular" w:eastAsia="STKaiti" w:cs="Times New Roman Regular"/>
          <w:sz w:val="22"/>
          <w:szCs w:val="22"/>
        </w:rPr>
        <w:t xml:space="preserve"> estimates through the parallel trends test and a series of robustness checks, </w:t>
      </w:r>
      <w:r>
        <w:rPr>
          <w:rStyle w:val="13"/>
          <w:rFonts w:ascii="Times New Roman Regular" w:hAnsi="Times New Roman Regular" w:eastAsia="STKaiti" w:cs="Times New Roman Regular"/>
          <w:b w:val="0"/>
          <w:sz w:val="22"/>
          <w:szCs w:val="22"/>
        </w:rPr>
        <w:t>recent studies suggest</w:t>
      </w:r>
      <w:r>
        <w:rPr>
          <w:rStyle w:val="13"/>
          <w:rFonts w:hint="default" w:ascii="Times New Roman Regular" w:hAnsi="Times New Roman Regular" w:eastAsia="STKaiti" w:cs="Times New Roman Regular"/>
          <w:b w:val="0"/>
          <w:sz w:val="22"/>
          <w:szCs w:val="22"/>
          <w:lang w:val="en-US"/>
        </w:rPr>
        <w:t>ed</w:t>
      </w:r>
      <w:r>
        <w:rPr>
          <w:rStyle w:val="13"/>
          <w:rFonts w:ascii="Times New Roman Regular" w:hAnsi="Times New Roman Regular" w:eastAsia="STKaiti" w:cs="Times New Roman Regular"/>
          <w:b w:val="0"/>
          <w:sz w:val="22"/>
          <w:szCs w:val="22"/>
        </w:rPr>
        <w:t xml:space="preserve"> that even under valid identification assumptions, time-varying control variables may still </w:t>
      </w:r>
      <w:r>
        <w:rPr>
          <w:rStyle w:val="13"/>
          <w:rFonts w:hint="default" w:ascii="Times New Roman Regular" w:hAnsi="Times New Roman Regular" w:eastAsia="STKaiti" w:cs="Times New Roman Regular"/>
          <w:b w:val="0"/>
          <w:sz w:val="22"/>
          <w:szCs w:val="22"/>
          <w:lang w:val="en-US"/>
        </w:rPr>
        <w:t xml:space="preserve">have </w:t>
      </w:r>
      <w:r>
        <w:rPr>
          <w:rStyle w:val="13"/>
          <w:rFonts w:ascii="Times New Roman Regular" w:hAnsi="Times New Roman Regular" w:eastAsia="STKaiti" w:cs="Times New Roman Regular"/>
          <w:b w:val="0"/>
          <w:sz w:val="22"/>
          <w:szCs w:val="22"/>
        </w:rPr>
        <w:t>introduce</w:t>
      </w:r>
      <w:r>
        <w:rPr>
          <w:rStyle w:val="13"/>
          <w:rFonts w:hint="default" w:ascii="Times New Roman Regular" w:hAnsi="Times New Roman Regular" w:eastAsia="STKaiti" w:cs="Times New Roman Regular"/>
          <w:b w:val="0"/>
          <w:sz w:val="22"/>
          <w:szCs w:val="22"/>
          <w:lang w:val="en-US"/>
        </w:rPr>
        <w:t>d</w:t>
      </w:r>
      <w:r>
        <w:rPr>
          <w:rStyle w:val="13"/>
          <w:rFonts w:ascii="Times New Roman Regular" w:hAnsi="Times New Roman Regular" w:eastAsia="STKaiti" w:cs="Times New Roman Regular"/>
          <w:b w:val="0"/>
          <w:sz w:val="22"/>
          <w:szCs w:val="22"/>
        </w:rPr>
        <w:t xml:space="preserve"> bias in two-way fixed effects </w:t>
      </w:r>
      <w:r>
        <w:rPr>
          <w:rStyle w:val="13"/>
          <w:rFonts w:hint="eastAsia" w:ascii="Times New Roman Regular" w:hAnsi="Times New Roman Regular" w:eastAsia="STKaiti" w:cs="Times New Roman Regular"/>
          <w:b w:val="0"/>
          <w:sz w:val="22"/>
          <w:szCs w:val="22"/>
          <w:lang w:val="en-US" w:eastAsia="zh-CN"/>
        </w:rPr>
        <w:t xml:space="preserve">DID </w:t>
      </w:r>
      <w:r>
        <w:rPr>
          <w:rStyle w:val="13"/>
          <w:rFonts w:ascii="Times New Roman Regular" w:hAnsi="Times New Roman Regular" w:eastAsia="STKaiti" w:cs="Times New Roman Regular"/>
          <w:b w:val="0"/>
          <w:sz w:val="22"/>
          <w:szCs w:val="22"/>
        </w:rPr>
        <w:t>estimations</w:t>
      </w:r>
      <w:r>
        <w:rPr>
          <w:rFonts w:ascii="Times New Roman Regular" w:hAnsi="Times New Roman Regular" w:eastAsia="STKaiti" w:cs="Times New Roman Regular"/>
          <w:sz w:val="22"/>
          <w:szCs w:val="22"/>
        </w:rPr>
        <w:t>. To obtain a more accurate estimate of the causal effect of venture capital on firm innovation, this study adopt</w:t>
      </w:r>
      <w:r>
        <w:rPr>
          <w:rFonts w:hint="default" w:ascii="Times New Roman Regular" w:hAnsi="Times New Roman Regular" w:eastAsia="STKaiti" w:cs="Times New Roman Regular"/>
          <w:sz w:val="22"/>
          <w:szCs w:val="22"/>
          <w:lang w:val="en-US"/>
        </w:rPr>
        <w:t>ed</w:t>
      </w:r>
      <w:r>
        <w:rPr>
          <w:rFonts w:ascii="Times New Roman Regular" w:hAnsi="Times New Roman Regular" w:eastAsia="STKaiti" w:cs="Times New Roman Regular"/>
          <w:sz w:val="22"/>
          <w:szCs w:val="22"/>
        </w:rPr>
        <w:t xml:space="preserve"> the </w:t>
      </w:r>
      <w:r>
        <w:rPr>
          <w:rStyle w:val="13"/>
          <w:rFonts w:ascii="Times New Roman Regular" w:hAnsi="Times New Roman Regular" w:eastAsia="STKaiti" w:cs="Times New Roman Regular"/>
          <w:b w:val="0"/>
          <w:sz w:val="22"/>
          <w:szCs w:val="22"/>
        </w:rPr>
        <w:t>Double Machine Learning (DML)</w:t>
      </w:r>
      <w:r>
        <w:rPr>
          <w:rFonts w:ascii="Times New Roman Regular" w:hAnsi="Times New Roman Regular" w:eastAsia="STKaiti" w:cs="Times New Roman Regular"/>
          <w:sz w:val="22"/>
          <w:szCs w:val="22"/>
        </w:rPr>
        <w:t xml:space="preserve"> framework proposed by Chernozhukov et al. (2018).</w:t>
      </w:r>
      <w:r>
        <w:rPr>
          <w:rFonts w:hint="default" w:ascii="Times New Roman Regular" w:hAnsi="Times New Roman Regular" w:eastAsia="STKaiti" w:cs="Times New Roman Regular"/>
          <w:sz w:val="22"/>
          <w:szCs w:val="22"/>
          <w:lang w:val="en-US"/>
        </w:rPr>
        <w:t xml:space="preserve"> </w:t>
      </w:r>
      <w:r>
        <w:rPr>
          <w:rFonts w:ascii="Times New Roman Regular" w:hAnsi="Times New Roman Regular" w:eastAsia="STKaiti" w:cs="Times New Roman Regular"/>
          <w:sz w:val="22"/>
          <w:szCs w:val="22"/>
        </w:rPr>
        <w:t>The DML approach relie</w:t>
      </w:r>
      <w:r>
        <w:rPr>
          <w:rFonts w:hint="default" w:ascii="Times New Roman Regular" w:hAnsi="Times New Roman Regular" w:eastAsia="STKaiti" w:cs="Times New Roman Regular"/>
          <w:sz w:val="22"/>
          <w:szCs w:val="22"/>
          <w:lang w:val="en-US"/>
        </w:rPr>
        <w:t>d</w:t>
      </w:r>
      <w:r>
        <w:rPr>
          <w:rFonts w:ascii="Times New Roman Regular" w:hAnsi="Times New Roman Regular" w:eastAsia="STKaiti" w:cs="Times New Roman Regular"/>
          <w:sz w:val="22"/>
          <w:szCs w:val="22"/>
        </w:rPr>
        <w:t xml:space="preserve"> on </w:t>
      </w:r>
      <w:r>
        <w:rPr>
          <w:rStyle w:val="13"/>
          <w:rFonts w:ascii="Times New Roman Regular" w:hAnsi="Times New Roman Regular" w:eastAsia="STKaiti" w:cs="Times New Roman Regular"/>
          <w:b w:val="0"/>
          <w:sz w:val="22"/>
          <w:szCs w:val="22"/>
        </w:rPr>
        <w:t>Neyman orthogonal moment functions</w:t>
      </w:r>
      <w:r>
        <w:rPr>
          <w:rFonts w:ascii="Times New Roman Regular" w:hAnsi="Times New Roman Regular" w:eastAsia="STKaiti" w:cs="Times New Roman Regular"/>
          <w:sz w:val="22"/>
          <w:szCs w:val="22"/>
        </w:rPr>
        <w:t xml:space="preserve"> combined with cross-fitting, which help</w:t>
      </w:r>
      <w:r>
        <w:rPr>
          <w:rFonts w:hint="default" w:ascii="Times New Roman Regular" w:hAnsi="Times New Roman Regular" w:eastAsia="STKaiti" w:cs="Times New Roman Regular"/>
          <w:sz w:val="22"/>
          <w:szCs w:val="22"/>
          <w:lang w:val="en-US"/>
        </w:rPr>
        <w:t>ed</w:t>
      </w:r>
      <w:r>
        <w:rPr>
          <w:rFonts w:ascii="Times New Roman Regular" w:hAnsi="Times New Roman Regular" w:eastAsia="STKaiti" w:cs="Times New Roman Regular"/>
          <w:sz w:val="22"/>
          <w:szCs w:val="22"/>
        </w:rPr>
        <w:t xml:space="preserve"> address two common challenges in high-dimensional causal inference: </w:t>
      </w:r>
      <w:r>
        <w:rPr>
          <w:rStyle w:val="13"/>
          <w:rFonts w:ascii="Times New Roman Regular" w:hAnsi="Times New Roman Regular" w:eastAsia="STKaiti" w:cs="Times New Roman Regular"/>
          <w:b w:val="0"/>
          <w:sz w:val="22"/>
          <w:szCs w:val="22"/>
        </w:rPr>
        <w:t>bias arising from nonlinear relationships</w:t>
      </w:r>
      <w:r>
        <w:rPr>
          <w:rFonts w:ascii="Times New Roman Regular" w:hAnsi="Times New Roman Regular" w:eastAsia="STKaiti" w:cs="Times New Roman Regular"/>
          <w:sz w:val="22"/>
          <w:szCs w:val="22"/>
        </w:rPr>
        <w:t xml:space="preserve"> and the </w:t>
      </w:r>
      <w:r>
        <w:rPr>
          <w:rStyle w:val="13"/>
          <w:rFonts w:ascii="Times New Roman Regular" w:hAnsi="Times New Roman Regular" w:eastAsia="STKaiti" w:cs="Times New Roman Regular"/>
          <w:b w:val="0"/>
          <w:sz w:val="22"/>
          <w:szCs w:val="22"/>
        </w:rPr>
        <w:t>curse of dimensionality</w:t>
      </w:r>
      <w:r>
        <w:rPr>
          <w:rFonts w:ascii="Times New Roman Regular" w:hAnsi="Times New Roman Regular" w:eastAsia="STKaiti" w:cs="Times New Roman Regular"/>
          <w:sz w:val="22"/>
          <w:szCs w:val="22"/>
        </w:rPr>
        <w:t>. As a result, DML provide</w:t>
      </w:r>
      <w:r>
        <w:rPr>
          <w:rFonts w:hint="default" w:ascii="Times New Roman Regular" w:hAnsi="Times New Roman Regular" w:eastAsia="STKaiti" w:cs="Times New Roman Regular"/>
          <w:sz w:val="22"/>
          <w:szCs w:val="22"/>
          <w:lang w:val="en-US"/>
        </w:rPr>
        <w:t>d</w:t>
      </w:r>
      <w:r>
        <w:rPr>
          <w:rFonts w:ascii="Times New Roman Regular" w:hAnsi="Times New Roman Regular" w:eastAsia="STKaiti" w:cs="Times New Roman Regular"/>
          <w:sz w:val="22"/>
          <w:szCs w:val="22"/>
        </w:rPr>
        <w:t xml:space="preserve"> a </w:t>
      </w:r>
      <w:r>
        <w:rPr>
          <w:rStyle w:val="13"/>
          <w:rFonts w:ascii="Times New Roman Regular" w:hAnsi="Times New Roman Regular" w:eastAsia="STKaiti" w:cs="Times New Roman Regular"/>
          <w:b w:val="0"/>
          <w:sz w:val="22"/>
          <w:szCs w:val="22"/>
        </w:rPr>
        <w:t>consistent, asymptotically normal, and efficient</w:t>
      </w:r>
      <w:r>
        <w:rPr>
          <w:rFonts w:ascii="Times New Roman Regular" w:hAnsi="Times New Roman Regular" w:eastAsia="STKaiti" w:cs="Times New Roman Regular"/>
          <w:sz w:val="22"/>
          <w:szCs w:val="22"/>
        </w:rPr>
        <w:t xml:space="preserve"> semiparametric estimator of causal effects. The partially linear DML model used in this study </w:t>
      </w:r>
      <w:r>
        <w:rPr>
          <w:rFonts w:hint="default" w:ascii="Times New Roman Regular" w:hAnsi="Times New Roman Regular" w:eastAsia="STKaiti" w:cs="Times New Roman Regular"/>
          <w:sz w:val="22"/>
          <w:szCs w:val="22"/>
          <w:lang w:val="en-US"/>
        </w:rPr>
        <w:t>was</w:t>
      </w:r>
      <w:r>
        <w:rPr>
          <w:rFonts w:ascii="Times New Roman Regular" w:hAnsi="Times New Roman Regular" w:eastAsia="STKaiti" w:cs="Times New Roman Regular"/>
          <w:sz w:val="22"/>
          <w:szCs w:val="22"/>
        </w:rPr>
        <w:t xml:space="preserve"> specified as follows:</w:t>
      </w:r>
    </w:p>
    <w:p>
      <w:pPr>
        <w:widowControl/>
        <w:jc w:val="center"/>
        <w:rPr>
          <w:rFonts w:ascii="Times New Roman Regular" w:hAnsi="Times New Roman Regular" w:cs="Times New Roman Regular"/>
          <w:i/>
          <w:sz w:val="22"/>
          <w:szCs w:val="22"/>
          <w:vertAlign w:val="subscript"/>
        </w:rPr>
      </w:pPr>
      <w:r>
        <w:rPr>
          <w:rFonts w:ascii="Times New Roman Regular" w:hAnsi="Times New Roman Regular" w:cs="Times New Roman Regular"/>
          <w:i/>
          <w:sz w:val="22"/>
          <w:szCs w:val="22"/>
        </w:rPr>
        <w:t>Y</w:t>
      </w:r>
      <w:r>
        <w:rPr>
          <w:rFonts w:ascii="Times New Roman Regular" w:hAnsi="Times New Roman Regular" w:cs="Times New Roman Regular"/>
          <w:i/>
          <w:sz w:val="22"/>
          <w:szCs w:val="22"/>
          <w:vertAlign w:val="subscript"/>
        </w:rPr>
        <w:t xml:space="preserve">it </w:t>
      </w:r>
      <w:r>
        <w:rPr>
          <w:rFonts w:ascii="Times New Roman Regular" w:hAnsi="Times New Roman Regular" w:cs="Times New Roman Regular"/>
          <w:iCs/>
          <w:sz w:val="22"/>
          <w:szCs w:val="22"/>
        </w:rPr>
        <w:t>=</w:t>
      </w:r>
      <w:r>
        <w:rPr>
          <w:rFonts w:hint="default" w:ascii="Times New Roman Regular" w:hAnsi="Times New Roman Regular" w:cs="Times New Roman Regular"/>
          <w:iCs/>
          <w:sz w:val="22"/>
          <w:szCs w:val="22"/>
          <w:lang w:val="en-US"/>
        </w:rPr>
        <w:t xml:space="preserve"> </w:t>
      </w:r>
      <w:r>
        <w:rPr>
          <w:rFonts w:ascii="Times New Roman Regular" w:hAnsi="Times New Roman Regular" w:cs="Times New Roman Regular"/>
          <w:i/>
          <w:sz w:val="22"/>
          <w:szCs w:val="22"/>
        </w:rPr>
        <w:t>β</w:t>
      </w:r>
      <w:r>
        <w:rPr>
          <w:rFonts w:ascii="Times New Roman Regular" w:hAnsi="Times New Roman Regular" w:cs="Times New Roman Regular"/>
          <w:i/>
          <w:sz w:val="22"/>
          <w:szCs w:val="22"/>
          <w:vertAlign w:val="subscript"/>
        </w:rPr>
        <w:t xml:space="preserve">0 </w:t>
      </w:r>
      <w:r>
        <w:rPr>
          <w:rFonts w:ascii="Times New Roman Regular" w:hAnsi="Times New Roman Regular" w:cs="Times New Roman Regular"/>
          <w:iCs/>
          <w:sz w:val="22"/>
          <w:szCs w:val="22"/>
        </w:rPr>
        <w:t>+</w:t>
      </w:r>
      <w:r>
        <w:rPr>
          <w:rFonts w:ascii="Times New Roman Regular" w:hAnsi="Times New Roman Regular" w:cs="Times New Roman Regular"/>
          <w:i/>
          <w:sz w:val="22"/>
          <w:szCs w:val="22"/>
        </w:rPr>
        <w:t>β</w:t>
      </w:r>
      <w:r>
        <w:rPr>
          <w:rFonts w:ascii="Times New Roman Regular" w:hAnsi="Times New Roman Regular" w:cs="Times New Roman Regular"/>
          <w:i/>
          <w:sz w:val="22"/>
          <w:szCs w:val="22"/>
          <w:vertAlign w:val="subscript"/>
        </w:rPr>
        <w:t>1</w:t>
      </w:r>
      <w:r>
        <w:rPr>
          <w:rFonts w:ascii="Times New Roman Regular" w:hAnsi="Times New Roman Regular" w:cs="Times New Roman Regular"/>
          <w:i/>
          <w:sz w:val="22"/>
          <w:szCs w:val="22"/>
        </w:rPr>
        <w:t>Treat</w:t>
      </w:r>
      <w:r>
        <w:rPr>
          <w:rFonts w:ascii="Times New Roman Regular" w:hAnsi="Times New Roman Regular" w:cs="Times New Roman Regular"/>
          <w:i/>
          <w:sz w:val="22"/>
          <w:szCs w:val="22"/>
          <w:vertAlign w:val="subscript"/>
        </w:rPr>
        <w:t xml:space="preserve">it </w:t>
      </w:r>
      <w:r>
        <w:rPr>
          <w:rFonts w:ascii="Times New Roman Regular" w:hAnsi="Times New Roman Regular" w:cs="Times New Roman Regular"/>
          <w:iCs/>
          <w:sz w:val="22"/>
          <w:szCs w:val="22"/>
        </w:rPr>
        <w:t>+</w:t>
      </w:r>
      <w:r>
        <w:rPr>
          <w:rFonts w:ascii="Times New Roman Regular" w:hAnsi="Times New Roman Regular" w:cs="Times New Roman Regular"/>
          <w:i/>
          <w:sz w:val="22"/>
          <w:szCs w:val="22"/>
        </w:rPr>
        <w:t>f (X</w:t>
      </w:r>
      <w:r>
        <w:rPr>
          <w:rFonts w:ascii="Times New Roman Regular" w:hAnsi="Times New Roman Regular" w:cs="Times New Roman Regular"/>
          <w:i/>
          <w:sz w:val="22"/>
          <w:szCs w:val="22"/>
          <w:vertAlign w:val="subscript"/>
        </w:rPr>
        <w:t>itj</w:t>
      </w:r>
      <w:r>
        <w:rPr>
          <w:rFonts w:ascii="Times New Roman Regular" w:hAnsi="Times New Roman Regular" w:cs="Times New Roman Regular"/>
          <w:i/>
          <w:sz w:val="22"/>
          <w:szCs w:val="22"/>
        </w:rPr>
        <w:t>)</w:t>
      </w:r>
      <w:r>
        <w:rPr>
          <w:rFonts w:ascii="Times New Roman Regular" w:hAnsi="Times New Roman Regular" w:cs="Times New Roman Regular"/>
          <w:i/>
          <w:sz w:val="22"/>
          <w:szCs w:val="22"/>
          <w:vertAlign w:val="subscript"/>
        </w:rPr>
        <w:t xml:space="preserve"> </w:t>
      </w:r>
      <w:r>
        <w:rPr>
          <w:rFonts w:ascii="Times New Roman Regular" w:hAnsi="Times New Roman Regular" w:cs="Times New Roman Regular"/>
          <w:iCs/>
          <w:sz w:val="22"/>
          <w:szCs w:val="22"/>
        </w:rPr>
        <w:t>+</w:t>
      </w:r>
      <w:r>
        <w:rPr>
          <w:rFonts w:ascii="Times New Roman Regular" w:hAnsi="Times New Roman Regular" w:cs="Times New Roman Regular"/>
          <w:i/>
          <w:sz w:val="22"/>
          <w:szCs w:val="22"/>
        </w:rPr>
        <w:t>U</w:t>
      </w:r>
      <w:r>
        <w:rPr>
          <w:rFonts w:ascii="Times New Roman Regular" w:hAnsi="Times New Roman Regular" w:cs="Times New Roman Regular"/>
          <w:i/>
          <w:sz w:val="22"/>
          <w:szCs w:val="22"/>
          <w:vertAlign w:val="subscript"/>
        </w:rPr>
        <w:t>it</w:t>
      </w:r>
    </w:p>
    <w:p>
      <w:pPr>
        <w:widowControl/>
        <w:jc w:val="center"/>
        <w:rPr>
          <w:rFonts w:ascii="Times New Roman Regular" w:hAnsi="Times New Roman Regular" w:cs="Times New Roman Regular"/>
          <w:iCs/>
          <w:sz w:val="22"/>
          <w:szCs w:val="22"/>
        </w:rPr>
      </w:pPr>
      <w:r>
        <w:rPr>
          <w:rFonts w:ascii="Times New Roman Regular" w:hAnsi="Times New Roman Regular" w:cs="Times New Roman Regular"/>
          <w:i/>
          <w:sz w:val="22"/>
          <w:szCs w:val="22"/>
        </w:rPr>
        <w:t>E</w:t>
      </w:r>
      <w:r>
        <w:rPr>
          <w:rFonts w:ascii="Times New Roman Regular" w:hAnsi="Times New Roman Regular" w:cs="Times New Roman Regular"/>
          <w:iCs/>
          <w:sz w:val="22"/>
          <w:szCs w:val="22"/>
        </w:rPr>
        <w:t>(</w:t>
      </w:r>
      <w:r>
        <w:rPr>
          <w:rFonts w:ascii="Times New Roman Regular" w:hAnsi="Times New Roman Regular" w:cs="Times New Roman Regular"/>
          <w:i/>
          <w:sz w:val="22"/>
          <w:szCs w:val="22"/>
        </w:rPr>
        <w:t>U</w:t>
      </w:r>
      <w:r>
        <w:rPr>
          <w:rFonts w:ascii="Times New Roman Regular" w:hAnsi="Times New Roman Regular" w:cs="Times New Roman Regular"/>
          <w:i/>
          <w:sz w:val="22"/>
          <w:szCs w:val="22"/>
          <w:vertAlign w:val="subscript"/>
        </w:rPr>
        <w:t xml:space="preserve">it </w:t>
      </w:r>
      <w:r>
        <w:rPr>
          <w:rFonts w:ascii="Times New Roman Regular" w:hAnsi="Times New Roman Regular" w:cs="Times New Roman Regular"/>
          <w:iCs/>
          <w:sz w:val="22"/>
          <w:szCs w:val="22"/>
        </w:rPr>
        <w:t>|</w:t>
      </w:r>
      <w:r>
        <w:rPr>
          <w:rFonts w:ascii="Times New Roman Regular" w:hAnsi="Times New Roman Regular" w:cs="Times New Roman Regular"/>
          <w:i/>
          <w:sz w:val="22"/>
          <w:szCs w:val="22"/>
        </w:rPr>
        <w:t>Treat</w:t>
      </w:r>
      <w:r>
        <w:rPr>
          <w:rFonts w:ascii="Times New Roman Regular" w:hAnsi="Times New Roman Regular" w:cs="Times New Roman Regular"/>
          <w:i/>
          <w:sz w:val="22"/>
          <w:szCs w:val="22"/>
          <w:vertAlign w:val="subscript"/>
        </w:rPr>
        <w:t>it</w:t>
      </w:r>
      <w:r>
        <w:rPr>
          <w:rFonts w:ascii="Times New Roman Regular" w:hAnsi="Times New Roman Regular" w:cs="Times New Roman Regular"/>
          <w:i/>
          <w:sz w:val="22"/>
          <w:szCs w:val="22"/>
        </w:rPr>
        <w:t>，X</w:t>
      </w:r>
      <w:r>
        <w:rPr>
          <w:rFonts w:ascii="Times New Roman Regular" w:hAnsi="Times New Roman Regular" w:cs="Times New Roman Regular"/>
          <w:i/>
          <w:sz w:val="22"/>
          <w:szCs w:val="22"/>
          <w:vertAlign w:val="subscript"/>
        </w:rPr>
        <w:t>it</w:t>
      </w:r>
      <w:r>
        <w:rPr>
          <w:rFonts w:ascii="Times New Roman Regular" w:hAnsi="Times New Roman Regular" w:cs="Times New Roman Regular"/>
          <w:iCs/>
          <w:sz w:val="22"/>
          <w:szCs w:val="22"/>
        </w:rPr>
        <w:t>)</w:t>
      </w:r>
      <w:r>
        <w:rPr>
          <w:rFonts w:hint="default" w:ascii="Times New Roman Regular" w:hAnsi="Times New Roman Regular" w:cs="Times New Roman Regular"/>
          <w:iCs/>
          <w:sz w:val="22"/>
          <w:szCs w:val="22"/>
          <w:lang w:val="en-US"/>
        </w:rPr>
        <w:t xml:space="preserve"> </w:t>
      </w:r>
      <w:r>
        <w:rPr>
          <w:rFonts w:ascii="Times New Roman Regular" w:hAnsi="Times New Roman Regular" w:cs="Times New Roman Regular"/>
          <w:iCs/>
          <w:sz w:val="22"/>
          <w:szCs w:val="22"/>
        </w:rPr>
        <w:t>=</w:t>
      </w:r>
      <w:r>
        <w:rPr>
          <w:rFonts w:hint="default" w:ascii="Times New Roman Regular" w:hAnsi="Times New Roman Regular" w:cs="Times New Roman Regular"/>
          <w:iCs/>
          <w:sz w:val="22"/>
          <w:szCs w:val="22"/>
          <w:lang w:val="en-US"/>
        </w:rPr>
        <w:t xml:space="preserve"> </w:t>
      </w:r>
      <w:r>
        <w:rPr>
          <w:rFonts w:ascii="Times New Roman Regular" w:hAnsi="Times New Roman Regular" w:cs="Times New Roman Regular"/>
          <w:iCs/>
          <w:sz w:val="22"/>
          <w:szCs w:val="22"/>
        </w:rPr>
        <w:t>0</w:t>
      </w:r>
    </w:p>
    <w:p>
      <w:pPr>
        <w:widowControl/>
        <w:jc w:val="center"/>
        <w:rPr>
          <w:rFonts w:ascii="Times New Roman Regular" w:hAnsi="Times New Roman Regular" w:cs="Times New Roman Regular"/>
          <w:i/>
          <w:iCs/>
          <w:sz w:val="22"/>
          <w:szCs w:val="22"/>
          <w:vertAlign w:val="subscript"/>
        </w:rPr>
      </w:pPr>
      <w:r>
        <w:rPr>
          <w:rFonts w:ascii="Times New Roman Regular" w:hAnsi="Times New Roman Regular" w:cs="Times New Roman Regular"/>
          <w:i/>
          <w:sz w:val="22"/>
          <w:szCs w:val="22"/>
        </w:rPr>
        <w:t>Treat</w:t>
      </w:r>
      <w:r>
        <w:rPr>
          <w:rFonts w:ascii="Times New Roman Regular" w:hAnsi="Times New Roman Regular" w:cs="Times New Roman Regular"/>
          <w:i/>
          <w:sz w:val="22"/>
          <w:szCs w:val="22"/>
          <w:vertAlign w:val="subscript"/>
        </w:rPr>
        <w:t>it</w:t>
      </w:r>
      <w:r>
        <w:rPr>
          <w:rFonts w:hint="default" w:ascii="Times New Roman Regular" w:hAnsi="Times New Roman Regular" w:cs="Times New Roman Regular"/>
          <w:i/>
          <w:sz w:val="22"/>
          <w:szCs w:val="22"/>
          <w:vertAlign w:val="subscript"/>
          <w:lang w:val="en-US"/>
        </w:rPr>
        <w:t xml:space="preserve"> </w:t>
      </w:r>
      <w:r>
        <w:rPr>
          <w:rFonts w:ascii="Times New Roman Regular" w:hAnsi="Times New Roman Regular" w:cs="Times New Roman Regular"/>
          <w:sz w:val="22"/>
          <w:szCs w:val="22"/>
        </w:rPr>
        <w:t>=</w:t>
      </w:r>
      <w:r>
        <w:rPr>
          <w:rFonts w:hint="default" w:ascii="Times New Roman Regular" w:hAnsi="Times New Roman Regular" w:cs="Times New Roman Regular"/>
          <w:sz w:val="22"/>
          <w:szCs w:val="22"/>
          <w:lang w:val="en-US"/>
        </w:rPr>
        <w:t xml:space="preserve"> </w:t>
      </w:r>
      <w:r>
        <w:rPr>
          <w:rFonts w:ascii="Times New Roman Regular" w:hAnsi="Times New Roman Regular" w:cs="Times New Roman Regular"/>
          <w:i/>
          <w:iCs/>
          <w:sz w:val="22"/>
          <w:szCs w:val="22"/>
        </w:rPr>
        <w:t>g(X</w:t>
      </w:r>
      <w:r>
        <w:rPr>
          <w:rFonts w:ascii="Times New Roman Regular" w:hAnsi="Times New Roman Regular" w:cs="Times New Roman Regular"/>
          <w:i/>
          <w:iCs/>
          <w:sz w:val="22"/>
          <w:szCs w:val="22"/>
          <w:vertAlign w:val="subscript"/>
        </w:rPr>
        <w:t>it</w:t>
      </w:r>
      <w:r>
        <w:rPr>
          <w:rFonts w:ascii="Times New Roman Regular" w:hAnsi="Times New Roman Regular" w:cs="Times New Roman Regular"/>
          <w:i/>
          <w:iCs/>
          <w:sz w:val="22"/>
          <w:szCs w:val="22"/>
        </w:rPr>
        <w:t>)</w:t>
      </w:r>
      <w:r>
        <w:rPr>
          <w:rFonts w:ascii="Times New Roman Regular" w:hAnsi="Times New Roman Regular" w:cs="Times New Roman Regular"/>
          <w:sz w:val="22"/>
          <w:szCs w:val="22"/>
        </w:rPr>
        <w:t>+</w:t>
      </w:r>
      <w:r>
        <w:rPr>
          <w:rFonts w:ascii="Times New Roman Regular" w:hAnsi="Times New Roman Regular" w:cs="Times New Roman Regular"/>
          <w:i/>
          <w:iCs/>
          <w:sz w:val="22"/>
          <w:szCs w:val="22"/>
        </w:rPr>
        <w:t>V</w:t>
      </w:r>
      <w:r>
        <w:rPr>
          <w:rFonts w:ascii="Times New Roman Regular" w:hAnsi="Times New Roman Regular" w:cs="Times New Roman Regular"/>
          <w:i/>
          <w:iCs/>
          <w:sz w:val="22"/>
          <w:szCs w:val="22"/>
          <w:vertAlign w:val="subscript"/>
        </w:rPr>
        <w:t>it</w:t>
      </w:r>
    </w:p>
    <w:p>
      <w:pPr>
        <w:widowControl/>
        <w:jc w:val="center"/>
        <w:rPr>
          <w:rFonts w:ascii="Times New Roman Regular" w:hAnsi="Times New Roman Regular" w:cs="Times New Roman Regular"/>
          <w:iCs/>
          <w:sz w:val="22"/>
          <w:szCs w:val="22"/>
        </w:rPr>
      </w:pPr>
      <w:r>
        <w:rPr>
          <w:rFonts w:ascii="Times New Roman Regular" w:hAnsi="Times New Roman Regular" w:cs="Times New Roman Regular"/>
          <w:i/>
          <w:sz w:val="22"/>
          <w:szCs w:val="22"/>
        </w:rPr>
        <w:t>E</w:t>
      </w:r>
      <w:r>
        <w:rPr>
          <w:rFonts w:ascii="Times New Roman Regular" w:hAnsi="Times New Roman Regular" w:cs="Times New Roman Regular"/>
          <w:iCs/>
          <w:sz w:val="22"/>
          <w:szCs w:val="22"/>
        </w:rPr>
        <w:t>(</w:t>
      </w:r>
      <w:r>
        <w:rPr>
          <w:rFonts w:ascii="Times New Roman Regular" w:hAnsi="Times New Roman Regular" w:cs="Times New Roman Regular"/>
          <w:i/>
          <w:iCs/>
          <w:sz w:val="22"/>
          <w:szCs w:val="22"/>
        </w:rPr>
        <w:t>V</w:t>
      </w:r>
      <w:r>
        <w:rPr>
          <w:rFonts w:ascii="Times New Roman Regular" w:hAnsi="Times New Roman Regular" w:cs="Times New Roman Regular"/>
          <w:i/>
          <w:iCs/>
          <w:sz w:val="22"/>
          <w:szCs w:val="22"/>
          <w:vertAlign w:val="subscript"/>
        </w:rPr>
        <w:t>it</w:t>
      </w:r>
      <w:r>
        <w:rPr>
          <w:rFonts w:ascii="Times New Roman Regular" w:hAnsi="Times New Roman Regular" w:cs="Times New Roman Regular"/>
          <w:iCs/>
          <w:sz w:val="22"/>
          <w:szCs w:val="22"/>
        </w:rPr>
        <w:t>|</w:t>
      </w:r>
      <w:r>
        <w:rPr>
          <w:rFonts w:ascii="Times New Roman Regular" w:hAnsi="Times New Roman Regular" w:cs="Times New Roman Regular"/>
          <w:i/>
          <w:sz w:val="22"/>
          <w:szCs w:val="22"/>
        </w:rPr>
        <w:t>X</w:t>
      </w:r>
      <w:r>
        <w:rPr>
          <w:rFonts w:ascii="Times New Roman Regular" w:hAnsi="Times New Roman Regular" w:cs="Times New Roman Regular"/>
          <w:i/>
          <w:sz w:val="22"/>
          <w:szCs w:val="22"/>
          <w:vertAlign w:val="subscript"/>
        </w:rPr>
        <w:t>it</w:t>
      </w:r>
      <w:r>
        <w:rPr>
          <w:rFonts w:ascii="Times New Roman Regular" w:hAnsi="Times New Roman Regular" w:cs="Times New Roman Regular"/>
          <w:iCs/>
          <w:sz w:val="22"/>
          <w:szCs w:val="22"/>
        </w:rPr>
        <w:t>)</w:t>
      </w:r>
      <w:r>
        <w:rPr>
          <w:rFonts w:hint="default" w:ascii="Times New Roman Regular" w:hAnsi="Times New Roman Regular" w:cs="Times New Roman Regular"/>
          <w:iCs/>
          <w:sz w:val="22"/>
          <w:szCs w:val="22"/>
          <w:lang w:val="en-US"/>
        </w:rPr>
        <w:t xml:space="preserve"> </w:t>
      </w:r>
      <w:r>
        <w:rPr>
          <w:rFonts w:ascii="Times New Roman Regular" w:hAnsi="Times New Roman Regular" w:cs="Times New Roman Regular"/>
          <w:iCs/>
          <w:sz w:val="22"/>
          <w:szCs w:val="22"/>
        </w:rPr>
        <w:t>=</w:t>
      </w:r>
      <w:r>
        <w:rPr>
          <w:rFonts w:hint="default" w:ascii="Times New Roman Regular" w:hAnsi="Times New Roman Regular" w:cs="Times New Roman Regular"/>
          <w:iCs/>
          <w:sz w:val="22"/>
          <w:szCs w:val="22"/>
          <w:lang w:val="en-US"/>
        </w:rPr>
        <w:t xml:space="preserve"> </w:t>
      </w:r>
      <w:r>
        <w:rPr>
          <w:rFonts w:ascii="Times New Roman Regular" w:hAnsi="Times New Roman Regular" w:cs="Times New Roman Regular"/>
          <w:iCs/>
          <w:sz w:val="22"/>
          <w:szCs w:val="22"/>
        </w:rPr>
        <w:t>0</w:t>
      </w:r>
    </w:p>
    <w:p>
      <w:pPr>
        <w:pStyle w:val="8"/>
        <w:widowControl/>
        <w:spacing w:beforeAutospacing="0" w:after="157" w:afterLines="50" w:afterAutospacing="0"/>
        <w:ind w:firstLine="220" w:firstLineChars="100"/>
        <w:jc w:val="both"/>
        <w:rPr>
          <w:rFonts w:ascii="Times New Roman Regular" w:hAnsi="Times New Roman Regular" w:cs="Times New Roman Regular"/>
          <w:sz w:val="22"/>
          <w:szCs w:val="22"/>
        </w:rPr>
      </w:pPr>
      <w:r>
        <w:rPr>
          <w:rFonts w:ascii="Times New Roman Regular" w:hAnsi="Times New Roman Regular" w:cs="Times New Roman Regular"/>
          <w:sz w:val="22"/>
          <w:szCs w:val="22"/>
        </w:rPr>
        <w:t>In this model, </w:t>
      </w:r>
      <w:r>
        <w:rPr>
          <w:rFonts w:ascii="Times New Roman Regular" w:hAnsi="Times New Roman Regular" w:cs="Times New Roman Regular"/>
          <w:i/>
          <w:kern w:val="2"/>
          <w:sz w:val="22"/>
          <w:szCs w:val="22"/>
        </w:rPr>
        <w:t>Treat</w:t>
      </w:r>
      <w:r>
        <w:rPr>
          <w:rFonts w:ascii="Times New Roman Regular" w:hAnsi="Times New Roman Regular" w:cs="Times New Roman Regular"/>
          <w:i/>
          <w:kern w:val="2"/>
          <w:sz w:val="22"/>
          <w:szCs w:val="22"/>
          <w:vertAlign w:val="subscript"/>
        </w:rPr>
        <w:t xml:space="preserve">it </w:t>
      </w:r>
      <w:r>
        <w:rPr>
          <w:rFonts w:ascii="Times New Roman Regular" w:hAnsi="Times New Roman Regular" w:cs="Times New Roman Regular"/>
          <w:sz w:val="22"/>
          <w:szCs w:val="22"/>
        </w:rPr>
        <w:t> </w:t>
      </w:r>
      <w:r>
        <w:rPr>
          <w:rFonts w:hint="default" w:ascii="Times New Roman Regular" w:hAnsi="Times New Roman Regular" w:cs="Times New Roman Regular"/>
          <w:sz w:val="22"/>
          <w:szCs w:val="22"/>
          <w:lang w:val="en-US"/>
        </w:rPr>
        <w:t>was</w:t>
      </w:r>
      <w:r>
        <w:rPr>
          <w:rFonts w:ascii="Times New Roman Regular" w:hAnsi="Times New Roman Regular" w:cs="Times New Roman Regular"/>
          <w:sz w:val="22"/>
          <w:szCs w:val="22"/>
        </w:rPr>
        <w:t xml:space="preserve"> a binary variable indicating whether a city ha</w:t>
      </w:r>
      <w:r>
        <w:rPr>
          <w:rFonts w:hint="default" w:ascii="Times New Roman Regular" w:hAnsi="Times New Roman Regular" w:cs="Times New Roman Regular"/>
          <w:sz w:val="22"/>
          <w:szCs w:val="22"/>
          <w:lang w:val="en-US"/>
        </w:rPr>
        <w:t>d</w:t>
      </w:r>
      <w:r>
        <w:rPr>
          <w:rFonts w:ascii="Times New Roman Regular" w:hAnsi="Times New Roman Regular" w:cs="Times New Roman Regular"/>
          <w:sz w:val="22"/>
          <w:szCs w:val="22"/>
        </w:rPr>
        <w:t xml:space="preserve"> been exposed to the policy intervention, and </w:t>
      </w:r>
      <w:r>
        <w:rPr>
          <w:rFonts w:ascii="Times New Roman Italic" w:hAnsi="Times New Roman Italic" w:cs="Times New Roman Italic"/>
          <w:i/>
          <w:iCs/>
          <w:sz w:val="22"/>
          <w:szCs w:val="22"/>
        </w:rPr>
        <w:t>β₁</w:t>
      </w:r>
      <w:r>
        <w:rPr>
          <w:rFonts w:ascii="Times New Roman Regular" w:hAnsi="Times New Roman Regular" w:cs="Times New Roman Regular"/>
          <w:sz w:val="22"/>
          <w:szCs w:val="22"/>
        </w:rPr>
        <w:t> capture</w:t>
      </w:r>
      <w:r>
        <w:rPr>
          <w:rFonts w:hint="default" w:ascii="Times New Roman Regular" w:hAnsi="Times New Roman Regular" w:cs="Times New Roman Regular"/>
          <w:sz w:val="22"/>
          <w:szCs w:val="22"/>
          <w:lang w:val="en-US"/>
        </w:rPr>
        <w:t>d</w:t>
      </w:r>
      <w:r>
        <w:rPr>
          <w:rFonts w:ascii="Times New Roman Regular" w:hAnsi="Times New Roman Regular" w:cs="Times New Roman Regular"/>
          <w:sz w:val="22"/>
          <w:szCs w:val="22"/>
        </w:rPr>
        <w:t xml:space="preserve"> the total effect of the new-type urbanization pilot policy on employment quality. The functions </w:t>
      </w:r>
      <w:r>
        <w:rPr>
          <w:rFonts w:ascii="Times New Roman Regular" w:hAnsi="Times New Roman Regular" w:cs="Times New Roman Regular"/>
          <w:i/>
          <w:kern w:val="2"/>
          <w:sz w:val="22"/>
          <w:szCs w:val="22"/>
        </w:rPr>
        <w:t>f (X</w:t>
      </w:r>
      <w:r>
        <w:rPr>
          <w:rFonts w:ascii="Times New Roman Regular" w:hAnsi="Times New Roman Regular" w:cs="Times New Roman Regular"/>
          <w:i/>
          <w:kern w:val="2"/>
          <w:sz w:val="22"/>
          <w:szCs w:val="22"/>
          <w:vertAlign w:val="subscript"/>
        </w:rPr>
        <w:t>it</w:t>
      </w:r>
      <w:r>
        <w:rPr>
          <w:rFonts w:ascii="Times New Roman Regular" w:hAnsi="Times New Roman Regular" w:cs="Times New Roman Regular"/>
          <w:i/>
          <w:kern w:val="2"/>
          <w:sz w:val="22"/>
          <w:szCs w:val="22"/>
        </w:rPr>
        <w:t>)</w:t>
      </w:r>
      <w:r>
        <w:rPr>
          <w:rFonts w:ascii="Times New Roman Regular" w:hAnsi="Times New Roman Regular" w:cs="Times New Roman Regular"/>
          <w:i/>
          <w:kern w:val="2"/>
          <w:sz w:val="22"/>
          <w:szCs w:val="22"/>
          <w:vertAlign w:val="subscript"/>
        </w:rPr>
        <w:t xml:space="preserve"> </w:t>
      </w:r>
      <w:r>
        <w:rPr>
          <w:rFonts w:ascii="Times New Roman Regular" w:hAnsi="Times New Roman Regular" w:cs="Times New Roman Regular"/>
          <w:i/>
          <w:kern w:val="2"/>
          <w:sz w:val="22"/>
          <w:szCs w:val="22"/>
        </w:rPr>
        <w:t>and</w:t>
      </w:r>
      <w:r>
        <w:rPr>
          <w:rFonts w:ascii="Times New Roman Regular" w:hAnsi="Times New Roman Regular" w:cs="Times New Roman Regular"/>
          <w:i/>
          <w:kern w:val="2"/>
          <w:sz w:val="22"/>
          <w:szCs w:val="22"/>
          <w:vertAlign w:val="subscript"/>
        </w:rPr>
        <w:t xml:space="preserve"> </w:t>
      </w:r>
      <w:r>
        <w:rPr>
          <w:rFonts w:ascii="Times New Roman Regular" w:hAnsi="Times New Roman Regular" w:cs="Times New Roman Regular"/>
          <w:i/>
          <w:iCs/>
          <w:sz w:val="22"/>
          <w:szCs w:val="22"/>
        </w:rPr>
        <w:t>g(X</w:t>
      </w:r>
      <w:r>
        <w:rPr>
          <w:rFonts w:ascii="Times New Roman Regular" w:hAnsi="Times New Roman Regular" w:cs="Times New Roman Regular"/>
          <w:i/>
          <w:iCs/>
          <w:sz w:val="22"/>
          <w:szCs w:val="22"/>
          <w:vertAlign w:val="subscript"/>
        </w:rPr>
        <w:t>it</w:t>
      </w:r>
      <w:r>
        <w:rPr>
          <w:rFonts w:ascii="Times New Roman Regular" w:hAnsi="Times New Roman Regular" w:cs="Times New Roman Regular"/>
          <w:i/>
          <w:iCs/>
          <w:sz w:val="22"/>
          <w:szCs w:val="22"/>
        </w:rPr>
        <w:t>)</w:t>
      </w:r>
      <w:r>
        <w:rPr>
          <w:rFonts w:hint="default" w:ascii="Times New Roman Regular" w:hAnsi="Times New Roman Regular" w:cs="Times New Roman Regular"/>
          <w:i/>
          <w:iCs/>
          <w:sz w:val="22"/>
          <w:szCs w:val="22"/>
          <w:lang w:val="en-US"/>
        </w:rPr>
        <w:t xml:space="preserve"> </w:t>
      </w:r>
      <w:r>
        <w:rPr>
          <w:rFonts w:hint="default" w:ascii="Times New Roman Regular" w:hAnsi="Times New Roman Regular" w:cs="Times New Roman Regular"/>
          <w:i w:val="0"/>
          <w:iCs w:val="0"/>
          <w:sz w:val="22"/>
          <w:szCs w:val="22"/>
          <w:lang w:val="en-US"/>
        </w:rPr>
        <w:t>were</w:t>
      </w:r>
      <w:r>
        <w:rPr>
          <w:rFonts w:ascii="Times New Roman Regular" w:hAnsi="Times New Roman Regular" w:cs="Times New Roman Regular"/>
          <w:i w:val="0"/>
          <w:iCs w:val="0"/>
          <w:sz w:val="22"/>
          <w:szCs w:val="22"/>
        </w:rPr>
        <w:t xml:space="preserve"> </w:t>
      </w:r>
      <w:r>
        <w:rPr>
          <w:rFonts w:ascii="Times New Roman Regular" w:hAnsi="Times New Roman Regular" w:cs="Times New Roman Regular"/>
          <w:sz w:val="22"/>
          <w:szCs w:val="22"/>
        </w:rPr>
        <w:t>unknown and need to be estimated using machine learning algorithms, while </w:t>
      </w:r>
      <w:r>
        <w:rPr>
          <w:rFonts w:ascii="Times New Roman Regular" w:hAnsi="Times New Roman Regular" w:cs="Times New Roman Regular"/>
          <w:i/>
          <w:kern w:val="2"/>
          <w:sz w:val="22"/>
          <w:szCs w:val="22"/>
        </w:rPr>
        <w:t>U</w:t>
      </w:r>
      <w:r>
        <w:rPr>
          <w:rFonts w:ascii="Times New Roman Regular" w:hAnsi="Times New Roman Regular" w:cs="Times New Roman Regular"/>
          <w:i/>
          <w:kern w:val="2"/>
          <w:sz w:val="22"/>
          <w:szCs w:val="22"/>
          <w:vertAlign w:val="subscript"/>
        </w:rPr>
        <w:t xml:space="preserve">it </w:t>
      </w:r>
      <w:r>
        <w:rPr>
          <w:rFonts w:ascii="Times New Roman Regular" w:hAnsi="Times New Roman Regular" w:cs="Times New Roman Regular"/>
          <w:iCs/>
          <w:kern w:val="2"/>
          <w:sz w:val="22"/>
          <w:szCs w:val="22"/>
        </w:rPr>
        <w:t>and</w:t>
      </w:r>
      <w:r>
        <w:rPr>
          <w:rFonts w:ascii="Times New Roman Regular" w:hAnsi="Times New Roman Regular" w:cs="Times New Roman Regular"/>
          <w:i/>
          <w:iCs/>
          <w:sz w:val="22"/>
          <w:szCs w:val="22"/>
        </w:rPr>
        <w:t>V</w:t>
      </w:r>
      <w:r>
        <w:rPr>
          <w:rFonts w:ascii="Times New Roman Regular" w:hAnsi="Times New Roman Regular" w:cs="Times New Roman Regular"/>
          <w:i/>
          <w:iCs/>
          <w:sz w:val="22"/>
          <w:szCs w:val="22"/>
          <w:vertAlign w:val="subscript"/>
        </w:rPr>
        <w:t>it，</w:t>
      </w:r>
      <w:r>
        <w:rPr>
          <w:rFonts w:ascii="Times New Roman Regular" w:hAnsi="Times New Roman Regular" w:cs="Times New Roman Regular"/>
          <w:sz w:val="22"/>
          <w:szCs w:val="22"/>
        </w:rPr>
        <w:t xml:space="preserve"> are mutually independent random disturbances with zero mean.Table </w:t>
      </w:r>
      <w:r>
        <w:rPr>
          <w:rFonts w:hint="default" w:ascii="Times New Roman Regular" w:hAnsi="Times New Roman Regular" w:cs="Times New Roman Regular"/>
          <w:sz w:val="22"/>
          <w:szCs w:val="22"/>
          <w:lang w:val="en-US"/>
        </w:rPr>
        <w:t>6</w:t>
      </w:r>
      <w:r>
        <w:rPr>
          <w:rFonts w:ascii="Times New Roman Regular" w:hAnsi="Times New Roman Regular" w:cs="Times New Roman Regular"/>
          <w:sz w:val="22"/>
          <w:szCs w:val="22"/>
        </w:rPr>
        <w:t xml:space="preserve"> report</w:t>
      </w:r>
      <w:r>
        <w:rPr>
          <w:rFonts w:hint="default" w:ascii="Times New Roman Regular" w:hAnsi="Times New Roman Regular" w:cs="Times New Roman Regular"/>
          <w:sz w:val="22"/>
          <w:szCs w:val="22"/>
          <w:lang w:val="en-US"/>
        </w:rPr>
        <w:t>ed</w:t>
      </w:r>
      <w:r>
        <w:rPr>
          <w:rFonts w:ascii="Times New Roman Regular" w:hAnsi="Times New Roman Regular" w:cs="Times New Roman Regular"/>
          <w:sz w:val="22"/>
          <w:szCs w:val="22"/>
        </w:rPr>
        <w:t xml:space="preserve"> the estimation results from the Double Machine Learning (DML) framework. The results remain</w:t>
      </w:r>
      <w:r>
        <w:rPr>
          <w:rFonts w:hint="default" w:ascii="Times New Roman Regular" w:hAnsi="Times New Roman Regular" w:cs="Times New Roman Regular"/>
          <w:sz w:val="22"/>
          <w:szCs w:val="22"/>
          <w:lang w:val="en-US"/>
        </w:rPr>
        <w:t>ed</w:t>
      </w:r>
      <w:r>
        <w:rPr>
          <w:rFonts w:ascii="Times New Roman Regular" w:hAnsi="Times New Roman Regular" w:cs="Times New Roman Regular"/>
          <w:sz w:val="22"/>
          <w:szCs w:val="22"/>
        </w:rPr>
        <w:t xml:space="preserve"> highly robust across different machine learning methods. Whether using Random Forest or XGBoost algorithms, the coefficient on the interaction term </w:t>
      </w:r>
      <w:r>
        <w:rPr>
          <w:rFonts w:hint="default" w:ascii="Times New Roman Italic" w:hAnsi="Times New Roman Italic" w:cs="Times New Roman Italic"/>
          <w:i/>
          <w:iCs/>
          <w:sz w:val="22"/>
          <w:szCs w:val="22"/>
          <w:lang w:val="en-US"/>
        </w:rPr>
        <w:t>treat</w:t>
      </w:r>
      <w:r>
        <w:rPr>
          <w:rFonts w:hint="default" w:ascii="Times New Roman Italic" w:hAnsi="Times New Roman Italic" w:cs="Times New Roman Italic"/>
          <w:i/>
          <w:iCs/>
          <w:sz w:val="22"/>
          <w:szCs w:val="22"/>
        </w:rPr>
        <w:t>*post</w:t>
      </w:r>
      <w:r>
        <w:rPr>
          <w:rFonts w:ascii="Times New Roman Regular" w:hAnsi="Times New Roman Regular" w:cs="Times New Roman Regular"/>
          <w:sz w:val="22"/>
          <w:szCs w:val="22"/>
        </w:rPr>
        <w:t xml:space="preserve"> remain</w:t>
      </w:r>
      <w:r>
        <w:rPr>
          <w:rFonts w:hint="default" w:ascii="Times New Roman Regular" w:hAnsi="Times New Roman Regular" w:cs="Times New Roman Regular"/>
          <w:sz w:val="22"/>
          <w:szCs w:val="22"/>
          <w:lang w:val="en-US"/>
        </w:rPr>
        <w:t>ed</w:t>
      </w:r>
      <w:r>
        <w:rPr>
          <w:rFonts w:ascii="Times New Roman Regular" w:hAnsi="Times New Roman Regular" w:cs="Times New Roman Regular"/>
          <w:sz w:val="22"/>
          <w:szCs w:val="22"/>
        </w:rPr>
        <w:t xml:space="preserve"> significantly positive at the 1% confidence level for the dependent variable </w:t>
      </w:r>
      <w:r>
        <w:rPr>
          <w:rStyle w:val="14"/>
          <w:rFonts w:ascii="Times New Roman Regular" w:hAnsi="Times New Roman Regular" w:cs="Times New Roman Regular"/>
          <w:sz w:val="22"/>
          <w:szCs w:val="22"/>
        </w:rPr>
        <w:t>EMP</w:t>
      </w:r>
      <w:r>
        <w:rPr>
          <w:rFonts w:ascii="Times New Roman Regular" w:hAnsi="Times New Roman Regular" w:cs="Times New Roman Regular"/>
          <w:sz w:val="22"/>
          <w:szCs w:val="22"/>
        </w:rPr>
        <w:t>. These findings further confirm</w:t>
      </w:r>
      <w:r>
        <w:rPr>
          <w:rFonts w:hint="default" w:ascii="Times New Roman Regular" w:hAnsi="Times New Roman Regular" w:cs="Times New Roman Regular"/>
          <w:sz w:val="22"/>
          <w:szCs w:val="22"/>
          <w:lang w:val="en-US"/>
        </w:rPr>
        <w:t>ed</w:t>
      </w:r>
      <w:r>
        <w:rPr>
          <w:rFonts w:ascii="Times New Roman Regular" w:hAnsi="Times New Roman Regular" w:cs="Times New Roman Regular"/>
          <w:sz w:val="22"/>
          <w:szCs w:val="22"/>
        </w:rPr>
        <w:t xml:space="preserve"> that the urbanization pilot policy significantly improve</w:t>
      </w:r>
      <w:r>
        <w:rPr>
          <w:rFonts w:hint="default" w:ascii="Times New Roman Regular" w:hAnsi="Times New Roman Regular" w:cs="Times New Roman Regular"/>
          <w:sz w:val="22"/>
          <w:szCs w:val="22"/>
          <w:lang w:val="en-US"/>
        </w:rPr>
        <w:t>d</w:t>
      </w:r>
      <w:r>
        <w:rPr>
          <w:rFonts w:ascii="Times New Roman Regular" w:hAnsi="Times New Roman Regular" w:cs="Times New Roman Regular"/>
          <w:sz w:val="22"/>
          <w:szCs w:val="22"/>
        </w:rPr>
        <w:t xml:space="preserve"> local employment quality and strengthen</w:t>
      </w:r>
      <w:r>
        <w:rPr>
          <w:rFonts w:hint="default" w:ascii="Times New Roman Regular" w:hAnsi="Times New Roman Regular" w:cs="Times New Roman Regular"/>
          <w:sz w:val="22"/>
          <w:szCs w:val="22"/>
          <w:lang w:val="en-US"/>
        </w:rPr>
        <w:t>ed</w:t>
      </w:r>
      <w:r>
        <w:rPr>
          <w:rFonts w:ascii="Times New Roman Regular" w:hAnsi="Times New Roman Regular" w:cs="Times New Roman Regular"/>
          <w:sz w:val="22"/>
          <w:szCs w:val="22"/>
        </w:rPr>
        <w:t xml:space="preserve"> the credibility of our causal inference.</w:t>
      </w:r>
    </w:p>
    <w:tbl>
      <w:tblPr>
        <w:tblStyle w:val="10"/>
        <w:tblW w:w="0" w:type="auto"/>
        <w:tblInd w:w="0" w:type="dxa"/>
        <w:tblLayout w:type="autofit"/>
        <w:tblCellMar>
          <w:top w:w="0" w:type="dxa"/>
          <w:left w:w="0" w:type="dxa"/>
          <w:bottom w:w="0" w:type="dxa"/>
          <w:right w:w="0" w:type="dxa"/>
        </w:tblCellMar>
      </w:tblPr>
      <w:tblGrid>
        <w:gridCol w:w="2835"/>
        <w:gridCol w:w="2835"/>
        <w:gridCol w:w="2836"/>
      </w:tblGrid>
      <w:tr>
        <w:tc>
          <w:tcPr>
            <w:tcW w:w="8506" w:type="dxa"/>
            <w:gridSpan w:val="3"/>
            <w:tcBorders>
              <w:top w:val="nil"/>
              <w:left w:val="nil"/>
              <w:bottom w:val="double" w:color="auto" w:sz="4" w:space="0"/>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sz w:val="20"/>
                <w:szCs w:val="20"/>
              </w:rPr>
            </w:pPr>
            <w:r>
              <w:rPr>
                <w:rFonts w:ascii="Times New Roman Bold" w:hAnsi="Times New Roman Bold" w:cs="Times New Roman Bold"/>
                <w:b/>
                <w:bCs/>
                <w:sz w:val="20"/>
                <w:szCs w:val="20"/>
              </w:rPr>
              <w:t>Table</w:t>
            </w:r>
            <w:r>
              <w:rPr>
                <w:rFonts w:hint="eastAsia" w:ascii="Times New Roman Bold" w:hAnsi="Times New Roman Bold" w:cs="Times New Roman Bold"/>
                <w:b/>
                <w:bCs/>
                <w:sz w:val="20"/>
                <w:szCs w:val="20"/>
                <w:lang w:val="en-US" w:eastAsia="zh-CN"/>
              </w:rPr>
              <w:t xml:space="preserve"> </w:t>
            </w:r>
            <w:r>
              <w:rPr>
                <w:rFonts w:ascii="Times New Roman Bold" w:hAnsi="Times New Roman Bold" w:cs="Times New Roman Bold"/>
                <w:b/>
                <w:bCs/>
                <w:sz w:val="20"/>
                <w:szCs w:val="20"/>
              </w:rPr>
              <w:t>6</w:t>
            </w:r>
            <w:r>
              <w:rPr>
                <w:rFonts w:ascii="Times New Roman Regular" w:hAnsi="Times New Roman Regular" w:cs="Times New Roman Regular"/>
                <w:b/>
                <w:bCs/>
                <w:sz w:val="20"/>
                <w:szCs w:val="20"/>
              </w:rPr>
              <w:t xml:space="preserve"> </w:t>
            </w:r>
            <w:r>
              <w:rPr>
                <w:rFonts w:ascii="Times New Roman Regular" w:hAnsi="Times New Roman Regular" w:cs="Times New Roman Regular"/>
                <w:sz w:val="20"/>
                <w:szCs w:val="20"/>
              </w:rPr>
              <w:t>DML Estimation using Different Learners</w:t>
            </w:r>
          </w:p>
        </w:tc>
      </w:tr>
      <w:tr>
        <w:tc>
          <w:tcPr>
            <w:tcW w:w="2835" w:type="dxa"/>
            <w:tcBorders>
              <w:top w:val="double" w:color="auto" w:sz="4" w:space="0"/>
              <w:left w:val="nil"/>
              <w:bottom w:val="single" w:color="auto" w:sz="4" w:space="0"/>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rPr>
            </w:pPr>
          </w:p>
        </w:tc>
        <w:tc>
          <w:tcPr>
            <w:tcW w:w="2835" w:type="dxa"/>
            <w:tcBorders>
              <w:top w:val="double" w:color="auto" w:sz="4" w:space="0"/>
              <w:left w:val="nil"/>
              <w:bottom w:val="single" w:color="auto" w:sz="4" w:space="0"/>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(1)</w:t>
            </w:r>
          </w:p>
        </w:tc>
        <w:tc>
          <w:tcPr>
            <w:tcW w:w="2836" w:type="dxa"/>
            <w:tcBorders>
              <w:top w:val="double" w:color="auto" w:sz="4" w:space="0"/>
              <w:left w:val="nil"/>
              <w:bottom w:val="single" w:color="auto" w:sz="4" w:space="0"/>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(2)</w:t>
            </w:r>
          </w:p>
        </w:tc>
      </w:tr>
      <w:tr>
        <w:tc>
          <w:tcPr>
            <w:tcW w:w="2835" w:type="dxa"/>
            <w:tcBorders>
              <w:top w:val="single" w:color="auto" w:sz="4" w:space="0"/>
              <w:left w:val="nil"/>
              <w:bottom w:val="single" w:color="auto" w:sz="4" w:space="0"/>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rPr>
            </w:pPr>
          </w:p>
        </w:tc>
        <w:tc>
          <w:tcPr>
            <w:tcW w:w="2835" w:type="dxa"/>
            <w:tcBorders>
              <w:top w:val="single" w:color="auto" w:sz="4" w:space="0"/>
              <w:left w:val="nil"/>
              <w:bottom w:val="single" w:color="auto" w:sz="4" w:space="0"/>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Random Forest</w:t>
            </w:r>
          </w:p>
        </w:tc>
        <w:tc>
          <w:tcPr>
            <w:tcW w:w="2836" w:type="dxa"/>
            <w:tcBorders>
              <w:top w:val="single" w:color="auto" w:sz="4" w:space="0"/>
              <w:left w:val="nil"/>
              <w:bottom w:val="single" w:color="auto" w:sz="4" w:space="0"/>
              <w:right w:val="nil"/>
            </w:tcBorders>
            <w:shd w:val="clear" w:color="auto" w:fill="auto"/>
            <w:tcMar>
              <w:left w:w="100" w:type="dxa"/>
              <w:right w:w="100" w:type="dxa"/>
            </w:tcMar>
            <w:vAlign w:val="center"/>
          </w:tcPr>
          <w:p>
            <w:pPr>
              <w:widowControl/>
              <w:jc w:val="center"/>
              <w:rPr>
                <w:rFonts w:ascii="Times New Roman Regular" w:hAnsi="Times New Roman Regular" w:cs="Times New Roman Regular"/>
                <w:kern w:val="0"/>
                <w:sz w:val="20"/>
                <w:szCs w:val="20"/>
                <w:lang w:bidi="ar"/>
              </w:rPr>
            </w:pPr>
            <w:r>
              <w:rPr>
                <w:rFonts w:ascii="Times New Roman Regular" w:hAnsi="Times New Roman Regular" w:eastAsia="宋体" w:cs="Times New Roman Regular"/>
                <w:kern w:val="0"/>
                <w:sz w:val="20"/>
                <w:szCs w:val="20"/>
                <w:lang w:bidi="ar"/>
              </w:rPr>
              <w:t>XGBoost</w:t>
            </w:r>
          </w:p>
        </w:tc>
      </w:tr>
      <w:tr>
        <w:tc>
          <w:tcPr>
            <w:tcW w:w="2835" w:type="dxa"/>
            <w:tcBorders>
              <w:top w:val="single" w:color="auto" w:sz="4" w:space="0"/>
              <w:left w:val="nil"/>
              <w:bottom w:val="nil"/>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rPr>
            </w:pPr>
          </w:p>
        </w:tc>
        <w:tc>
          <w:tcPr>
            <w:tcW w:w="2835" w:type="dxa"/>
            <w:tcBorders>
              <w:top w:val="single" w:color="auto" w:sz="4" w:space="0"/>
              <w:left w:val="nil"/>
              <w:bottom w:val="nil"/>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EMP</w:t>
            </w:r>
          </w:p>
        </w:tc>
        <w:tc>
          <w:tcPr>
            <w:tcW w:w="2836" w:type="dxa"/>
            <w:tcBorders>
              <w:top w:val="single" w:color="auto" w:sz="4" w:space="0"/>
              <w:left w:val="nil"/>
              <w:bottom w:val="nil"/>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EMP</w:t>
            </w:r>
          </w:p>
        </w:tc>
      </w:tr>
      <w:tr>
        <w:tc>
          <w:tcPr>
            <w:tcW w:w="2835"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rPr>
            </w:pPr>
            <w:r>
              <w:rPr>
                <w:rFonts w:ascii="Times New Roman Regular" w:hAnsi="Times New Roman Regular" w:cs="Times New Roman Regular"/>
                <w:i/>
                <w:iCs/>
                <w:sz w:val="20"/>
                <w:szCs w:val="20"/>
              </w:rPr>
              <w:t>treat*post</w:t>
            </w:r>
          </w:p>
        </w:tc>
        <w:tc>
          <w:tcPr>
            <w:tcW w:w="2835"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0.1909</w:t>
            </w:r>
            <w:r>
              <w:rPr>
                <w:rFonts w:ascii="Times New Roman Regular" w:hAnsi="Times New Roman Regular" w:cs="Times New Roman Regular"/>
                <w:sz w:val="20"/>
                <w:szCs w:val="20"/>
                <w:vertAlign w:val="superscript"/>
                <w:lang w:bidi="ar"/>
              </w:rPr>
              <w:t>***</w:t>
            </w:r>
          </w:p>
        </w:tc>
        <w:tc>
          <w:tcPr>
            <w:tcW w:w="2836"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0.1997</w:t>
            </w:r>
            <w:r>
              <w:rPr>
                <w:rFonts w:ascii="Times New Roman Regular" w:hAnsi="Times New Roman Regular" w:cs="Times New Roman Regular"/>
                <w:sz w:val="20"/>
                <w:szCs w:val="20"/>
                <w:vertAlign w:val="superscript"/>
                <w:lang w:bidi="ar"/>
              </w:rPr>
              <w:t>***</w:t>
            </w:r>
          </w:p>
        </w:tc>
      </w:tr>
      <w:tr>
        <w:tc>
          <w:tcPr>
            <w:tcW w:w="2835"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rPr>
            </w:pPr>
          </w:p>
        </w:tc>
        <w:tc>
          <w:tcPr>
            <w:tcW w:w="2835"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(0.0690)</w:t>
            </w:r>
          </w:p>
        </w:tc>
        <w:tc>
          <w:tcPr>
            <w:tcW w:w="2836"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(0.0732)</w:t>
            </w:r>
          </w:p>
        </w:tc>
      </w:tr>
      <w:tr>
        <w:tc>
          <w:tcPr>
            <w:tcW w:w="2835"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Constant</w:t>
            </w:r>
          </w:p>
        </w:tc>
        <w:tc>
          <w:tcPr>
            <w:tcW w:w="2835"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-0.0082</w:t>
            </w:r>
          </w:p>
        </w:tc>
        <w:tc>
          <w:tcPr>
            <w:tcW w:w="2836"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-0.0160</w:t>
            </w:r>
          </w:p>
        </w:tc>
      </w:tr>
      <w:tr>
        <w:tc>
          <w:tcPr>
            <w:tcW w:w="2835"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rPr>
            </w:pPr>
          </w:p>
        </w:tc>
        <w:tc>
          <w:tcPr>
            <w:tcW w:w="2835"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(0.0163)</w:t>
            </w:r>
          </w:p>
        </w:tc>
        <w:tc>
          <w:tcPr>
            <w:tcW w:w="2836"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(0.0191)</w:t>
            </w:r>
          </w:p>
        </w:tc>
      </w:tr>
      <w:tr>
        <w:tc>
          <w:tcPr>
            <w:tcW w:w="2835" w:type="dxa"/>
            <w:tcBorders>
              <w:top w:val="nil"/>
              <w:left w:val="nil"/>
              <w:bottom w:val="double" w:color="auto" w:sz="4" w:space="0"/>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Observations</w:t>
            </w:r>
          </w:p>
        </w:tc>
        <w:tc>
          <w:tcPr>
            <w:tcW w:w="2835" w:type="dxa"/>
            <w:tcBorders>
              <w:top w:val="nil"/>
              <w:left w:val="nil"/>
              <w:bottom w:val="double" w:color="auto" w:sz="4" w:space="0"/>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5273</w:t>
            </w:r>
          </w:p>
        </w:tc>
        <w:tc>
          <w:tcPr>
            <w:tcW w:w="2836" w:type="dxa"/>
            <w:tcBorders>
              <w:top w:val="nil"/>
              <w:left w:val="nil"/>
              <w:bottom w:val="double" w:color="auto" w:sz="4" w:space="0"/>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5273</w:t>
            </w:r>
          </w:p>
        </w:tc>
      </w:tr>
    </w:tbl>
    <w:p>
      <w:pPr>
        <w:pStyle w:val="8"/>
        <w:widowControl/>
        <w:spacing w:beforeAutospacing="0" w:afterAutospacing="0"/>
        <w:jc w:val="both"/>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Standard errors in parentheses</w:t>
      </w:r>
    </w:p>
    <w:p>
      <w:pPr>
        <w:pStyle w:val="8"/>
        <w:widowControl/>
        <w:spacing w:beforeAutospacing="0" w:after="157" w:afterLines="50" w:afterAutospacing="0"/>
        <w:jc w:val="both"/>
        <w:rPr>
          <w:rFonts w:ascii="Times New Roman Regular" w:hAnsi="Times New Roman Regular" w:cs="Times New Roman Regular"/>
          <w:sz w:val="20"/>
          <w:szCs w:val="20"/>
        </w:rPr>
      </w:pPr>
      <w:r>
        <w:rPr>
          <w:rFonts w:ascii="Times New Roman Regular" w:hAnsi="Times New Roman Regular" w:cs="Times New Roman Regular"/>
          <w:sz w:val="20"/>
          <w:szCs w:val="20"/>
          <w:vertAlign w:val="superscript"/>
          <w:lang w:bidi="ar"/>
        </w:rPr>
        <w:t>*</w:t>
      </w:r>
      <w:r>
        <w:rPr>
          <w:rFonts w:ascii="Times New Roman Regular" w:hAnsi="Times New Roman Regular" w:cs="Times New Roman Regular"/>
          <w:sz w:val="20"/>
          <w:szCs w:val="20"/>
          <w:lang w:bidi="ar"/>
        </w:rPr>
        <w:t xml:space="preserve"> </w:t>
      </w:r>
      <w:r>
        <w:rPr>
          <w:rFonts w:ascii="Times New Roman Regular" w:hAnsi="Times New Roman Regular" w:cs="Times New Roman Regular"/>
          <w:i/>
          <w:iCs/>
          <w:sz w:val="20"/>
          <w:szCs w:val="20"/>
          <w:lang w:bidi="ar"/>
        </w:rPr>
        <w:t>p</w:t>
      </w:r>
      <w:r>
        <w:rPr>
          <w:rFonts w:ascii="Times New Roman Regular" w:hAnsi="Times New Roman Regular" w:cs="Times New Roman Regular"/>
          <w:sz w:val="20"/>
          <w:szCs w:val="20"/>
          <w:lang w:bidi="ar"/>
        </w:rPr>
        <w:t xml:space="preserve"> &lt; 0.10, </w:t>
      </w:r>
      <w:r>
        <w:rPr>
          <w:rFonts w:ascii="Times New Roman Regular" w:hAnsi="Times New Roman Regular" w:cs="Times New Roman Regular"/>
          <w:sz w:val="20"/>
          <w:szCs w:val="20"/>
          <w:vertAlign w:val="superscript"/>
          <w:lang w:bidi="ar"/>
        </w:rPr>
        <w:t>**</w:t>
      </w:r>
      <w:r>
        <w:rPr>
          <w:rFonts w:ascii="Times New Roman Regular" w:hAnsi="Times New Roman Regular" w:cs="Times New Roman Regular"/>
          <w:sz w:val="20"/>
          <w:szCs w:val="20"/>
          <w:lang w:bidi="ar"/>
        </w:rPr>
        <w:t xml:space="preserve"> </w:t>
      </w:r>
      <w:r>
        <w:rPr>
          <w:rFonts w:ascii="Times New Roman Regular" w:hAnsi="Times New Roman Regular" w:cs="Times New Roman Regular"/>
          <w:i/>
          <w:iCs/>
          <w:sz w:val="20"/>
          <w:szCs w:val="20"/>
          <w:lang w:bidi="ar"/>
        </w:rPr>
        <w:t>p</w:t>
      </w:r>
      <w:r>
        <w:rPr>
          <w:rFonts w:ascii="Times New Roman Regular" w:hAnsi="Times New Roman Regular" w:cs="Times New Roman Regular"/>
          <w:sz w:val="20"/>
          <w:szCs w:val="20"/>
          <w:lang w:bidi="ar"/>
        </w:rPr>
        <w:t xml:space="preserve"> &lt; 0.05, </w:t>
      </w:r>
      <w:r>
        <w:rPr>
          <w:rFonts w:ascii="Times New Roman Regular" w:hAnsi="Times New Roman Regular" w:cs="Times New Roman Regular"/>
          <w:sz w:val="20"/>
          <w:szCs w:val="20"/>
          <w:vertAlign w:val="superscript"/>
          <w:lang w:bidi="ar"/>
        </w:rPr>
        <w:t>***</w:t>
      </w:r>
      <w:r>
        <w:rPr>
          <w:rFonts w:ascii="Times New Roman Regular" w:hAnsi="Times New Roman Regular" w:cs="Times New Roman Regular"/>
          <w:sz w:val="20"/>
          <w:szCs w:val="20"/>
          <w:lang w:bidi="ar"/>
        </w:rPr>
        <w:t xml:space="preserve"> </w:t>
      </w:r>
      <w:r>
        <w:rPr>
          <w:rFonts w:ascii="Times New Roman Regular" w:hAnsi="Times New Roman Regular" w:cs="Times New Roman Regular"/>
          <w:i/>
          <w:iCs/>
          <w:sz w:val="20"/>
          <w:szCs w:val="20"/>
          <w:lang w:bidi="ar"/>
        </w:rPr>
        <w:t>p</w:t>
      </w:r>
      <w:r>
        <w:rPr>
          <w:rFonts w:ascii="Times New Roman Regular" w:hAnsi="Times New Roman Regular" w:cs="Times New Roman Regular"/>
          <w:sz w:val="20"/>
          <w:szCs w:val="20"/>
          <w:lang w:bidi="ar"/>
        </w:rPr>
        <w:t xml:space="preserve"> &lt; 0.01</w:t>
      </w:r>
    </w:p>
    <w:p>
      <w:pPr>
        <w:spacing w:before="0" w:beforeLines="0" w:after="157" w:afterLines="50"/>
        <w:rPr>
          <w:rFonts w:ascii="Times New Roman Bold" w:hAnsi="Times New Roman Bold" w:cs="Times New Roman Bold"/>
          <w:b/>
          <w:sz w:val="24"/>
        </w:rPr>
      </w:pPr>
      <w:r>
        <w:rPr>
          <w:rFonts w:hint="eastAsia" w:ascii="Times New Roman Bold" w:hAnsi="Times New Roman Bold" w:cs="Times New Roman Bold"/>
          <w:bCs/>
          <w:sz w:val="24"/>
          <w:lang w:val="en-US" w:eastAsia="zh-CN"/>
        </w:rPr>
        <w:t>4.3</w:t>
      </w:r>
      <w:r>
        <w:rPr>
          <w:rFonts w:ascii="Times New Roman Bold" w:hAnsi="Times New Roman Bold" w:cs="Times New Roman Bold"/>
          <w:bCs/>
          <w:sz w:val="24"/>
        </w:rPr>
        <w:t xml:space="preserve"> </w:t>
      </w:r>
      <w:r>
        <w:rPr>
          <w:rFonts w:hint="eastAsia" w:ascii="Times New Roman Bold" w:hAnsi="Times New Roman Bold" w:cs="Times New Roman Bold"/>
          <w:bCs/>
          <w:sz w:val="24"/>
          <w:lang w:val="en-US" w:eastAsia="zh-CN"/>
        </w:rPr>
        <w:t>M</w:t>
      </w:r>
      <w:r>
        <w:rPr>
          <w:rFonts w:ascii="Times New Roman Bold" w:hAnsi="Times New Roman Bold" w:eastAsia="宋体" w:cs="Times New Roman Bold"/>
          <w:b/>
          <w:kern w:val="0"/>
          <w:sz w:val="24"/>
          <w:lang w:bidi="ar"/>
        </w:rPr>
        <w:t xml:space="preserve">oderating </w:t>
      </w:r>
      <w:r>
        <w:rPr>
          <w:rFonts w:hint="eastAsia" w:ascii="Times New Roman Bold" w:hAnsi="Times New Roman Bold" w:eastAsia="宋体" w:cs="Times New Roman Bold"/>
          <w:b/>
          <w:kern w:val="0"/>
          <w:sz w:val="24"/>
          <w:lang w:val="en-US" w:eastAsia="zh-CN" w:bidi="ar"/>
        </w:rPr>
        <w:t>r</w:t>
      </w:r>
      <w:r>
        <w:rPr>
          <w:rFonts w:ascii="Times New Roman Bold" w:hAnsi="Times New Roman Bold" w:eastAsia="宋体" w:cs="Times New Roman Bold"/>
          <w:b/>
          <w:kern w:val="0"/>
          <w:sz w:val="24"/>
          <w:lang w:bidi="ar"/>
        </w:rPr>
        <w:t xml:space="preserve">ole of </w:t>
      </w:r>
      <w:r>
        <w:rPr>
          <w:rFonts w:hint="eastAsia" w:ascii="Times New Roman Bold" w:hAnsi="Times New Roman Bold" w:eastAsia="宋体" w:cs="Times New Roman Bold"/>
          <w:b/>
          <w:kern w:val="0"/>
          <w:sz w:val="24"/>
          <w:lang w:val="en-US" w:eastAsia="zh-CN" w:bidi="ar"/>
        </w:rPr>
        <w:t>u</w:t>
      </w:r>
      <w:r>
        <w:rPr>
          <w:rFonts w:ascii="Times New Roman Bold" w:hAnsi="Times New Roman Bold" w:eastAsia="宋体" w:cs="Times New Roman Bold"/>
          <w:b/>
          <w:kern w:val="0"/>
          <w:sz w:val="24"/>
          <w:lang w:bidi="ar"/>
        </w:rPr>
        <w:t xml:space="preserve">rban </w:t>
      </w:r>
      <w:r>
        <w:rPr>
          <w:rFonts w:hint="eastAsia" w:ascii="Times New Roman Bold" w:hAnsi="Times New Roman Bold" w:eastAsia="宋体" w:cs="Times New Roman Bold"/>
          <w:b/>
          <w:kern w:val="0"/>
          <w:sz w:val="24"/>
          <w:lang w:val="en-US" w:eastAsia="zh-CN" w:bidi="ar"/>
        </w:rPr>
        <w:t>e</w:t>
      </w:r>
      <w:r>
        <w:rPr>
          <w:rFonts w:ascii="Times New Roman Bold" w:hAnsi="Times New Roman Bold" w:eastAsia="宋体" w:cs="Times New Roman Bold"/>
          <w:b/>
          <w:kern w:val="0"/>
          <w:sz w:val="24"/>
          <w:lang w:bidi="ar"/>
        </w:rPr>
        <w:t>xpansion</w:t>
      </w:r>
    </w:p>
    <w:p>
      <w:pPr>
        <w:widowControl/>
        <w:spacing w:after="157" w:afterLines="50"/>
        <w:ind w:firstLine="120" w:firstLineChars="50"/>
        <w:rPr>
          <w:rFonts w:ascii="Times New Roman Regular" w:hAnsi="Times New Roman Regular" w:eastAsia="宋体" w:cs="Times New Roman Regular"/>
          <w:kern w:val="0"/>
          <w:sz w:val="24"/>
          <w:lang w:bidi="ar"/>
        </w:rPr>
      </w:pPr>
      <w:r>
        <w:rPr>
          <w:rFonts w:ascii="Times New Roman Regular" w:hAnsi="Times New Roman Regular" w:eastAsia="宋体" w:cs="Times New Roman Regular"/>
          <w:kern w:val="0"/>
          <w:sz w:val="24"/>
          <w:lang w:bidi="ar"/>
        </w:rPr>
        <w:t>To further explore the mechanisms through which the new-type urbanization pilot policy influences employment quality, we augment</w:t>
      </w:r>
      <w:r>
        <w:rPr>
          <w:rFonts w:hint="eastAsia" w:ascii="Times New Roman Regular" w:hAnsi="Times New Roman Regular" w:eastAsia="宋体" w:cs="Times New Roman Regular"/>
          <w:kern w:val="0"/>
          <w:sz w:val="24"/>
          <w:lang w:val="en-US" w:eastAsia="zh-CN" w:bidi="ar"/>
        </w:rPr>
        <w:t>ed</w:t>
      </w:r>
      <w:r>
        <w:rPr>
          <w:rFonts w:ascii="Times New Roman Regular" w:hAnsi="Times New Roman Regular" w:eastAsia="宋体" w:cs="Times New Roman Regular"/>
          <w:kern w:val="0"/>
          <w:sz w:val="24"/>
          <w:lang w:bidi="ar"/>
        </w:rPr>
        <w:t xml:space="preserve"> the baseline model by introducing variables that capture</w:t>
      </w:r>
      <w:r>
        <w:rPr>
          <w:rFonts w:hint="eastAsia" w:ascii="Times New Roman Regular" w:hAnsi="Times New Roman Regular" w:eastAsia="宋体" w:cs="Times New Roman Regular"/>
          <w:kern w:val="0"/>
          <w:sz w:val="24"/>
          <w:lang w:val="en-US" w:eastAsia="zh-CN" w:bidi="ar"/>
        </w:rPr>
        <w:t>d</w:t>
      </w:r>
      <w:r>
        <w:rPr>
          <w:rFonts w:ascii="Times New Roman Regular" w:hAnsi="Times New Roman Regular" w:eastAsia="宋体" w:cs="Times New Roman Regular"/>
          <w:kern w:val="0"/>
          <w:sz w:val="24"/>
          <w:lang w:bidi="ar"/>
        </w:rPr>
        <w:t xml:space="preserve"> urban spatial expansion. </w:t>
      </w:r>
    </w:p>
    <w:p>
      <w:pPr>
        <w:pStyle w:val="18"/>
        <w:widowControl/>
        <w:jc w:val="center"/>
        <w:rPr>
          <w:rFonts w:ascii="Times New Roman Regular" w:hAnsi="Times New Roman Regular" w:cs="Times New Roman Regular"/>
          <w:i/>
          <w:kern w:val="2"/>
          <w:vertAlign w:val="subscript"/>
        </w:rPr>
      </w:pPr>
      <m:oMath>
        <m:sSub>
          <m:sSubPr>
            <m:ctrlPr>
              <w:rPr>
                <w:rFonts w:ascii="DejaVu Math TeX Gyre" w:hAnsi="DejaVu Math TeX Gyre" w:cs="Times New Roman Regular"/>
                <w:i/>
                <w:iCs/>
                <w:kern w:val="2"/>
                <w:sz w:val="20"/>
                <w:szCs w:val="20"/>
              </w:rPr>
            </m:ctrlPr>
          </m:sSubPr>
          <m:e>
            <m:r>
              <m:rPr/>
              <w:rPr>
                <w:rFonts w:ascii="DejaVu Math TeX Gyre" w:hAnsi="DejaVu Math TeX Gyre" w:cs="Times New Roman Regular"/>
                <w:kern w:val="2"/>
                <w:sz w:val="20"/>
                <w:szCs w:val="20"/>
              </w:rPr>
              <m:t>EMP</m:t>
            </m:r>
            <m:ctrlPr>
              <w:rPr>
                <w:rFonts w:ascii="DejaVu Math TeX Gyre" w:hAnsi="DejaVu Math TeX Gyre" w:cs="Times New Roman Regular"/>
                <w:i/>
                <w:iCs/>
                <w:kern w:val="2"/>
                <w:sz w:val="20"/>
                <w:szCs w:val="20"/>
              </w:rPr>
            </m:ctrlPr>
          </m:e>
          <m:sub>
            <m:r>
              <m:rPr/>
              <w:rPr>
                <w:rFonts w:ascii="DejaVu Math TeX Gyre" w:hAnsi="DejaVu Math TeX Gyre" w:cs="Times New Roman Regular"/>
                <w:kern w:val="2"/>
                <w:sz w:val="20"/>
                <w:szCs w:val="20"/>
              </w:rPr>
              <m:t>it</m:t>
            </m:r>
            <m:ctrlPr>
              <w:rPr>
                <w:rFonts w:ascii="DejaVu Math TeX Gyre" w:hAnsi="DejaVu Math TeX Gyre" w:cs="Times New Roman Regular"/>
                <w:i/>
                <w:iCs/>
                <w:kern w:val="2"/>
                <w:sz w:val="20"/>
                <w:szCs w:val="20"/>
              </w:rPr>
            </m:ctrlPr>
          </m:sub>
        </m:sSub>
        <m:r>
          <m:rPr>
            <m:sty m:val="p"/>
          </m:rPr>
          <w:rPr>
            <w:rFonts w:ascii="DejaVu Math TeX Gyre" w:hAnsi="DejaVu Math TeX Gyre" w:cs="Times New Roman Regular"/>
            <w:kern w:val="2"/>
            <w:sz w:val="20"/>
            <w:szCs w:val="20"/>
          </w:rPr>
          <m:t>=</m:t>
        </m:r>
        <m:sSub>
          <m:sSubPr>
            <m:ctrlPr>
              <w:rPr>
                <w:rFonts w:ascii="DejaVu Math TeX Gyre" w:hAnsi="DejaVu Math TeX Gyre" w:cs="Times New Roman Regular"/>
                <w:i/>
                <w:iCs/>
                <w:kern w:val="2"/>
                <w:sz w:val="20"/>
                <w:szCs w:val="20"/>
              </w:rPr>
            </m:ctrlPr>
          </m:sSubPr>
          <m:e>
            <m:r>
              <m:rPr/>
              <w:rPr>
                <w:rFonts w:ascii="DejaVu Math TeX Gyre" w:hAnsi="DejaVu Math TeX Gyre" w:cs="Times New Roman Regular"/>
                <w:kern w:val="2"/>
                <w:sz w:val="20"/>
                <w:szCs w:val="20"/>
              </w:rPr>
              <m:t>β</m:t>
            </m:r>
            <m:ctrlPr>
              <w:rPr>
                <w:rFonts w:ascii="DejaVu Math TeX Gyre" w:hAnsi="DejaVu Math TeX Gyre" w:cs="Times New Roman Regular"/>
                <w:i/>
                <w:iCs/>
                <w:kern w:val="2"/>
                <w:sz w:val="20"/>
                <w:szCs w:val="20"/>
              </w:rPr>
            </m:ctrlPr>
          </m:e>
          <m:sub>
            <m:r>
              <m:rPr/>
              <w:rPr>
                <w:rFonts w:ascii="DejaVu Math TeX Gyre" w:hAnsi="DejaVu Math TeX Gyre" w:cs="Times New Roman Regular"/>
                <w:kern w:val="2"/>
                <w:sz w:val="20"/>
                <w:szCs w:val="20"/>
              </w:rPr>
              <m:t>0</m:t>
            </m:r>
            <m:ctrlPr>
              <w:rPr>
                <w:rFonts w:ascii="DejaVu Math TeX Gyre" w:hAnsi="DejaVu Math TeX Gyre" w:cs="Times New Roman Regular"/>
                <w:i/>
                <w:iCs/>
                <w:kern w:val="2"/>
                <w:sz w:val="20"/>
                <w:szCs w:val="20"/>
              </w:rPr>
            </m:ctrlPr>
          </m:sub>
        </m:sSub>
      </m:oMath>
      <w:r>
        <w:rPr>
          <w:rFonts w:ascii="Times New Roman Regular" w:hAnsi="Times New Roman Regular" w:cs="Times New Roman Regular"/>
          <w:kern w:val="2"/>
          <w:sz w:val="20"/>
          <w:szCs w:val="20"/>
        </w:rPr>
        <w:t>+</w:t>
      </w:r>
      <m:oMath>
        <m:sSub>
          <m:sSubPr>
            <m:ctrlPr>
              <w:rPr>
                <w:rFonts w:ascii="DejaVu Math TeX Gyre" w:hAnsi="DejaVu Math TeX Gyre" w:cs="Times New Roman Regular"/>
                <w:i/>
                <w:iCs/>
                <w:kern w:val="2"/>
                <w:sz w:val="20"/>
                <w:szCs w:val="20"/>
              </w:rPr>
            </m:ctrlPr>
          </m:sSubPr>
          <m:e>
            <m:r>
              <m:rPr/>
              <w:rPr>
                <w:rFonts w:ascii="DejaVu Math TeX Gyre" w:hAnsi="DejaVu Math TeX Gyre" w:cs="Times New Roman Regular"/>
                <w:kern w:val="2"/>
                <w:sz w:val="20"/>
                <w:szCs w:val="20"/>
              </w:rPr>
              <m:t>β</m:t>
            </m:r>
            <m:ctrlPr>
              <w:rPr>
                <w:rFonts w:ascii="DejaVu Math TeX Gyre" w:hAnsi="DejaVu Math TeX Gyre" w:cs="Times New Roman Regular"/>
                <w:i/>
                <w:iCs/>
                <w:kern w:val="2"/>
                <w:sz w:val="20"/>
                <w:szCs w:val="20"/>
              </w:rPr>
            </m:ctrlPr>
          </m:e>
          <m:sub>
            <m:r>
              <m:rPr/>
              <w:rPr>
                <w:rFonts w:ascii="DejaVu Math TeX Gyre" w:hAnsi="DejaVu Math TeX Gyre" w:cs="Times New Roman Regular"/>
                <w:kern w:val="2"/>
                <w:sz w:val="20"/>
                <w:szCs w:val="20"/>
              </w:rPr>
              <m:t>1</m:t>
            </m:r>
            <m:ctrlPr>
              <w:rPr>
                <w:rFonts w:ascii="DejaVu Math TeX Gyre" w:hAnsi="DejaVu Math TeX Gyre" w:cs="Times New Roman Regular"/>
                <w:i/>
                <w:iCs/>
                <w:kern w:val="2"/>
                <w:sz w:val="20"/>
                <w:szCs w:val="20"/>
              </w:rPr>
            </m:ctrlPr>
          </m:sub>
        </m:sSub>
        <m:sSub>
          <m:sSubPr>
            <m:ctrlPr>
              <w:rPr>
                <w:rFonts w:ascii="DejaVu Math TeX Gyre" w:hAnsi="DejaVu Math TeX Gyre" w:cs="Times New Roman Regular"/>
                <w:i/>
                <w:iCs/>
                <w:kern w:val="2"/>
                <w:sz w:val="20"/>
                <w:szCs w:val="20"/>
              </w:rPr>
            </m:ctrlPr>
          </m:sSubPr>
          <m:e>
            <m:r>
              <m:rPr/>
              <w:rPr>
                <w:rFonts w:ascii="DejaVu Math TeX Gyre" w:hAnsi="DejaVu Math TeX Gyre" w:cs="Times New Roman Regular"/>
                <w:kern w:val="2"/>
                <w:sz w:val="20"/>
                <w:szCs w:val="20"/>
              </w:rPr>
              <m:t>treat</m:t>
            </m:r>
            <m:ctrlPr>
              <w:rPr>
                <w:rFonts w:ascii="DejaVu Math TeX Gyre" w:hAnsi="DejaVu Math TeX Gyre" w:cs="Times New Roman Regular"/>
                <w:i/>
                <w:iCs/>
                <w:kern w:val="2"/>
                <w:sz w:val="20"/>
                <w:szCs w:val="20"/>
              </w:rPr>
            </m:ctrlPr>
          </m:e>
          <m:sub>
            <m:r>
              <m:rPr/>
              <w:rPr>
                <w:rFonts w:ascii="DejaVu Math TeX Gyre" w:hAnsi="DejaVu Math TeX Gyre" w:cs="Times New Roman Regular"/>
                <w:kern w:val="2"/>
                <w:sz w:val="20"/>
                <w:szCs w:val="20"/>
              </w:rPr>
              <m:t>it</m:t>
            </m:r>
            <m:ctrlPr>
              <w:rPr>
                <w:rFonts w:ascii="DejaVu Math TeX Gyre" w:hAnsi="DejaVu Math TeX Gyre" w:cs="Times New Roman Regular"/>
                <w:i/>
                <w:iCs/>
                <w:kern w:val="2"/>
                <w:sz w:val="20"/>
                <w:szCs w:val="20"/>
              </w:rPr>
            </m:ctrlPr>
          </m:sub>
        </m:sSub>
        <m:r>
          <m:rPr>
            <m:sty m:val="p"/>
          </m:rPr>
          <w:rPr>
            <w:rFonts w:ascii="DejaVu Math TeX Gyre" w:hAnsi="DejaVu Math TeX Gyre" w:cs="Times New Roman Regular"/>
            <w:kern w:val="2"/>
            <w:sz w:val="20"/>
            <w:szCs w:val="20"/>
          </w:rPr>
          <m:t>∗</m:t>
        </m:r>
        <m:sSub>
          <m:sSubPr>
            <m:ctrlPr>
              <w:rPr>
                <w:rFonts w:ascii="DejaVu Math TeX Gyre" w:hAnsi="DejaVu Math TeX Gyre" w:cs="Times New Roman Regular"/>
                <w:i/>
                <w:iCs/>
                <w:kern w:val="2"/>
                <w:sz w:val="20"/>
                <w:szCs w:val="20"/>
              </w:rPr>
            </m:ctrlPr>
          </m:sSubPr>
          <m:e>
            <m:r>
              <m:rPr/>
              <w:rPr>
                <w:rFonts w:ascii="DejaVu Math TeX Gyre" w:hAnsi="DejaVu Math TeX Gyre" w:cs="Times New Roman Regular"/>
                <w:kern w:val="2"/>
                <w:sz w:val="20"/>
                <w:szCs w:val="20"/>
              </w:rPr>
              <m:t>post</m:t>
            </m:r>
            <m:ctrlPr>
              <w:rPr>
                <w:rFonts w:ascii="DejaVu Math TeX Gyre" w:hAnsi="DejaVu Math TeX Gyre" w:cs="Times New Roman Regular"/>
                <w:i/>
                <w:iCs/>
                <w:kern w:val="2"/>
                <w:sz w:val="20"/>
                <w:szCs w:val="20"/>
              </w:rPr>
            </m:ctrlPr>
          </m:e>
          <m:sub>
            <m:r>
              <m:rPr/>
              <w:rPr>
                <w:rFonts w:ascii="DejaVu Math TeX Gyre" w:hAnsi="DejaVu Math TeX Gyre" w:cs="Times New Roman Regular"/>
                <w:kern w:val="2"/>
                <w:sz w:val="20"/>
                <w:szCs w:val="20"/>
              </w:rPr>
              <m:t>it</m:t>
            </m:r>
            <m:ctrlPr>
              <w:rPr>
                <w:rFonts w:ascii="DejaVu Math TeX Gyre" w:hAnsi="DejaVu Math TeX Gyre" w:cs="Times New Roman Regular"/>
                <w:i/>
                <w:iCs/>
                <w:kern w:val="2"/>
                <w:sz w:val="20"/>
                <w:szCs w:val="20"/>
              </w:rPr>
            </m:ctrlPr>
          </m:sub>
        </m:sSub>
      </m:oMath>
      <w:r>
        <w:rPr>
          <w:rFonts w:ascii="Times New Roman Regular" w:hAnsi="Times New Roman Regular" w:cs="Times New Roman Regular"/>
          <w:kern w:val="2"/>
          <w:sz w:val="20"/>
          <w:szCs w:val="20"/>
        </w:rPr>
        <w:t>+</w:t>
      </w:r>
      <m:oMath>
        <m:sSub>
          <m:sSubPr>
            <m:ctrlPr>
              <w:rPr>
                <w:rFonts w:ascii="DejaVu Math TeX Gyre" w:hAnsi="DejaVu Math TeX Gyre" w:cs="Times New Roman Regular"/>
                <w:i/>
                <w:iCs/>
                <w:kern w:val="2"/>
                <w:sz w:val="20"/>
                <w:szCs w:val="20"/>
              </w:rPr>
            </m:ctrlPr>
          </m:sSubPr>
          <m:e>
            <m:r>
              <m:rPr/>
              <w:rPr>
                <w:rFonts w:ascii="DejaVu Math TeX Gyre" w:hAnsi="DejaVu Math TeX Gyre" w:cs="Times New Roman Regular"/>
                <w:kern w:val="2"/>
                <w:sz w:val="20"/>
                <w:szCs w:val="20"/>
              </w:rPr>
              <m:t>β</m:t>
            </m:r>
            <m:ctrlPr>
              <w:rPr>
                <w:rFonts w:ascii="DejaVu Math TeX Gyre" w:hAnsi="DejaVu Math TeX Gyre" w:cs="Times New Roman Regular"/>
                <w:i/>
                <w:iCs/>
                <w:kern w:val="2"/>
                <w:sz w:val="20"/>
                <w:szCs w:val="20"/>
              </w:rPr>
            </m:ctrlPr>
          </m:e>
          <m:sub>
            <m:r>
              <m:rPr/>
              <w:rPr>
                <w:rFonts w:ascii="DejaVu Math TeX Gyre" w:hAnsi="DejaVu Math TeX Gyre" w:cs="Times New Roman Regular"/>
                <w:kern w:val="2"/>
                <w:sz w:val="20"/>
                <w:szCs w:val="20"/>
              </w:rPr>
              <m:t>1</m:t>
            </m:r>
            <m:ctrlPr>
              <w:rPr>
                <w:rFonts w:ascii="DejaVu Math TeX Gyre" w:hAnsi="DejaVu Math TeX Gyre" w:cs="Times New Roman Regular"/>
                <w:i/>
                <w:iCs/>
                <w:kern w:val="2"/>
                <w:sz w:val="20"/>
                <w:szCs w:val="20"/>
              </w:rPr>
            </m:ctrlPr>
          </m:sub>
        </m:sSub>
        <m:sSub>
          <m:sSubPr>
            <m:ctrlPr>
              <w:rPr>
                <w:rFonts w:ascii="DejaVu Math TeX Gyre" w:hAnsi="DejaVu Math TeX Gyre" w:cs="Times New Roman Regular"/>
                <w:i/>
                <w:iCs/>
                <w:kern w:val="2"/>
                <w:sz w:val="20"/>
                <w:szCs w:val="20"/>
              </w:rPr>
            </m:ctrlPr>
          </m:sSubPr>
          <m:e>
            <m:r>
              <m:rPr/>
              <w:rPr>
                <w:rFonts w:ascii="DejaVu Math TeX Gyre" w:hAnsi="DejaVu Math TeX Gyre" w:cs="Times New Roman Regular"/>
                <w:kern w:val="2"/>
                <w:sz w:val="20"/>
                <w:szCs w:val="20"/>
              </w:rPr>
              <m:t>treat</m:t>
            </m:r>
            <m:ctrlPr>
              <w:rPr>
                <w:rFonts w:ascii="DejaVu Math TeX Gyre" w:hAnsi="DejaVu Math TeX Gyre" w:cs="Times New Roman Regular"/>
                <w:i/>
                <w:iCs/>
                <w:kern w:val="2"/>
                <w:sz w:val="20"/>
                <w:szCs w:val="20"/>
              </w:rPr>
            </m:ctrlPr>
          </m:e>
          <m:sub>
            <m:r>
              <m:rPr/>
              <w:rPr>
                <w:rFonts w:ascii="DejaVu Math TeX Gyre" w:hAnsi="DejaVu Math TeX Gyre" w:cs="Times New Roman Regular"/>
                <w:kern w:val="2"/>
                <w:sz w:val="20"/>
                <w:szCs w:val="20"/>
              </w:rPr>
              <m:t>it</m:t>
            </m:r>
            <m:ctrlPr>
              <w:rPr>
                <w:rFonts w:ascii="DejaVu Math TeX Gyre" w:hAnsi="DejaVu Math TeX Gyre" w:cs="Times New Roman Regular"/>
                <w:i/>
                <w:iCs/>
                <w:kern w:val="2"/>
                <w:sz w:val="20"/>
                <w:szCs w:val="20"/>
              </w:rPr>
            </m:ctrlPr>
          </m:sub>
        </m:sSub>
        <m:r>
          <m:rPr>
            <m:sty m:val="p"/>
          </m:rPr>
          <w:rPr>
            <w:rFonts w:ascii="DejaVu Math TeX Gyre" w:hAnsi="DejaVu Math TeX Gyre" w:cs="Times New Roman Regular"/>
            <w:kern w:val="2"/>
            <w:sz w:val="20"/>
            <w:szCs w:val="20"/>
          </w:rPr>
          <m:t>∗</m:t>
        </m:r>
        <m:sSub>
          <m:sSubPr>
            <m:ctrlPr>
              <w:rPr>
                <w:rFonts w:ascii="DejaVu Math TeX Gyre" w:hAnsi="DejaVu Math TeX Gyre" w:cs="Times New Roman Regular"/>
                <w:i/>
                <w:iCs/>
                <w:kern w:val="2"/>
                <w:sz w:val="20"/>
                <w:szCs w:val="20"/>
              </w:rPr>
            </m:ctrlPr>
          </m:sSubPr>
          <m:e>
            <m:r>
              <m:rPr/>
              <w:rPr>
                <w:rFonts w:ascii="DejaVu Math TeX Gyre" w:hAnsi="DejaVu Math TeX Gyre" w:cs="Times New Roman Regular"/>
                <w:kern w:val="2"/>
                <w:sz w:val="20"/>
                <w:szCs w:val="20"/>
              </w:rPr>
              <m:t>post</m:t>
            </m:r>
            <m:ctrlPr>
              <w:rPr>
                <w:rFonts w:ascii="DejaVu Math TeX Gyre" w:hAnsi="DejaVu Math TeX Gyre" w:cs="Times New Roman Regular"/>
                <w:i/>
                <w:iCs/>
                <w:kern w:val="2"/>
                <w:sz w:val="20"/>
                <w:szCs w:val="20"/>
              </w:rPr>
            </m:ctrlPr>
          </m:e>
          <m:sub>
            <m:r>
              <m:rPr/>
              <w:rPr>
                <w:rFonts w:ascii="DejaVu Math TeX Gyre" w:hAnsi="DejaVu Math TeX Gyre" w:cs="Times New Roman Regular"/>
                <w:kern w:val="2"/>
                <w:sz w:val="20"/>
                <w:szCs w:val="20"/>
              </w:rPr>
              <m:t>it</m:t>
            </m:r>
            <m:ctrlPr>
              <w:rPr>
                <w:rFonts w:ascii="DejaVu Math TeX Gyre" w:hAnsi="DejaVu Math TeX Gyre" w:cs="Times New Roman Regular"/>
                <w:i/>
                <w:iCs/>
                <w:kern w:val="2"/>
                <w:sz w:val="20"/>
                <w:szCs w:val="20"/>
              </w:rPr>
            </m:ctrlPr>
          </m:sub>
        </m:sSub>
      </m:oMath>
      <w:r>
        <w:rPr>
          <w:rFonts w:ascii="Times New Roman Regular" w:hAnsi="Times New Roman Regular" w:cs="Times New Roman Regular"/>
          <w:iCs/>
          <w:kern w:val="2"/>
          <w:sz w:val="20"/>
          <w:szCs w:val="20"/>
        </w:rPr>
        <w:t>*</w:t>
      </w:r>
      <m:oMath>
        <m:sSub>
          <m:sSubPr>
            <m:ctrlPr>
              <w:rPr>
                <w:rFonts w:ascii="DejaVu Math TeX Gyre" w:hAnsi="DejaVu Math TeX Gyre" w:cs="Times New Roman Regular"/>
                <w:i/>
                <w:iCs/>
                <w:kern w:val="2"/>
                <w:sz w:val="20"/>
                <w:szCs w:val="20"/>
              </w:rPr>
            </m:ctrlPr>
          </m:sSubPr>
          <m:e>
            <m:r>
              <m:rPr/>
              <w:rPr>
                <w:rFonts w:ascii="DejaVu Math TeX Gyre" w:hAnsi="DejaVu Math TeX Gyre" w:cs="Times New Roman Regular"/>
                <w:kern w:val="2"/>
                <w:sz w:val="20"/>
                <w:szCs w:val="20"/>
              </w:rPr>
              <m:t>expand</m:t>
            </m:r>
            <m:ctrlPr>
              <w:rPr>
                <w:rFonts w:ascii="DejaVu Math TeX Gyre" w:hAnsi="DejaVu Math TeX Gyre" w:cs="Times New Roman Regular"/>
                <w:i/>
                <w:iCs/>
                <w:kern w:val="2"/>
                <w:sz w:val="20"/>
                <w:szCs w:val="20"/>
              </w:rPr>
            </m:ctrlPr>
          </m:e>
          <m:sub>
            <m:r>
              <m:rPr/>
              <w:rPr>
                <w:rFonts w:ascii="DejaVu Math TeX Gyre" w:hAnsi="DejaVu Math TeX Gyre" w:cs="Times New Roman Regular"/>
                <w:kern w:val="2"/>
                <w:sz w:val="20"/>
                <w:szCs w:val="20"/>
              </w:rPr>
              <m:t>it</m:t>
            </m:r>
            <m:ctrlPr>
              <w:rPr>
                <w:rFonts w:ascii="DejaVu Math TeX Gyre" w:hAnsi="DejaVu Math TeX Gyre" w:cs="Times New Roman Regular"/>
                <w:i/>
                <w:iCs/>
                <w:kern w:val="2"/>
                <w:sz w:val="20"/>
                <w:szCs w:val="20"/>
              </w:rPr>
            </m:ctrlPr>
          </m:sub>
        </m:sSub>
      </m:oMath>
      <w:r>
        <w:rPr>
          <w:rFonts w:ascii="Times New Roman Regular" w:hAnsi="Times New Roman Regular" w:cs="Times New Roman Regular"/>
          <w:kern w:val="2"/>
          <w:sz w:val="20"/>
          <w:szCs w:val="20"/>
        </w:rPr>
        <w:t>+</w:t>
      </w:r>
      <m:oMath>
        <m:nary>
          <m:naryPr>
            <m:chr m:val="∑"/>
            <m:limLoc m:val="undOvr"/>
            <m:ctrlPr>
              <w:rPr>
                <w:rFonts w:ascii="DejaVu Math TeX Gyre" w:hAnsi="DejaVu Math TeX Gyre" w:cs="Times New Roman Regular"/>
                <w:kern w:val="2"/>
                <w:sz w:val="20"/>
                <w:szCs w:val="20"/>
              </w:rPr>
            </m:ctrlPr>
          </m:naryPr>
          <m:sub>
            <m:r>
              <m:rPr>
                <m:sty m:val="p"/>
              </m:rPr>
              <w:rPr>
                <w:rFonts w:ascii="DejaVu Math TeX Gyre" w:hAnsi="DejaVu Math TeX Gyre" w:cs="Times New Roman Regular"/>
                <w:kern w:val="2"/>
                <w:sz w:val="20"/>
                <w:szCs w:val="20"/>
              </w:rPr>
              <m:t>j=1</m:t>
            </m:r>
            <m:ctrlPr>
              <w:rPr>
                <w:rFonts w:ascii="DejaVu Math TeX Gyre" w:hAnsi="DejaVu Math TeX Gyre" w:cs="Times New Roman Regular"/>
                <w:kern w:val="2"/>
                <w:sz w:val="20"/>
                <w:szCs w:val="20"/>
              </w:rPr>
            </m:ctrlPr>
          </m:sub>
          <m:sup>
            <m:r>
              <m:rPr>
                <m:sty m:val="p"/>
              </m:rPr>
              <w:rPr>
                <w:rFonts w:ascii="DejaVu Math TeX Gyre" w:hAnsi="DejaVu Math TeX Gyre" w:cs="Times New Roman Regular"/>
                <w:kern w:val="2"/>
                <w:sz w:val="20"/>
                <w:szCs w:val="20"/>
              </w:rPr>
              <m:t>J</m:t>
            </m:r>
            <m:ctrlPr>
              <w:rPr>
                <w:rFonts w:ascii="DejaVu Math TeX Gyre" w:hAnsi="DejaVu Math TeX Gyre" w:cs="Times New Roman Regular"/>
                <w:kern w:val="2"/>
                <w:sz w:val="20"/>
                <w:szCs w:val="20"/>
              </w:rPr>
            </m:ctrlPr>
          </m:sup>
          <m:e>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φ</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it</m:t>
                </m:r>
                <m:ctrlPr>
                  <w:rPr>
                    <w:rFonts w:ascii="DejaVu Math TeX Gyre" w:hAnsi="DejaVu Math TeX Gyre" w:cs="Times New Roman Regular"/>
                    <w:i/>
                    <w:iCs/>
                    <w:sz w:val="20"/>
                    <w:szCs w:val="20"/>
                  </w:rPr>
                </m:ctrlPr>
              </m:sub>
            </m:sSub>
            <m:sSubSup>
              <m:sSubSupPr>
                <m:ctrlPr>
                  <w:rPr>
                    <w:rFonts w:ascii="DejaVu Math TeX Gyre" w:hAnsi="DejaVu Math TeX Gyre" w:cs="Times New Roman Regular"/>
                    <w:i/>
                    <w:iCs/>
                    <w:sz w:val="20"/>
                    <w:szCs w:val="20"/>
                  </w:rPr>
                </m:ctrlPr>
              </m:sSubSupPr>
              <m:e>
                <m:r>
                  <m:rPr/>
                  <w:rPr>
                    <w:rFonts w:hint="eastAsia" w:ascii="DejaVu Math TeX Gyre" w:hAnsi="DejaVu Math TeX Gyre" w:cs="Times New Roman Regular"/>
                    <w:sz w:val="20"/>
                    <w:szCs w:val="20"/>
                    <w:lang w:val="en-US" w:eastAsia="zh-CN"/>
                  </w:rPr>
                  <m:t>Controls</m:t>
                </m:r>
                <m:ctrlPr>
                  <w:rPr>
                    <w:rFonts w:ascii="DejaVu Math TeX Gyre" w:hAnsi="DejaVu Math TeX Gyre" w:cs="Times New Roman Regular"/>
                    <w:i/>
                    <w:iCs/>
                    <w:sz w:val="20"/>
                    <w:szCs w:val="20"/>
                  </w:rPr>
                </m:ctrlPr>
              </m:e>
              <m:sub>
                <m:r>
                  <m:rPr/>
                  <w:rPr>
                    <w:rFonts w:hint="eastAsia" w:ascii="DejaVu Math TeX Gyre" w:hAnsi="DejaVu Math TeX Gyre" w:cs="Times New Roman Regular"/>
                    <w:sz w:val="20"/>
                    <w:szCs w:val="20"/>
                    <w:lang w:val="en-US" w:eastAsia="zh-CN"/>
                  </w:rPr>
                  <m:t>it</m:t>
                </m:r>
                <m:ctrlPr>
                  <w:rPr>
                    <w:rFonts w:ascii="DejaVu Math TeX Gyre" w:hAnsi="DejaVu Math TeX Gyre" w:cs="Times New Roman Regular"/>
                    <w:i/>
                    <w:iCs/>
                    <w:sz w:val="20"/>
                    <w:szCs w:val="20"/>
                  </w:rPr>
                </m:ctrlPr>
              </m:sub>
              <m:sup>
                <m:r>
                  <m:rPr/>
                  <w:rPr>
                    <w:rFonts w:hint="eastAsia" w:ascii="DejaVu Math TeX Gyre" w:hAnsi="DejaVu Math TeX Gyre" w:cs="Times New Roman Regular"/>
                    <w:sz w:val="20"/>
                    <w:szCs w:val="20"/>
                    <w:lang w:val="en-US" w:eastAsia="zh-CN"/>
                  </w:rPr>
                  <m:t>j</m:t>
                </m:r>
                <m:ctrlPr>
                  <w:rPr>
                    <w:rFonts w:ascii="DejaVu Math TeX Gyre" w:hAnsi="DejaVu Math TeX Gyre" w:cs="Times New Roman Regular"/>
                    <w:i/>
                    <w:iCs/>
                    <w:sz w:val="20"/>
                    <w:szCs w:val="20"/>
                  </w:rPr>
                </m:ctrlPr>
              </m:sup>
            </m:sSubSup>
            <m:ctrlPr>
              <w:rPr>
                <w:rFonts w:ascii="DejaVu Math TeX Gyre" w:hAnsi="DejaVu Math TeX Gyre" w:cs="Times New Roman Regular"/>
                <w:kern w:val="2"/>
                <w:sz w:val="20"/>
                <w:szCs w:val="20"/>
              </w:rPr>
            </m:ctrlPr>
          </m:e>
        </m:nary>
        <m:r>
          <m:rPr>
            <m:sty m:val="p"/>
          </m:rPr>
          <w:rPr>
            <w:rFonts w:ascii="DejaVu Math TeX Gyre" w:hAnsi="DejaVu Math TeX Gyre" w:cs="Times New Roman Regular"/>
            <w:kern w:val="2"/>
            <w:sz w:val="20"/>
            <w:szCs w:val="20"/>
          </w:rPr>
          <m:t>+</m:t>
        </m:r>
        <m:sSub>
          <m:sSubPr>
            <m:ctrlPr>
              <w:rPr>
                <w:rFonts w:ascii="DejaVu Math TeX Gyre" w:hAnsi="DejaVu Math TeX Gyre" w:cs="Times New Roman Regular"/>
                <w:i/>
                <w:iCs/>
                <w:kern w:val="2"/>
                <w:sz w:val="20"/>
                <w:szCs w:val="20"/>
              </w:rPr>
            </m:ctrlPr>
          </m:sSubPr>
          <m:e>
            <m:r>
              <m:rPr/>
              <w:rPr>
                <w:rFonts w:ascii="DejaVu Math TeX Gyre" w:hAnsi="DejaVu Math TeX Gyre" w:cs="Times New Roman Regular"/>
                <w:kern w:val="2"/>
                <w:sz w:val="20"/>
                <w:szCs w:val="20"/>
              </w:rPr>
              <m:t>μ</m:t>
            </m:r>
            <m:ctrlPr>
              <w:rPr>
                <w:rFonts w:ascii="DejaVu Math TeX Gyre" w:hAnsi="DejaVu Math TeX Gyre" w:cs="Times New Roman Regular"/>
                <w:i/>
                <w:iCs/>
                <w:kern w:val="2"/>
                <w:sz w:val="20"/>
                <w:szCs w:val="20"/>
              </w:rPr>
            </m:ctrlPr>
          </m:e>
          <m:sub>
            <m:r>
              <m:rPr/>
              <w:rPr>
                <w:rFonts w:ascii="DejaVu Math TeX Gyre" w:hAnsi="DejaVu Math TeX Gyre" w:cs="Times New Roman Regular"/>
                <w:kern w:val="2"/>
                <w:sz w:val="20"/>
                <w:szCs w:val="20"/>
              </w:rPr>
              <m:t>t</m:t>
            </m:r>
            <m:ctrlPr>
              <w:rPr>
                <w:rFonts w:ascii="DejaVu Math TeX Gyre" w:hAnsi="DejaVu Math TeX Gyre" w:cs="Times New Roman Regular"/>
                <w:i/>
                <w:iCs/>
                <w:kern w:val="2"/>
                <w:sz w:val="20"/>
                <w:szCs w:val="20"/>
              </w:rPr>
            </m:ctrlPr>
          </m:sub>
        </m:sSub>
        <m:r>
          <m:rPr>
            <m:sty m:val="p"/>
          </m:rPr>
          <w:rPr>
            <w:rFonts w:ascii="DejaVu Math TeX Gyre" w:hAnsi="DejaVu Math TeX Gyre" w:cs="Times New Roman Regular"/>
            <w:kern w:val="2"/>
            <w:sz w:val="20"/>
            <w:szCs w:val="20"/>
          </w:rPr>
          <m:t>+</m:t>
        </m:r>
        <m:sSub>
          <m:sSubPr>
            <m:ctrlPr>
              <w:rPr>
                <w:rFonts w:ascii="DejaVu Math TeX Gyre" w:hAnsi="DejaVu Math TeX Gyre" w:cs="Times New Roman Regular"/>
                <w:i/>
                <w:iCs/>
                <w:kern w:val="2"/>
                <w:sz w:val="20"/>
                <w:szCs w:val="20"/>
              </w:rPr>
            </m:ctrlPr>
          </m:sSubPr>
          <m:e>
            <m:r>
              <m:rPr/>
              <w:rPr>
                <w:rFonts w:ascii="DejaVu Math TeX Gyre" w:hAnsi="DejaVu Math TeX Gyre" w:cs="Times New Roman Regular"/>
                <w:kern w:val="2"/>
                <w:sz w:val="20"/>
                <w:szCs w:val="20"/>
              </w:rPr>
              <m:t>α</m:t>
            </m:r>
            <m:ctrlPr>
              <w:rPr>
                <w:rFonts w:ascii="DejaVu Math TeX Gyre" w:hAnsi="DejaVu Math TeX Gyre" w:cs="Times New Roman Regular"/>
                <w:i/>
                <w:iCs/>
                <w:kern w:val="2"/>
                <w:sz w:val="20"/>
                <w:szCs w:val="20"/>
              </w:rPr>
            </m:ctrlPr>
          </m:e>
          <m:sub>
            <m:r>
              <m:rPr/>
              <w:rPr>
                <w:rFonts w:ascii="DejaVu Math TeX Gyre" w:hAnsi="DejaVu Math TeX Gyre" w:cs="Times New Roman Regular"/>
                <w:kern w:val="2"/>
                <w:sz w:val="20"/>
                <w:szCs w:val="20"/>
              </w:rPr>
              <m:t>i</m:t>
            </m:r>
            <m:ctrlPr>
              <w:rPr>
                <w:rFonts w:ascii="DejaVu Math TeX Gyre" w:hAnsi="DejaVu Math TeX Gyre" w:cs="Times New Roman Regular"/>
                <w:i/>
                <w:iCs/>
                <w:kern w:val="2"/>
                <w:sz w:val="20"/>
                <w:szCs w:val="20"/>
              </w:rPr>
            </m:ctrlPr>
          </m:sub>
        </m:sSub>
        <m:r>
          <m:rPr>
            <m:sty m:val="p"/>
          </m:rPr>
          <w:rPr>
            <w:rFonts w:ascii="DejaVu Math TeX Gyre" w:hAnsi="DejaVu Math TeX Gyre" w:cs="Times New Roman Regular"/>
            <w:kern w:val="2"/>
            <w:sz w:val="20"/>
            <w:szCs w:val="20"/>
          </w:rPr>
          <m:t>+</m:t>
        </m:r>
        <m:sSub>
          <m:sSubPr>
            <m:ctrlPr>
              <w:rPr>
                <w:rFonts w:ascii="DejaVu Math TeX Gyre" w:hAnsi="DejaVu Math TeX Gyre" w:cs="Times New Roman Regular"/>
                <w:i/>
                <w:iCs/>
                <w:kern w:val="2"/>
                <w:sz w:val="20"/>
                <w:szCs w:val="20"/>
              </w:rPr>
            </m:ctrlPr>
          </m:sSubPr>
          <m:e>
            <m:r>
              <m:rPr/>
              <w:rPr>
                <w:rFonts w:ascii="DejaVu Math TeX Gyre" w:hAnsi="DejaVu Math TeX Gyre" w:cs="Times New Roman Regular"/>
                <w:kern w:val="2"/>
                <w:sz w:val="20"/>
                <w:szCs w:val="20"/>
              </w:rPr>
              <m:t>ε</m:t>
            </m:r>
            <m:ctrlPr>
              <w:rPr>
                <w:rFonts w:ascii="DejaVu Math TeX Gyre" w:hAnsi="DejaVu Math TeX Gyre" w:cs="Times New Roman Regular"/>
                <w:i/>
                <w:iCs/>
                <w:kern w:val="2"/>
                <w:sz w:val="20"/>
                <w:szCs w:val="20"/>
              </w:rPr>
            </m:ctrlPr>
          </m:e>
          <m:sub>
            <m:r>
              <m:rPr/>
              <w:rPr>
                <w:rFonts w:ascii="DejaVu Math TeX Gyre" w:hAnsi="DejaVu Math TeX Gyre" w:cs="Times New Roman Regular"/>
                <w:kern w:val="2"/>
                <w:sz w:val="20"/>
                <w:szCs w:val="20"/>
              </w:rPr>
              <m:t>it</m:t>
            </m:r>
            <m:ctrlPr>
              <w:rPr>
                <w:rFonts w:ascii="DejaVu Math TeX Gyre" w:hAnsi="DejaVu Math TeX Gyre" w:cs="Times New Roman Regular"/>
                <w:i/>
                <w:iCs/>
                <w:kern w:val="2"/>
                <w:sz w:val="20"/>
                <w:szCs w:val="20"/>
              </w:rPr>
            </m:ctrlPr>
          </m:sub>
        </m:sSub>
      </m:oMath>
      <w:r>
        <w:rPr>
          <w:rFonts w:ascii="Times New Roman Regular" w:hAnsi="Times New Roman Regular" w:cs="Times New Roman Regular"/>
          <w:iCs/>
          <w:kern w:val="2"/>
          <w:sz w:val="20"/>
          <w:szCs w:val="20"/>
        </w:rPr>
        <w:t xml:space="preserve">              (4)</w:t>
      </w:r>
    </w:p>
    <w:p>
      <w:pPr>
        <w:widowControl/>
        <w:spacing w:before="157" w:beforeLines="50"/>
        <w:ind w:firstLine="120" w:firstLineChars="50"/>
        <w:rPr>
          <w:rFonts w:ascii="Times New Roman Regular" w:hAnsi="Times New Roman Regular" w:cs="Times New Roman Regular"/>
          <w:sz w:val="24"/>
        </w:rPr>
      </w:pPr>
      <w:r>
        <w:rPr>
          <w:rFonts w:ascii="Times New Roman Regular" w:hAnsi="Times New Roman Regular" w:eastAsia="宋体" w:cs="Times New Roman Regular"/>
          <w:kern w:val="0"/>
          <w:sz w:val="24"/>
          <w:lang w:bidi="ar"/>
        </w:rPr>
        <w:t xml:space="preserve">Specifically, the variable </w:t>
      </w:r>
      <w:r>
        <w:rPr>
          <w:rStyle w:val="14"/>
          <w:rFonts w:ascii="Times New Roman Regular" w:hAnsi="Times New Roman Regular" w:eastAsia="宋体" w:cs="Times New Roman Regular"/>
          <w:kern w:val="0"/>
          <w:sz w:val="24"/>
          <w:lang w:bidi="ar"/>
        </w:rPr>
        <w:t>expand</w:t>
      </w:r>
      <w:r>
        <w:rPr>
          <w:rFonts w:ascii="Times New Roman Regular" w:hAnsi="Times New Roman Regular" w:eastAsia="宋体" w:cs="Times New Roman Regular"/>
          <w:kern w:val="0"/>
          <w:sz w:val="24"/>
          <w:lang w:bidi="ar"/>
        </w:rPr>
        <w:t xml:space="preserve"> include</w:t>
      </w:r>
      <w:r>
        <w:rPr>
          <w:rFonts w:hint="eastAsia" w:ascii="Times New Roman Regular" w:hAnsi="Times New Roman Regular" w:eastAsia="宋体" w:cs="Times New Roman Regular"/>
          <w:kern w:val="0"/>
          <w:sz w:val="24"/>
          <w:lang w:val="en-US" w:eastAsia="zh-CN" w:bidi="ar"/>
        </w:rPr>
        <w:t>d</w:t>
      </w:r>
      <w:r>
        <w:rPr>
          <w:rFonts w:ascii="Times New Roman Regular" w:hAnsi="Times New Roman Regular" w:eastAsia="宋体" w:cs="Times New Roman Regular"/>
          <w:kern w:val="0"/>
          <w:sz w:val="24"/>
          <w:lang w:bidi="ar"/>
        </w:rPr>
        <w:t xml:space="preserve"> two dimensions: the maximum contiguous built-up area, representing horizontal (two-dimensional) expansion, and the average building height, capturing vertical (three-dimensional) expansion. By interacting the policy treatment with these expansion measures, we aim</w:t>
      </w:r>
      <w:r>
        <w:rPr>
          <w:rFonts w:hint="eastAsia" w:ascii="Times New Roman Regular" w:hAnsi="Times New Roman Regular" w:eastAsia="宋体" w:cs="Times New Roman Regular"/>
          <w:kern w:val="0"/>
          <w:sz w:val="24"/>
          <w:lang w:val="en-US" w:eastAsia="zh-CN" w:bidi="ar"/>
        </w:rPr>
        <w:t>ed</w:t>
      </w:r>
      <w:r>
        <w:rPr>
          <w:rFonts w:ascii="Times New Roman Regular" w:hAnsi="Times New Roman Regular" w:eastAsia="宋体" w:cs="Times New Roman Regular"/>
          <w:kern w:val="0"/>
          <w:sz w:val="24"/>
          <w:lang w:bidi="ar"/>
        </w:rPr>
        <w:t xml:space="preserve"> to assess whether cities experiencing greater horizontal or vertical growth exhibit</w:t>
      </w:r>
      <w:r>
        <w:rPr>
          <w:rFonts w:hint="eastAsia" w:ascii="Times New Roman Regular" w:hAnsi="Times New Roman Regular" w:eastAsia="宋体" w:cs="Times New Roman Regular"/>
          <w:kern w:val="0"/>
          <w:sz w:val="24"/>
          <w:lang w:val="en-US" w:eastAsia="zh-CN" w:bidi="ar"/>
        </w:rPr>
        <w:t>ed</w:t>
      </w:r>
      <w:r>
        <w:rPr>
          <w:rFonts w:ascii="Times New Roman Regular" w:hAnsi="Times New Roman Regular" w:eastAsia="宋体" w:cs="Times New Roman Regular"/>
          <w:kern w:val="0"/>
          <w:sz w:val="24"/>
          <w:lang w:bidi="ar"/>
        </w:rPr>
        <w:t xml:space="preserve"> stronger policy effects. All other model specifications—including control variables and city and year fixed effects—remain</w:t>
      </w:r>
      <w:r>
        <w:rPr>
          <w:rFonts w:hint="eastAsia" w:ascii="Times New Roman Regular" w:hAnsi="Times New Roman Regular" w:eastAsia="宋体" w:cs="Times New Roman Regular"/>
          <w:kern w:val="0"/>
          <w:sz w:val="24"/>
          <w:lang w:val="en-US" w:eastAsia="zh-CN" w:bidi="ar"/>
        </w:rPr>
        <w:t>ed</w:t>
      </w:r>
      <w:r>
        <w:rPr>
          <w:rFonts w:ascii="Times New Roman Regular" w:hAnsi="Times New Roman Regular" w:eastAsia="宋体" w:cs="Times New Roman Regular"/>
          <w:kern w:val="0"/>
          <w:sz w:val="24"/>
          <w:lang w:bidi="ar"/>
        </w:rPr>
        <w:t xml:space="preserve"> consistent with the baseline regression framework.</w:t>
      </w:r>
    </w:p>
    <w:p>
      <w:pPr>
        <w:spacing w:before="157" w:beforeLines="50" w:after="157" w:afterLines="50"/>
        <w:rPr>
          <w:rFonts w:ascii="Times New Roman Bold Italic" w:hAnsi="Times New Roman Bold Italic" w:cs="Times New Roman Bold Italic"/>
          <w:b/>
          <w:i/>
          <w:iCs/>
          <w:sz w:val="24"/>
        </w:rPr>
      </w:pPr>
      <w:r>
        <w:rPr>
          <w:rFonts w:hint="default" w:ascii="Times New Roman Bold Italic" w:hAnsi="Times New Roman Bold Italic" w:cs="Times New Roman Bold Italic"/>
          <w:b/>
          <w:i/>
          <w:iCs/>
          <w:sz w:val="24"/>
          <w:lang w:val="en-US" w:eastAsia="zh-CN"/>
        </w:rPr>
        <w:t>4.3</w:t>
      </w:r>
      <w:r>
        <w:rPr>
          <w:rFonts w:ascii="Times New Roman Bold Italic" w:hAnsi="Times New Roman Bold Italic" w:cs="Times New Roman Bold Italic"/>
          <w:b/>
          <w:i/>
          <w:iCs/>
          <w:sz w:val="24"/>
        </w:rPr>
        <w:t xml:space="preserve">.1 Urban </w:t>
      </w:r>
      <w:r>
        <w:rPr>
          <w:rFonts w:hint="eastAsia" w:ascii="Times New Roman Bold Italic" w:hAnsi="Times New Roman Bold Italic" w:cs="Times New Roman Bold Italic"/>
          <w:b/>
          <w:i/>
          <w:iCs/>
          <w:sz w:val="24"/>
          <w:lang w:val="en-US" w:eastAsia="zh-CN"/>
        </w:rPr>
        <w:t>b</w:t>
      </w:r>
      <w:r>
        <w:rPr>
          <w:rFonts w:ascii="Times New Roman Bold Italic" w:hAnsi="Times New Roman Bold Italic" w:cs="Times New Roman Bold Italic"/>
          <w:b/>
          <w:i/>
          <w:iCs/>
          <w:sz w:val="24"/>
        </w:rPr>
        <w:t xml:space="preserve">uilt-up </w:t>
      </w:r>
      <w:r>
        <w:rPr>
          <w:rFonts w:hint="eastAsia" w:ascii="Times New Roman Bold Italic" w:hAnsi="Times New Roman Bold Italic" w:cs="Times New Roman Bold Italic"/>
          <w:b/>
          <w:i/>
          <w:iCs/>
          <w:sz w:val="24"/>
          <w:lang w:val="en-US" w:eastAsia="zh-CN"/>
        </w:rPr>
        <w:t>a</w:t>
      </w:r>
      <w:r>
        <w:rPr>
          <w:rFonts w:ascii="Times New Roman Bold Italic" w:hAnsi="Times New Roman Bold Italic" w:cs="Times New Roman Bold Italic"/>
          <w:b/>
          <w:bCs/>
          <w:i/>
          <w:iCs/>
          <w:sz w:val="24"/>
        </w:rPr>
        <w:t xml:space="preserve">rea </w:t>
      </w:r>
      <w:r>
        <w:rPr>
          <w:rFonts w:hint="eastAsia" w:ascii="Times New Roman Bold Italic" w:hAnsi="Times New Roman Bold Italic" w:cs="Times New Roman Bold Italic"/>
          <w:b/>
          <w:bCs/>
          <w:i/>
          <w:iCs/>
          <w:sz w:val="24"/>
          <w:lang w:val="en-US" w:eastAsia="zh-CN"/>
        </w:rPr>
        <w:t>e</w:t>
      </w:r>
      <w:r>
        <w:rPr>
          <w:rFonts w:ascii="Times New Roman Bold Italic" w:hAnsi="Times New Roman Bold Italic" w:cs="Times New Roman Bold Italic"/>
          <w:b/>
          <w:i/>
          <w:iCs/>
          <w:sz w:val="24"/>
        </w:rPr>
        <w:t xml:space="preserve">xpansion and </w:t>
      </w:r>
      <w:r>
        <w:rPr>
          <w:rFonts w:hint="eastAsia" w:ascii="Times New Roman Bold Italic" w:hAnsi="Times New Roman Bold Italic" w:cs="Times New Roman Bold Italic"/>
          <w:b/>
          <w:i/>
          <w:iCs/>
          <w:sz w:val="24"/>
          <w:lang w:val="en-US" w:eastAsia="zh-CN"/>
        </w:rPr>
        <w:t>e</w:t>
      </w:r>
      <w:r>
        <w:rPr>
          <w:rFonts w:ascii="Times New Roman Bold Italic" w:hAnsi="Times New Roman Bold Italic" w:cs="Times New Roman Bold Italic"/>
          <w:b/>
          <w:i/>
          <w:iCs/>
          <w:sz w:val="24"/>
        </w:rPr>
        <w:t xml:space="preserve">mployment </w:t>
      </w:r>
      <w:r>
        <w:rPr>
          <w:rFonts w:hint="eastAsia" w:ascii="Times New Roman Bold Italic" w:hAnsi="Times New Roman Bold Italic" w:cs="Times New Roman Bold Italic"/>
          <w:b/>
          <w:i/>
          <w:iCs/>
          <w:sz w:val="24"/>
          <w:lang w:val="en-US" w:eastAsia="zh-CN"/>
        </w:rPr>
        <w:t>q</w:t>
      </w:r>
      <w:r>
        <w:rPr>
          <w:rFonts w:ascii="Times New Roman Bold Italic" w:hAnsi="Times New Roman Bold Italic" w:cs="Times New Roman Bold Italic"/>
          <w:b/>
          <w:i/>
          <w:iCs/>
          <w:sz w:val="24"/>
        </w:rPr>
        <w:t>uality</w:t>
      </w:r>
    </w:p>
    <w:p>
      <w:pPr>
        <w:pStyle w:val="8"/>
        <w:widowControl/>
        <w:spacing w:beforeAutospacing="0" w:after="157" w:afterLines="50" w:afterAutospacing="0"/>
        <w:ind w:firstLine="240" w:firstLineChars="100"/>
        <w:jc w:val="both"/>
        <w:rPr>
          <w:rFonts w:ascii="Times New Roman Regular" w:hAnsi="Times New Roman Regular" w:cs="Times New Roman Regular"/>
        </w:rPr>
      </w:pPr>
      <w:r>
        <w:rPr>
          <w:rFonts w:ascii="Times New Roman Regular" w:hAnsi="Times New Roman Regular" w:cs="Times New Roman Regular"/>
        </w:rPr>
        <w:t xml:space="preserve">Table </w:t>
      </w:r>
      <w:r>
        <w:rPr>
          <w:rFonts w:hint="default" w:ascii="Times New Roman Regular" w:hAnsi="Times New Roman Regular" w:cs="Times New Roman Regular"/>
          <w:lang w:val="en-US"/>
        </w:rPr>
        <w:t>7</w:t>
      </w:r>
      <w:r>
        <w:rPr>
          <w:rFonts w:ascii="Times New Roman Regular" w:hAnsi="Times New Roman Regular" w:cs="Times New Roman Regular"/>
        </w:rPr>
        <w:t xml:space="preserve"> examine</w:t>
      </w:r>
      <w:r>
        <w:rPr>
          <w:rFonts w:hint="default" w:ascii="Times New Roman Regular" w:hAnsi="Times New Roman Regular" w:cs="Times New Roman Regular"/>
          <w:lang w:val="en-US"/>
        </w:rPr>
        <w:t>ed</w:t>
      </w:r>
      <w:r>
        <w:rPr>
          <w:rFonts w:ascii="Times New Roman Regular" w:hAnsi="Times New Roman Regular" w:cs="Times New Roman Regular"/>
        </w:rPr>
        <w:t xml:space="preserve"> how urban horizontal expansion influence</w:t>
      </w:r>
      <w:r>
        <w:rPr>
          <w:rFonts w:hint="default" w:ascii="Times New Roman Regular" w:hAnsi="Times New Roman Regular" w:cs="Times New Roman Regular"/>
          <w:lang w:val="en-US"/>
        </w:rPr>
        <w:t>d</w:t>
      </w:r>
      <w:r>
        <w:rPr>
          <w:rFonts w:ascii="Times New Roman Regular" w:hAnsi="Times New Roman Regular" w:cs="Times New Roman Regular"/>
        </w:rPr>
        <w:t xml:space="preserve"> the effectiveness of the new-type urbanization policy in improving employment quality. In column (1), the main effect of </w:t>
      </w:r>
      <w:r>
        <w:rPr>
          <w:rFonts w:hint="default" w:ascii="Times New Roman Italic" w:hAnsi="Times New Roman Italic" w:cs="Times New Roman Italic"/>
          <w:i/>
          <w:iCs/>
          <w:lang w:val="en-US" w:eastAsia="zh-CN"/>
        </w:rPr>
        <w:t>treat*post</w:t>
      </w:r>
      <w:r>
        <w:rPr>
          <w:rFonts w:ascii="Times New Roman Regular" w:hAnsi="Times New Roman Regular" w:cs="Times New Roman Regular"/>
        </w:rPr>
        <w:t xml:space="preserve"> </w:t>
      </w:r>
      <w:r>
        <w:rPr>
          <w:rFonts w:hint="default" w:ascii="Times New Roman Regular" w:hAnsi="Times New Roman Regular" w:cs="Times New Roman Regular"/>
          <w:lang w:val="en-US"/>
        </w:rPr>
        <w:t>was</w:t>
      </w:r>
      <w:r>
        <w:rPr>
          <w:rFonts w:ascii="Times New Roman Regular" w:hAnsi="Times New Roman Regular" w:cs="Times New Roman Regular"/>
        </w:rPr>
        <w:t xml:space="preserve"> positive and statistically significant at the 5% level, suggesting that the policy generally enhances employment quality. Additionally, the coefficient on </w:t>
      </w:r>
      <w:r>
        <w:rPr>
          <w:rStyle w:val="14"/>
          <w:rFonts w:hint="default" w:ascii="Times New Roman Italic" w:hAnsi="Times New Roman Italic" w:cs="Times New Roman Italic"/>
          <w:i/>
          <w:iCs/>
        </w:rPr>
        <w:t>builtarea</w:t>
      </w:r>
      <w:r>
        <w:rPr>
          <w:rFonts w:ascii="Times New Roman Regular" w:hAnsi="Times New Roman Regular" w:cs="Times New Roman Regular"/>
        </w:rPr>
        <w:t xml:space="preserve"> </w:t>
      </w:r>
      <w:r>
        <w:rPr>
          <w:rFonts w:hint="default" w:ascii="Times New Roman Regular" w:hAnsi="Times New Roman Regular" w:cs="Times New Roman Regular"/>
          <w:lang w:val="en-US"/>
        </w:rPr>
        <w:t>was</w:t>
      </w:r>
      <w:r>
        <w:rPr>
          <w:rFonts w:ascii="Times New Roman Regular" w:hAnsi="Times New Roman Regular" w:cs="Times New Roman Regular"/>
        </w:rPr>
        <w:t xml:space="preserve"> significantly positive, indicating that moderate urban expansion contributes positively to labor market outcomes. However, the interaction term between </w:t>
      </w:r>
      <w:r>
        <w:rPr>
          <w:rStyle w:val="14"/>
          <w:rFonts w:ascii="Times New Roman Regular" w:hAnsi="Times New Roman Regular" w:cs="Times New Roman Regular"/>
          <w:i w:val="0"/>
        </w:rPr>
        <w:t>did</w:t>
      </w:r>
      <w:r>
        <w:rPr>
          <w:rFonts w:ascii="Times New Roman Regular" w:hAnsi="Times New Roman Regular" w:cs="Times New Roman Regular"/>
        </w:rPr>
        <w:t xml:space="preserve"> and </w:t>
      </w:r>
      <w:r>
        <w:rPr>
          <w:rStyle w:val="14"/>
          <w:rFonts w:hint="default" w:ascii="Times New Roman Italic" w:hAnsi="Times New Roman Italic" w:cs="Times New Roman Italic"/>
          <w:i/>
          <w:iCs/>
        </w:rPr>
        <w:t>builtarea</w:t>
      </w:r>
      <w:r>
        <w:rPr>
          <w:rFonts w:ascii="Times New Roman Regular" w:hAnsi="Times New Roman Regular" w:cs="Times New Roman Regular"/>
        </w:rPr>
        <w:t xml:space="preserve"> </w:t>
      </w:r>
      <w:r>
        <w:rPr>
          <w:rFonts w:hint="default" w:ascii="Times New Roman Regular" w:hAnsi="Times New Roman Regular" w:cs="Times New Roman Regular"/>
          <w:lang w:val="en-US"/>
        </w:rPr>
        <w:t>was</w:t>
      </w:r>
      <w:r>
        <w:rPr>
          <w:rFonts w:ascii="Times New Roman Regular" w:hAnsi="Times New Roman Regular" w:cs="Times New Roman Regular"/>
        </w:rPr>
        <w:t xml:space="preserve"> negative and significant at the </w:t>
      </w:r>
      <w:r>
        <w:rPr>
          <w:rFonts w:hint="eastAsia" w:ascii="Times New Roman Regular" w:hAnsi="Times New Roman Regular" w:cs="Times New Roman Regular"/>
          <w:lang w:val="en-US" w:eastAsia="zh-CN"/>
        </w:rPr>
        <w:t>10</w:t>
      </w:r>
      <w:r>
        <w:rPr>
          <w:rFonts w:ascii="Times New Roman Regular" w:hAnsi="Times New Roman Regular" w:cs="Times New Roman Regular"/>
        </w:rPr>
        <w:t>% level (–0.061</w:t>
      </w:r>
      <w:r>
        <w:rPr>
          <w:rFonts w:hint="eastAsia" w:ascii="Times New Roman Regular" w:hAnsi="Times New Roman Regular" w:cs="Times New Roman Regular"/>
          <w:lang w:val="en-US" w:eastAsia="zh-CN"/>
        </w:rPr>
        <w:t>2</w:t>
      </w:r>
      <w:r>
        <w:rPr>
          <w:rFonts w:ascii="Times New Roman Regular" w:hAnsi="Times New Roman Regular" w:cs="Times New Roman Regular"/>
        </w:rPr>
        <w:t>), suggesting that excessive horizontal expansion weaken</w:t>
      </w:r>
      <w:r>
        <w:rPr>
          <w:rFonts w:hint="default" w:ascii="Times New Roman Regular" w:hAnsi="Times New Roman Regular" w:cs="Times New Roman Regular"/>
          <w:lang w:val="en-US"/>
        </w:rPr>
        <w:t>ed</w:t>
      </w:r>
      <w:r>
        <w:rPr>
          <w:rFonts w:ascii="Times New Roman Regular" w:hAnsi="Times New Roman Regular" w:cs="Times New Roman Regular"/>
        </w:rPr>
        <w:t xml:space="preserve"> the policy's effectiveness. This result may reflect the negative consequences of uncontrolled urban sprawl, such as reduced land-use efficiency, insufficient public service coverage, and increased traffic congestion, all of which can undermine the intended benefits of urbanization on employment quality. </w:t>
      </w:r>
    </w:p>
    <w:p>
      <w:pPr>
        <w:pStyle w:val="8"/>
        <w:widowControl/>
        <w:spacing w:beforeAutospacing="0" w:after="157" w:afterLines="50" w:afterAutospacing="0"/>
        <w:ind w:firstLine="240" w:firstLineChars="100"/>
        <w:jc w:val="both"/>
        <w:rPr>
          <w:rFonts w:ascii="Times New Roman Regular" w:hAnsi="Times New Roman Regular" w:cs="Times New Roman Regular"/>
        </w:rPr>
      </w:pPr>
      <w:r>
        <w:rPr>
          <w:rFonts w:ascii="Times New Roman Regular" w:hAnsi="Times New Roman Regular" w:cs="Times New Roman Regular"/>
        </w:rPr>
        <w:t>Column (2) further include</w:t>
      </w:r>
      <w:r>
        <w:rPr>
          <w:rFonts w:hint="default" w:ascii="Times New Roman Regular" w:hAnsi="Times New Roman Regular" w:cs="Times New Roman Regular"/>
          <w:lang w:val="en-US"/>
        </w:rPr>
        <w:t>d</w:t>
      </w:r>
      <w:r>
        <w:rPr>
          <w:rFonts w:ascii="Times New Roman Regular" w:hAnsi="Times New Roman Regular" w:cs="Times New Roman Regular"/>
        </w:rPr>
        <w:t xml:space="preserve"> </w:t>
      </w:r>
      <w:r>
        <w:rPr>
          <w:rStyle w:val="14"/>
          <w:rFonts w:ascii="Times New Roman Regular" w:hAnsi="Times New Roman Regular" w:cs="Times New Roman Regular"/>
          <w:i w:val="0"/>
        </w:rPr>
        <w:t>green</w:t>
      </w:r>
      <w:r>
        <w:rPr>
          <w:rFonts w:ascii="Times New Roman Regular" w:hAnsi="Times New Roman Regular" w:cs="Times New Roman Regular"/>
        </w:rPr>
        <w:t xml:space="preserve"> (urban green space</w:t>
      </w:r>
      <w:r>
        <w:rPr>
          <w:rFonts w:hint="default" w:ascii="Times New Roman Regular" w:hAnsi="Times New Roman Regular" w:cs="Times New Roman Regular"/>
          <w:lang w:val="en-US"/>
        </w:rPr>
        <w:t xml:space="preserve"> rate</w:t>
      </w:r>
      <w:r>
        <w:rPr>
          <w:rFonts w:ascii="Times New Roman Regular" w:hAnsi="Times New Roman Regular" w:cs="Times New Roman Regular"/>
        </w:rPr>
        <w:t xml:space="preserve">) as a </w:t>
      </w:r>
      <w:r>
        <w:rPr>
          <w:rFonts w:hint="default" w:ascii="Times New Roman Regular" w:hAnsi="Times New Roman Regular" w:cs="Times New Roman Regular"/>
          <w:lang w:val="en-US"/>
        </w:rPr>
        <w:t>moderating</w:t>
      </w:r>
      <w:r>
        <w:rPr>
          <w:rFonts w:ascii="Times New Roman Regular" w:hAnsi="Times New Roman Regular" w:cs="Times New Roman Regular"/>
        </w:rPr>
        <w:t xml:space="preserve"> variable. The results show</w:t>
      </w:r>
      <w:r>
        <w:rPr>
          <w:rFonts w:hint="default" w:ascii="Times New Roman Regular" w:hAnsi="Times New Roman Regular" w:cs="Times New Roman Regular"/>
          <w:lang w:val="en-US"/>
        </w:rPr>
        <w:t>ed</w:t>
      </w:r>
      <w:r>
        <w:rPr>
          <w:rFonts w:ascii="Times New Roman Regular" w:hAnsi="Times New Roman Regular" w:cs="Times New Roman Regular"/>
        </w:rPr>
        <w:t xml:space="preserve"> that green space ha</w:t>
      </w:r>
      <w:r>
        <w:rPr>
          <w:rFonts w:hint="default" w:ascii="Times New Roman Regular" w:hAnsi="Times New Roman Regular" w:cs="Times New Roman Regular"/>
          <w:lang w:val="en-US"/>
        </w:rPr>
        <w:t>d</w:t>
      </w:r>
      <w:r>
        <w:rPr>
          <w:rFonts w:ascii="Times New Roman Regular" w:hAnsi="Times New Roman Regular" w:cs="Times New Roman Regular"/>
        </w:rPr>
        <w:t xml:space="preserve"> a significantly positive impact on employment quality (coefficient = 0.0035, significant at the 1% level), indicating that a more livable urban environment help</w:t>
      </w:r>
      <w:r>
        <w:rPr>
          <w:rFonts w:hint="default" w:ascii="Times New Roman Regular" w:hAnsi="Times New Roman Regular" w:cs="Times New Roman Regular"/>
          <w:lang w:val="en-US"/>
        </w:rPr>
        <w:t>ed</w:t>
      </w:r>
      <w:r>
        <w:rPr>
          <w:rFonts w:ascii="Times New Roman Regular" w:hAnsi="Times New Roman Regular" w:cs="Times New Roman Regular"/>
        </w:rPr>
        <w:t xml:space="preserve"> attract and retain labor. However, the interaction between </w:t>
      </w:r>
      <w:r>
        <w:rPr>
          <w:rStyle w:val="14"/>
          <w:rFonts w:ascii="Times New Roman Regular" w:hAnsi="Times New Roman Regular" w:cs="Times New Roman Regular"/>
          <w:i w:val="0"/>
        </w:rPr>
        <w:t>green</w:t>
      </w:r>
      <w:r>
        <w:rPr>
          <w:rFonts w:ascii="Times New Roman Regular" w:hAnsi="Times New Roman Regular" w:cs="Times New Roman Regular"/>
        </w:rPr>
        <w:t xml:space="preserve"> and the policy </w:t>
      </w:r>
      <w:r>
        <w:rPr>
          <w:rFonts w:hint="default" w:ascii="Times New Roman Regular" w:hAnsi="Times New Roman Regular" w:cs="Times New Roman Regular"/>
          <w:lang w:val="en-US"/>
        </w:rPr>
        <w:t>was</w:t>
      </w:r>
      <w:r>
        <w:rPr>
          <w:rFonts w:ascii="Times New Roman Regular" w:hAnsi="Times New Roman Regular" w:cs="Times New Roman Regular"/>
        </w:rPr>
        <w:t xml:space="preserve"> statistically insignificant, suggesting that green space d</w:t>
      </w:r>
      <w:r>
        <w:rPr>
          <w:rFonts w:hint="default" w:ascii="Times New Roman Regular" w:hAnsi="Times New Roman Regular" w:cs="Times New Roman Regular"/>
          <w:lang w:val="en-US"/>
        </w:rPr>
        <w:t>id</w:t>
      </w:r>
      <w:r>
        <w:rPr>
          <w:rFonts w:ascii="Times New Roman Regular" w:hAnsi="Times New Roman Regular" w:cs="Times New Roman Regular"/>
        </w:rPr>
        <w:t xml:space="preserve"> not significantly mediate the policy’s employment effects. In sum, the findings highlight that cities should </w:t>
      </w:r>
      <w:r>
        <w:rPr>
          <w:rFonts w:hint="default" w:ascii="Times New Roman Regular" w:hAnsi="Times New Roman Regular" w:cs="Times New Roman Regular"/>
          <w:lang w:val="en-US"/>
        </w:rPr>
        <w:t xml:space="preserve">have </w:t>
      </w:r>
      <w:r>
        <w:rPr>
          <w:rFonts w:ascii="Times New Roman Regular" w:hAnsi="Times New Roman Regular" w:cs="Times New Roman Regular"/>
        </w:rPr>
        <w:t>avoid</w:t>
      </w:r>
      <w:r>
        <w:rPr>
          <w:rFonts w:hint="default" w:ascii="Times New Roman Regular" w:hAnsi="Times New Roman Regular" w:cs="Times New Roman Regular"/>
          <w:lang w:val="en-US"/>
        </w:rPr>
        <w:t>ed</w:t>
      </w:r>
      <w:r>
        <w:rPr>
          <w:rFonts w:ascii="Times New Roman Regular" w:hAnsi="Times New Roman Regular" w:cs="Times New Roman Regular"/>
        </w:rPr>
        <w:t xml:space="preserve"> inefficient land expansion and instead promote</w:t>
      </w:r>
      <w:r>
        <w:rPr>
          <w:rFonts w:hint="default" w:ascii="Times New Roman Regular" w:hAnsi="Times New Roman Regular" w:cs="Times New Roman Regular"/>
          <w:lang w:val="en-US"/>
        </w:rPr>
        <w:t>d</w:t>
      </w:r>
      <w:r>
        <w:rPr>
          <w:rFonts w:ascii="Times New Roman Regular" w:hAnsi="Times New Roman Regular" w:cs="Times New Roman Regular"/>
        </w:rPr>
        <w:t xml:space="preserve"> compact and sustainable urban growth to fully realize the benefits of new-type urbanization policies.</w:t>
      </w:r>
    </w:p>
    <w:tbl>
      <w:tblPr>
        <w:tblStyle w:val="10"/>
        <w:tblW w:w="0" w:type="auto"/>
        <w:tblInd w:w="0" w:type="dxa"/>
        <w:tblLayout w:type="autofit"/>
        <w:tblCellMar>
          <w:top w:w="0" w:type="dxa"/>
          <w:left w:w="0" w:type="dxa"/>
          <w:bottom w:w="0" w:type="dxa"/>
          <w:right w:w="0" w:type="dxa"/>
        </w:tblCellMar>
      </w:tblPr>
      <w:tblGrid>
        <w:gridCol w:w="2835"/>
        <w:gridCol w:w="2835"/>
        <w:gridCol w:w="2836"/>
      </w:tblGrid>
      <w:tr>
        <w:tc>
          <w:tcPr>
            <w:tcW w:w="8506" w:type="dxa"/>
            <w:gridSpan w:val="3"/>
            <w:tcBorders>
              <w:top w:val="single" w:color="BFBFBF" w:sz="4" w:space="0"/>
              <w:left w:val="single" w:color="BFBFBF" w:sz="8" w:space="0"/>
              <w:bottom w:val="double" w:color="auto" w:sz="4" w:space="0"/>
              <w:right w:val="single" w:color="BFBFBF" w:sz="8" w:space="0"/>
            </w:tcBorders>
            <w:shd w:val="clear" w:color="auto" w:fill="auto"/>
            <w:tcMar>
              <w:left w:w="100" w:type="dxa"/>
              <w:right w:w="100" w:type="dxa"/>
            </w:tcMar>
            <w:vAlign w:val="center"/>
          </w:tcPr>
          <w:p>
            <w:pPr>
              <w:widowControl/>
              <w:rPr>
                <w:rFonts w:ascii="Times New Roman Regular" w:hAnsi="Times New Roman Regular" w:cs="Times New Roman Regular"/>
                <w:sz w:val="20"/>
                <w:szCs w:val="20"/>
              </w:rPr>
            </w:pPr>
            <w:r>
              <w:rPr>
                <w:rFonts w:ascii="Times New Roman Bold" w:hAnsi="Times New Roman Bold" w:cs="Times New Roman Bold"/>
                <w:b/>
                <w:bCs/>
                <w:sz w:val="20"/>
                <w:szCs w:val="20"/>
              </w:rPr>
              <w:t>Table</w:t>
            </w:r>
            <w:r>
              <w:rPr>
                <w:rFonts w:hint="eastAsia" w:ascii="Times New Roman Bold" w:hAnsi="Times New Roman Bold" w:cs="Times New Roman Bold"/>
                <w:b/>
                <w:bCs/>
                <w:sz w:val="20"/>
                <w:szCs w:val="20"/>
                <w:lang w:val="en-US" w:eastAsia="zh-CN"/>
              </w:rPr>
              <w:t xml:space="preserve"> </w:t>
            </w:r>
            <w:r>
              <w:rPr>
                <w:rFonts w:ascii="Times New Roman Bold" w:hAnsi="Times New Roman Bold" w:cs="Times New Roman Bold"/>
                <w:b/>
                <w:bCs/>
                <w:sz w:val="20"/>
                <w:szCs w:val="20"/>
              </w:rPr>
              <w:t>7</w:t>
            </w:r>
            <w:r>
              <w:rPr>
                <w:rFonts w:ascii="Times New Roman Regular" w:hAnsi="Times New Roman Regular" w:cs="Times New Roman Regular"/>
                <w:b/>
                <w:bCs/>
                <w:sz w:val="20"/>
                <w:szCs w:val="20"/>
              </w:rPr>
              <w:t xml:space="preserve"> </w:t>
            </w:r>
            <w:r>
              <w:rPr>
                <w:rFonts w:ascii="Times New Roman Regular" w:hAnsi="Times New Roman Regular" w:cs="Times New Roman Regular"/>
                <w:sz w:val="20"/>
                <w:szCs w:val="20"/>
              </w:rPr>
              <w:t>The moderating effect of two-dimensional urban expansion</w:t>
            </w:r>
          </w:p>
        </w:tc>
      </w:tr>
      <w:tr>
        <w:tc>
          <w:tcPr>
            <w:tcW w:w="2835" w:type="dxa"/>
            <w:tcBorders>
              <w:top w:val="double" w:color="auto" w:sz="4" w:space="0"/>
              <w:left w:val="nil"/>
              <w:bottom w:val="single" w:color="auto" w:sz="4" w:space="0"/>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sz w:val="20"/>
                <w:szCs w:val="20"/>
              </w:rPr>
            </w:pPr>
          </w:p>
        </w:tc>
        <w:tc>
          <w:tcPr>
            <w:tcW w:w="2835" w:type="dxa"/>
            <w:tcBorders>
              <w:top w:val="double" w:color="auto" w:sz="4" w:space="0"/>
              <w:left w:val="nil"/>
              <w:bottom w:val="single" w:color="auto" w:sz="4" w:space="0"/>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(1)</w:t>
            </w:r>
          </w:p>
        </w:tc>
        <w:tc>
          <w:tcPr>
            <w:tcW w:w="2836" w:type="dxa"/>
            <w:tcBorders>
              <w:top w:val="double" w:color="auto" w:sz="4" w:space="0"/>
              <w:left w:val="nil"/>
              <w:bottom w:val="single" w:color="auto" w:sz="4" w:space="0"/>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(2)</w:t>
            </w:r>
          </w:p>
        </w:tc>
      </w:tr>
      <w:tr>
        <w:tc>
          <w:tcPr>
            <w:tcW w:w="2835" w:type="dxa"/>
            <w:tcBorders>
              <w:top w:val="single" w:color="auto" w:sz="4" w:space="0"/>
              <w:left w:val="nil"/>
              <w:bottom w:val="single" w:color="auto" w:sz="4" w:space="0"/>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sz w:val="20"/>
                <w:szCs w:val="20"/>
              </w:rPr>
            </w:pPr>
          </w:p>
        </w:tc>
        <w:tc>
          <w:tcPr>
            <w:tcW w:w="2835" w:type="dxa"/>
            <w:tcBorders>
              <w:top w:val="single" w:color="auto" w:sz="4" w:space="0"/>
              <w:left w:val="nil"/>
              <w:bottom w:val="single" w:color="auto" w:sz="4" w:space="0"/>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i/>
                <w:iCs/>
                <w:sz w:val="20"/>
                <w:szCs w:val="20"/>
              </w:rPr>
            </w:pPr>
            <w:r>
              <w:rPr>
                <w:rFonts w:ascii="Times New Roman Regular" w:hAnsi="Times New Roman Regular" w:cs="Times New Roman Regular"/>
                <w:i/>
                <w:iCs/>
                <w:sz w:val="20"/>
                <w:szCs w:val="20"/>
                <w:lang w:bidi="ar"/>
              </w:rPr>
              <w:t>EMP</w:t>
            </w:r>
          </w:p>
        </w:tc>
        <w:tc>
          <w:tcPr>
            <w:tcW w:w="2836" w:type="dxa"/>
            <w:tcBorders>
              <w:top w:val="single" w:color="auto" w:sz="4" w:space="0"/>
              <w:left w:val="nil"/>
              <w:bottom w:val="single" w:color="auto" w:sz="4" w:space="0"/>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i/>
                <w:iCs/>
                <w:sz w:val="20"/>
                <w:szCs w:val="20"/>
              </w:rPr>
            </w:pPr>
            <w:r>
              <w:rPr>
                <w:rFonts w:ascii="Times New Roman Regular" w:hAnsi="Times New Roman Regular" w:cs="Times New Roman Regular"/>
                <w:i/>
                <w:iCs/>
                <w:sz w:val="20"/>
                <w:szCs w:val="20"/>
                <w:lang w:bidi="ar"/>
              </w:rPr>
              <w:t>EMP</w:t>
            </w:r>
          </w:p>
        </w:tc>
      </w:tr>
      <w:tr>
        <w:tc>
          <w:tcPr>
            <w:tcW w:w="2835" w:type="dxa"/>
            <w:tcBorders>
              <w:top w:val="single" w:color="auto" w:sz="4" w:space="0"/>
              <w:left w:val="nil"/>
              <w:bottom w:val="nil"/>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i/>
                <w:iCs/>
                <w:sz w:val="20"/>
                <w:szCs w:val="20"/>
              </w:rPr>
            </w:pPr>
            <w:r>
              <w:rPr>
                <w:rFonts w:ascii="Times New Roman Regular" w:hAnsi="Times New Roman Regular" w:cs="Times New Roman Regular"/>
                <w:i/>
                <w:iCs/>
                <w:sz w:val="20"/>
                <w:szCs w:val="20"/>
              </w:rPr>
              <w:t>treat*post</w:t>
            </w:r>
          </w:p>
        </w:tc>
        <w:tc>
          <w:tcPr>
            <w:tcW w:w="2835" w:type="dxa"/>
            <w:tcBorders>
              <w:top w:val="single" w:color="auto" w:sz="4" w:space="0"/>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2"/>
                <w:szCs w:val="22"/>
              </w:rPr>
            </w:pPr>
            <w:r>
              <w:rPr>
                <w:rFonts w:hint="default" w:ascii="Times New Roman" w:hAnsi="Times New Roman" w:cs="Times New Roman"/>
                <w:kern w:val="0"/>
                <w:sz w:val="22"/>
                <w:szCs w:val="22"/>
                <w:lang w:val="en-US" w:eastAsia="zh-CN" w:bidi="ar"/>
              </w:rPr>
              <w:t>0.3321</w:t>
            </w:r>
            <w:r>
              <w:rPr>
                <w:rFonts w:hint="default" w:ascii="Times New Roman" w:hAnsi="Times New Roman" w:cs="Times New Roman"/>
                <w:kern w:val="0"/>
                <w:sz w:val="22"/>
                <w:szCs w:val="22"/>
                <w:vertAlign w:val="superscript"/>
                <w:lang w:val="en-US" w:eastAsia="zh-CN" w:bidi="ar"/>
              </w:rPr>
              <w:t>**</w:t>
            </w:r>
          </w:p>
        </w:tc>
        <w:tc>
          <w:tcPr>
            <w:tcW w:w="2836" w:type="dxa"/>
            <w:tcBorders>
              <w:top w:val="single" w:color="auto" w:sz="4" w:space="0"/>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2"/>
                <w:szCs w:val="22"/>
              </w:rPr>
            </w:pPr>
            <w:r>
              <w:rPr>
                <w:rFonts w:hint="default" w:ascii="Times New Roman" w:hAnsi="Times New Roman" w:cs="Times New Roman"/>
                <w:kern w:val="0"/>
                <w:sz w:val="22"/>
                <w:szCs w:val="22"/>
                <w:lang w:val="en-US" w:eastAsia="zh-CN" w:bidi="ar"/>
              </w:rPr>
              <w:t>-0.0672</w:t>
            </w:r>
          </w:p>
        </w:tc>
      </w:tr>
      <w:tr>
        <w:tc>
          <w:tcPr>
            <w:tcW w:w="2835"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i/>
                <w:iCs/>
                <w:sz w:val="20"/>
                <w:szCs w:val="20"/>
              </w:rPr>
            </w:pPr>
          </w:p>
        </w:tc>
        <w:tc>
          <w:tcPr>
            <w:tcW w:w="2835"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2"/>
                <w:szCs w:val="22"/>
              </w:rPr>
            </w:pPr>
            <w:r>
              <w:rPr>
                <w:rFonts w:hint="default" w:ascii="Times New Roman" w:hAnsi="Times New Roman" w:cs="Times New Roman"/>
                <w:kern w:val="0"/>
                <w:sz w:val="22"/>
                <w:szCs w:val="22"/>
                <w:lang w:val="en-US" w:eastAsia="zh-CN" w:bidi="ar"/>
              </w:rPr>
              <w:t>(0.1642)</w:t>
            </w:r>
          </w:p>
        </w:tc>
        <w:tc>
          <w:tcPr>
            <w:tcW w:w="2836"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2"/>
                <w:szCs w:val="22"/>
              </w:rPr>
            </w:pPr>
            <w:r>
              <w:rPr>
                <w:rFonts w:hint="default" w:ascii="Times New Roman" w:hAnsi="Times New Roman" w:cs="Times New Roman"/>
                <w:kern w:val="0"/>
                <w:sz w:val="22"/>
                <w:szCs w:val="22"/>
                <w:lang w:val="en-US" w:eastAsia="zh-CN" w:bidi="ar"/>
              </w:rPr>
              <w:t>(0.1820)</w:t>
            </w:r>
          </w:p>
        </w:tc>
      </w:tr>
      <w:tr>
        <w:tc>
          <w:tcPr>
            <w:tcW w:w="2835"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i/>
                <w:iCs/>
                <w:sz w:val="20"/>
                <w:szCs w:val="20"/>
              </w:rPr>
            </w:pPr>
            <w:r>
              <w:rPr>
                <w:rFonts w:ascii="Times New Roman Regular" w:hAnsi="Times New Roman Regular" w:cs="Times New Roman Regular"/>
                <w:i/>
                <w:iCs/>
                <w:sz w:val="20"/>
                <w:szCs w:val="20"/>
                <w:lang w:bidi="ar"/>
              </w:rPr>
              <w:t>builtarea</w:t>
            </w:r>
          </w:p>
        </w:tc>
        <w:tc>
          <w:tcPr>
            <w:tcW w:w="2835"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2"/>
                <w:szCs w:val="22"/>
              </w:rPr>
            </w:pPr>
            <w:r>
              <w:rPr>
                <w:rFonts w:hint="default" w:ascii="Times New Roman" w:hAnsi="Times New Roman" w:cs="Times New Roman"/>
                <w:kern w:val="0"/>
                <w:sz w:val="22"/>
                <w:szCs w:val="22"/>
                <w:lang w:val="en-US" w:eastAsia="zh-CN" w:bidi="ar"/>
              </w:rPr>
              <w:t>0.1853</w:t>
            </w:r>
            <w:r>
              <w:rPr>
                <w:rFonts w:hint="default" w:ascii="Times New Roman" w:hAnsi="Times New Roman" w:cs="Times New Roman"/>
                <w:kern w:val="0"/>
                <w:sz w:val="22"/>
                <w:szCs w:val="22"/>
                <w:vertAlign w:val="superscript"/>
                <w:lang w:val="en-US" w:eastAsia="zh-CN" w:bidi="ar"/>
              </w:rPr>
              <w:t>***</w:t>
            </w:r>
          </w:p>
        </w:tc>
        <w:tc>
          <w:tcPr>
            <w:tcW w:w="2836"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2"/>
                <w:szCs w:val="22"/>
              </w:rPr>
            </w:pPr>
          </w:p>
        </w:tc>
      </w:tr>
      <w:tr>
        <w:trPr>
          <w:trHeight w:val="299" w:hRule="atLeast"/>
        </w:trPr>
        <w:tc>
          <w:tcPr>
            <w:tcW w:w="2835"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i/>
                <w:iCs/>
                <w:sz w:val="20"/>
                <w:szCs w:val="20"/>
              </w:rPr>
            </w:pPr>
          </w:p>
        </w:tc>
        <w:tc>
          <w:tcPr>
            <w:tcW w:w="2835"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2"/>
                <w:szCs w:val="22"/>
              </w:rPr>
            </w:pPr>
            <w:r>
              <w:rPr>
                <w:rFonts w:hint="default" w:ascii="Times New Roman" w:hAnsi="Times New Roman" w:cs="Times New Roman"/>
                <w:kern w:val="0"/>
                <w:sz w:val="22"/>
                <w:szCs w:val="22"/>
                <w:lang w:val="en-US" w:eastAsia="zh-CN" w:bidi="ar"/>
              </w:rPr>
              <w:t>(0.0715)</w:t>
            </w:r>
          </w:p>
        </w:tc>
        <w:tc>
          <w:tcPr>
            <w:tcW w:w="2836"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2"/>
                <w:szCs w:val="22"/>
              </w:rPr>
            </w:pPr>
          </w:p>
        </w:tc>
      </w:tr>
      <w:tr>
        <w:tc>
          <w:tcPr>
            <w:tcW w:w="2835"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i/>
                <w:iCs/>
                <w:sz w:val="20"/>
                <w:szCs w:val="20"/>
              </w:rPr>
            </w:pPr>
            <w:r>
              <w:rPr>
                <w:rFonts w:ascii="Times New Roman Regular" w:hAnsi="Times New Roman Regular" w:cs="Times New Roman Regular"/>
                <w:i/>
                <w:iCs/>
                <w:sz w:val="20"/>
                <w:szCs w:val="20"/>
                <w:lang w:bidi="ar"/>
              </w:rPr>
              <w:t>c.did#c.builtarea</w:t>
            </w:r>
          </w:p>
        </w:tc>
        <w:tc>
          <w:tcPr>
            <w:tcW w:w="2835"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2"/>
                <w:szCs w:val="22"/>
              </w:rPr>
            </w:pPr>
            <w:r>
              <w:rPr>
                <w:rFonts w:hint="default" w:ascii="Times New Roman" w:hAnsi="Times New Roman" w:cs="Times New Roman"/>
                <w:kern w:val="0"/>
                <w:sz w:val="22"/>
                <w:szCs w:val="22"/>
                <w:lang w:val="en-US" w:eastAsia="zh-CN" w:bidi="ar"/>
              </w:rPr>
              <w:t>-0.0612</w:t>
            </w:r>
            <w:r>
              <w:rPr>
                <w:rFonts w:hint="default" w:ascii="Times New Roman" w:hAnsi="Times New Roman" w:cs="Times New Roman"/>
                <w:kern w:val="0"/>
                <w:sz w:val="22"/>
                <w:szCs w:val="22"/>
                <w:vertAlign w:val="superscript"/>
                <w:lang w:val="en-US" w:eastAsia="zh-CN" w:bidi="ar"/>
              </w:rPr>
              <w:t>*</w:t>
            </w:r>
          </w:p>
        </w:tc>
        <w:tc>
          <w:tcPr>
            <w:tcW w:w="2836"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2"/>
                <w:szCs w:val="22"/>
              </w:rPr>
            </w:pPr>
          </w:p>
        </w:tc>
      </w:tr>
      <w:tr>
        <w:tc>
          <w:tcPr>
            <w:tcW w:w="2835"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i/>
                <w:iCs/>
                <w:sz w:val="20"/>
                <w:szCs w:val="20"/>
              </w:rPr>
            </w:pPr>
          </w:p>
        </w:tc>
        <w:tc>
          <w:tcPr>
            <w:tcW w:w="2835"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2"/>
                <w:szCs w:val="22"/>
              </w:rPr>
            </w:pPr>
            <w:r>
              <w:rPr>
                <w:rFonts w:hint="default" w:ascii="Times New Roman" w:hAnsi="Times New Roman" w:cs="Times New Roman"/>
                <w:kern w:val="0"/>
                <w:sz w:val="22"/>
                <w:szCs w:val="22"/>
                <w:lang w:val="en-US" w:eastAsia="zh-CN" w:bidi="ar"/>
              </w:rPr>
              <w:t>(0.0320)</w:t>
            </w:r>
          </w:p>
        </w:tc>
        <w:tc>
          <w:tcPr>
            <w:tcW w:w="2836"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2"/>
                <w:szCs w:val="22"/>
              </w:rPr>
            </w:pPr>
          </w:p>
        </w:tc>
      </w:tr>
      <w:tr>
        <w:tc>
          <w:tcPr>
            <w:tcW w:w="2835"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i/>
                <w:iCs/>
                <w:sz w:val="20"/>
                <w:szCs w:val="20"/>
              </w:rPr>
            </w:pPr>
            <w:r>
              <w:rPr>
                <w:rFonts w:ascii="Times New Roman Regular" w:hAnsi="Times New Roman Regular" w:cs="Times New Roman Regular"/>
                <w:i/>
                <w:iCs/>
                <w:sz w:val="20"/>
                <w:szCs w:val="20"/>
                <w:lang w:bidi="ar"/>
              </w:rPr>
              <w:t>green</w:t>
            </w:r>
          </w:p>
        </w:tc>
        <w:tc>
          <w:tcPr>
            <w:tcW w:w="2835"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2"/>
                <w:szCs w:val="22"/>
              </w:rPr>
            </w:pPr>
          </w:p>
        </w:tc>
        <w:tc>
          <w:tcPr>
            <w:tcW w:w="2836"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2"/>
                <w:szCs w:val="22"/>
              </w:rPr>
            </w:pPr>
            <w:r>
              <w:rPr>
                <w:rFonts w:hint="default" w:ascii="Times New Roman" w:hAnsi="Times New Roman" w:cs="Times New Roman"/>
                <w:kern w:val="0"/>
                <w:sz w:val="22"/>
                <w:szCs w:val="22"/>
                <w:lang w:val="en-US" w:eastAsia="zh-CN" w:bidi="ar"/>
              </w:rPr>
              <w:t>0.0048</w:t>
            </w:r>
            <w:r>
              <w:rPr>
                <w:rFonts w:hint="default" w:ascii="Times New Roman" w:hAnsi="Times New Roman" w:cs="Times New Roman"/>
                <w:kern w:val="0"/>
                <w:sz w:val="22"/>
                <w:szCs w:val="22"/>
                <w:vertAlign w:val="superscript"/>
                <w:lang w:val="en-US" w:eastAsia="zh-CN" w:bidi="ar"/>
              </w:rPr>
              <w:t>***</w:t>
            </w:r>
          </w:p>
        </w:tc>
      </w:tr>
      <w:tr>
        <w:tc>
          <w:tcPr>
            <w:tcW w:w="2835"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i/>
                <w:iCs/>
                <w:sz w:val="20"/>
                <w:szCs w:val="20"/>
              </w:rPr>
            </w:pPr>
          </w:p>
        </w:tc>
        <w:tc>
          <w:tcPr>
            <w:tcW w:w="2835"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2"/>
                <w:szCs w:val="22"/>
              </w:rPr>
            </w:pPr>
          </w:p>
        </w:tc>
        <w:tc>
          <w:tcPr>
            <w:tcW w:w="2836"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2"/>
                <w:szCs w:val="22"/>
              </w:rPr>
            </w:pPr>
            <w:r>
              <w:rPr>
                <w:rFonts w:hint="default" w:ascii="Times New Roman" w:hAnsi="Times New Roman" w:cs="Times New Roman"/>
                <w:kern w:val="0"/>
                <w:sz w:val="22"/>
                <w:szCs w:val="22"/>
                <w:lang w:val="en-US" w:eastAsia="zh-CN" w:bidi="ar"/>
              </w:rPr>
              <w:t>(0.0012)</w:t>
            </w:r>
          </w:p>
        </w:tc>
      </w:tr>
      <w:tr>
        <w:tc>
          <w:tcPr>
            <w:tcW w:w="2835"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i/>
                <w:iCs/>
                <w:sz w:val="20"/>
                <w:szCs w:val="20"/>
              </w:rPr>
            </w:pPr>
            <w:r>
              <w:rPr>
                <w:rFonts w:ascii="Times New Roman Regular" w:hAnsi="Times New Roman Regular" w:cs="Times New Roman Regular"/>
                <w:i/>
                <w:iCs/>
                <w:sz w:val="20"/>
                <w:szCs w:val="20"/>
                <w:lang w:bidi="ar"/>
              </w:rPr>
              <w:t>c.did#c.green</w:t>
            </w:r>
          </w:p>
        </w:tc>
        <w:tc>
          <w:tcPr>
            <w:tcW w:w="2835"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2"/>
                <w:szCs w:val="22"/>
              </w:rPr>
            </w:pPr>
          </w:p>
        </w:tc>
        <w:tc>
          <w:tcPr>
            <w:tcW w:w="2836"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2"/>
                <w:szCs w:val="22"/>
              </w:rPr>
            </w:pPr>
            <w:r>
              <w:rPr>
                <w:rFonts w:hint="default" w:ascii="Times New Roman" w:hAnsi="Times New Roman" w:cs="Times New Roman"/>
                <w:kern w:val="0"/>
                <w:sz w:val="22"/>
                <w:szCs w:val="22"/>
                <w:lang w:val="en-US" w:eastAsia="zh-CN" w:bidi="ar"/>
              </w:rPr>
              <w:t>0.0027</w:t>
            </w:r>
          </w:p>
        </w:tc>
      </w:tr>
      <w:tr>
        <w:tc>
          <w:tcPr>
            <w:tcW w:w="2835"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sz w:val="20"/>
                <w:szCs w:val="20"/>
              </w:rPr>
            </w:pPr>
          </w:p>
        </w:tc>
        <w:tc>
          <w:tcPr>
            <w:tcW w:w="2835"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2"/>
                <w:szCs w:val="22"/>
              </w:rPr>
            </w:pPr>
          </w:p>
        </w:tc>
        <w:tc>
          <w:tcPr>
            <w:tcW w:w="2836"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2"/>
                <w:szCs w:val="22"/>
              </w:rPr>
            </w:pPr>
            <w:r>
              <w:rPr>
                <w:rFonts w:hint="default" w:ascii="Times New Roman" w:hAnsi="Times New Roman" w:cs="Times New Roman"/>
                <w:kern w:val="0"/>
                <w:sz w:val="22"/>
                <w:szCs w:val="22"/>
                <w:lang w:val="en-US" w:eastAsia="zh-CN" w:bidi="ar"/>
              </w:rPr>
              <w:t>(0.0045)</w:t>
            </w:r>
          </w:p>
        </w:tc>
      </w:tr>
      <w:tr>
        <w:tc>
          <w:tcPr>
            <w:tcW w:w="2835"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_cons</w:t>
            </w:r>
          </w:p>
        </w:tc>
        <w:tc>
          <w:tcPr>
            <w:tcW w:w="2835"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2"/>
                <w:szCs w:val="22"/>
              </w:rPr>
            </w:pPr>
            <w:r>
              <w:rPr>
                <w:rFonts w:hint="default" w:ascii="Times New Roman" w:hAnsi="Times New Roman" w:cs="Times New Roman"/>
                <w:kern w:val="0"/>
                <w:sz w:val="22"/>
                <w:szCs w:val="22"/>
                <w:lang w:val="en-US" w:eastAsia="zh-CN" w:bidi="ar"/>
              </w:rPr>
              <w:t>54.8164</w:t>
            </w:r>
            <w:r>
              <w:rPr>
                <w:rFonts w:hint="default" w:ascii="Times New Roman" w:hAnsi="Times New Roman" w:cs="Times New Roman"/>
                <w:kern w:val="0"/>
                <w:sz w:val="22"/>
                <w:szCs w:val="22"/>
                <w:vertAlign w:val="superscript"/>
                <w:lang w:val="en-US" w:eastAsia="zh-CN" w:bidi="ar"/>
              </w:rPr>
              <w:t>***</w:t>
            </w:r>
          </w:p>
        </w:tc>
        <w:tc>
          <w:tcPr>
            <w:tcW w:w="2836"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2"/>
                <w:szCs w:val="22"/>
              </w:rPr>
            </w:pPr>
            <w:r>
              <w:rPr>
                <w:rFonts w:hint="default" w:ascii="Times New Roman" w:hAnsi="Times New Roman" w:cs="Times New Roman"/>
                <w:kern w:val="0"/>
                <w:sz w:val="22"/>
                <w:szCs w:val="22"/>
                <w:lang w:val="en-US" w:eastAsia="zh-CN" w:bidi="ar"/>
              </w:rPr>
              <w:t>55.1883</w:t>
            </w:r>
            <w:r>
              <w:rPr>
                <w:rFonts w:hint="default" w:ascii="Times New Roman" w:hAnsi="Times New Roman" w:cs="Times New Roman"/>
                <w:kern w:val="0"/>
                <w:sz w:val="22"/>
                <w:szCs w:val="22"/>
                <w:vertAlign w:val="superscript"/>
                <w:lang w:val="en-US" w:eastAsia="zh-CN" w:bidi="ar"/>
              </w:rPr>
              <w:t>***</w:t>
            </w:r>
          </w:p>
        </w:tc>
      </w:tr>
      <w:tr>
        <w:tc>
          <w:tcPr>
            <w:tcW w:w="2835"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sz w:val="20"/>
                <w:szCs w:val="20"/>
              </w:rPr>
            </w:pPr>
          </w:p>
        </w:tc>
        <w:tc>
          <w:tcPr>
            <w:tcW w:w="2835"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2"/>
                <w:szCs w:val="22"/>
              </w:rPr>
            </w:pPr>
            <w:r>
              <w:rPr>
                <w:rFonts w:hint="default" w:ascii="Times New Roman" w:hAnsi="Times New Roman" w:cs="Times New Roman"/>
                <w:kern w:val="0"/>
                <w:sz w:val="22"/>
                <w:szCs w:val="22"/>
                <w:lang w:val="en-US" w:eastAsia="zh-CN" w:bidi="ar"/>
              </w:rPr>
              <w:t>(0.4170)</w:t>
            </w:r>
          </w:p>
        </w:tc>
        <w:tc>
          <w:tcPr>
            <w:tcW w:w="2836"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2"/>
                <w:szCs w:val="22"/>
              </w:rPr>
            </w:pPr>
            <w:r>
              <w:rPr>
                <w:rFonts w:hint="default" w:ascii="Times New Roman" w:hAnsi="Times New Roman" w:cs="Times New Roman"/>
                <w:kern w:val="0"/>
                <w:sz w:val="22"/>
                <w:szCs w:val="22"/>
                <w:lang w:val="en-US" w:eastAsia="zh-CN" w:bidi="ar"/>
              </w:rPr>
              <w:t>(0.2326)</w:t>
            </w:r>
          </w:p>
        </w:tc>
      </w:tr>
      <w:tr>
        <w:tc>
          <w:tcPr>
            <w:tcW w:w="2835"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Controls </w:t>
            </w:r>
          </w:p>
        </w:tc>
        <w:tc>
          <w:tcPr>
            <w:tcW w:w="2835"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2"/>
                <w:szCs w:val="22"/>
              </w:rPr>
            </w:pPr>
            <w:r>
              <w:rPr>
                <w:rFonts w:hint="default" w:ascii="Times New Roman" w:hAnsi="Times New Roman" w:cs="Times New Roman"/>
                <w:kern w:val="0"/>
                <w:sz w:val="22"/>
                <w:szCs w:val="22"/>
                <w:lang w:val="en-US" w:eastAsia="zh-CN" w:bidi="ar"/>
              </w:rPr>
              <w:t>Yes</w:t>
            </w:r>
          </w:p>
        </w:tc>
        <w:tc>
          <w:tcPr>
            <w:tcW w:w="2836"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2"/>
                <w:szCs w:val="22"/>
              </w:rPr>
            </w:pPr>
            <w:r>
              <w:rPr>
                <w:rFonts w:hint="default" w:ascii="Times New Roman" w:hAnsi="Times New Roman" w:cs="Times New Roman"/>
                <w:kern w:val="0"/>
                <w:sz w:val="22"/>
                <w:szCs w:val="22"/>
                <w:lang w:val="en-US" w:eastAsia="zh-CN" w:bidi="ar"/>
              </w:rPr>
              <w:t>Yes</w:t>
            </w:r>
          </w:p>
        </w:tc>
      </w:tr>
      <w:tr>
        <w:tc>
          <w:tcPr>
            <w:tcW w:w="2835"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CITY </w:t>
            </w:r>
          </w:p>
        </w:tc>
        <w:tc>
          <w:tcPr>
            <w:tcW w:w="2835"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2"/>
                <w:szCs w:val="22"/>
              </w:rPr>
            </w:pPr>
            <w:r>
              <w:rPr>
                <w:rFonts w:hint="default" w:ascii="Times New Roman" w:hAnsi="Times New Roman" w:cs="Times New Roman"/>
                <w:kern w:val="0"/>
                <w:sz w:val="22"/>
                <w:szCs w:val="22"/>
                <w:lang w:val="en-US" w:eastAsia="zh-CN" w:bidi="ar"/>
              </w:rPr>
              <w:t>Yes</w:t>
            </w:r>
          </w:p>
        </w:tc>
        <w:tc>
          <w:tcPr>
            <w:tcW w:w="2836"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2"/>
                <w:szCs w:val="22"/>
              </w:rPr>
            </w:pPr>
            <w:r>
              <w:rPr>
                <w:rFonts w:hint="default" w:ascii="Times New Roman" w:hAnsi="Times New Roman" w:cs="Times New Roman"/>
                <w:kern w:val="0"/>
                <w:sz w:val="22"/>
                <w:szCs w:val="22"/>
                <w:lang w:val="en-US" w:eastAsia="zh-CN" w:bidi="ar"/>
              </w:rPr>
              <w:t>Yes</w:t>
            </w:r>
          </w:p>
        </w:tc>
      </w:tr>
      <w:tr>
        <w:tc>
          <w:tcPr>
            <w:tcW w:w="2835"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YEAR</w:t>
            </w:r>
          </w:p>
        </w:tc>
        <w:tc>
          <w:tcPr>
            <w:tcW w:w="2835"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2"/>
                <w:szCs w:val="22"/>
              </w:rPr>
            </w:pPr>
            <w:r>
              <w:rPr>
                <w:rFonts w:hint="default" w:ascii="Times New Roman" w:hAnsi="Times New Roman" w:cs="Times New Roman"/>
                <w:kern w:val="0"/>
                <w:sz w:val="22"/>
                <w:szCs w:val="22"/>
                <w:lang w:val="en-US" w:eastAsia="zh-CN" w:bidi="ar"/>
              </w:rPr>
              <w:t>Yes</w:t>
            </w:r>
          </w:p>
        </w:tc>
        <w:tc>
          <w:tcPr>
            <w:tcW w:w="2836"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2"/>
                <w:szCs w:val="22"/>
              </w:rPr>
            </w:pPr>
            <w:r>
              <w:rPr>
                <w:rFonts w:hint="default" w:ascii="Times New Roman" w:hAnsi="Times New Roman" w:cs="Times New Roman"/>
                <w:kern w:val="0"/>
                <w:sz w:val="22"/>
                <w:szCs w:val="22"/>
                <w:lang w:val="en-US" w:eastAsia="zh-CN" w:bidi="ar"/>
              </w:rPr>
              <w:t>Yes</w:t>
            </w:r>
          </w:p>
        </w:tc>
      </w:tr>
      <w:tr>
        <w:tc>
          <w:tcPr>
            <w:tcW w:w="2835"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sz w:val="20"/>
                <w:szCs w:val="20"/>
              </w:rPr>
            </w:pPr>
            <w:r>
              <w:rPr>
                <w:rFonts w:ascii="Times New Roman Regular" w:hAnsi="Times New Roman Regular" w:cs="Times New Roman Regular"/>
                <w:i/>
                <w:iCs/>
                <w:sz w:val="20"/>
                <w:szCs w:val="20"/>
                <w:lang w:bidi="ar"/>
              </w:rPr>
              <w:t>N</w:t>
            </w:r>
          </w:p>
        </w:tc>
        <w:tc>
          <w:tcPr>
            <w:tcW w:w="2835"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2"/>
                <w:szCs w:val="22"/>
              </w:rPr>
            </w:pPr>
            <w:r>
              <w:rPr>
                <w:rFonts w:hint="default" w:ascii="Times New Roman" w:hAnsi="Times New Roman" w:cs="Times New Roman"/>
                <w:kern w:val="0"/>
                <w:sz w:val="22"/>
                <w:szCs w:val="22"/>
                <w:lang w:val="en-US" w:eastAsia="zh-CN" w:bidi="ar"/>
              </w:rPr>
              <w:t>3535</w:t>
            </w:r>
          </w:p>
        </w:tc>
        <w:tc>
          <w:tcPr>
            <w:tcW w:w="2836"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2"/>
                <w:szCs w:val="22"/>
              </w:rPr>
            </w:pPr>
            <w:r>
              <w:rPr>
                <w:rFonts w:hint="default" w:ascii="Times New Roman" w:hAnsi="Times New Roman" w:cs="Times New Roman"/>
                <w:kern w:val="0"/>
                <w:sz w:val="22"/>
                <w:szCs w:val="22"/>
                <w:lang w:val="en-US" w:eastAsia="zh-CN" w:bidi="ar"/>
              </w:rPr>
              <w:t>3249</w:t>
            </w:r>
          </w:p>
        </w:tc>
      </w:tr>
      <w:tr>
        <w:tc>
          <w:tcPr>
            <w:tcW w:w="2835" w:type="dxa"/>
            <w:tcBorders>
              <w:top w:val="nil"/>
              <w:left w:val="nil"/>
              <w:bottom w:val="double" w:color="auto" w:sz="4" w:space="0"/>
              <w:right w:val="nil"/>
            </w:tcBorders>
            <w:shd w:val="clear" w:color="auto" w:fill="auto"/>
            <w:tcMar>
              <w:left w:w="100" w:type="dxa"/>
              <w:right w:w="100" w:type="dxa"/>
            </w:tcMar>
            <w:vAlign w:val="center"/>
          </w:tcPr>
          <w:p>
            <w:pPr>
              <w:pStyle w:val="8"/>
              <w:widowControl/>
              <w:spacing w:beforeAutospacing="0" w:afterAutospacing="0"/>
              <w:jc w:val="both"/>
              <w:rPr>
                <w:rFonts w:hint="default" w:ascii="Times New Roman Regular" w:hAnsi="Times New Roman Regular" w:cs="Times New Roman Regular"/>
                <w:sz w:val="20"/>
                <w:szCs w:val="20"/>
                <w:lang w:val="en-US"/>
              </w:rPr>
            </w:pPr>
            <w:r>
              <w:rPr>
                <w:rFonts w:ascii="Times New Roman Regular" w:hAnsi="Times New Roman Regular" w:cs="Times New Roman Regular"/>
                <w:sz w:val="20"/>
                <w:szCs w:val="20"/>
                <w:lang w:bidi="ar"/>
              </w:rPr>
              <w:t>r2_</w:t>
            </w:r>
            <w:r>
              <w:rPr>
                <w:rFonts w:hint="default" w:ascii="Times New Roman Regular" w:hAnsi="Times New Roman Regular" w:cs="Times New Roman Regular"/>
                <w:sz w:val="20"/>
                <w:szCs w:val="20"/>
                <w:lang w:val="en-US" w:bidi="ar"/>
              </w:rPr>
              <w:t>within</w:t>
            </w:r>
          </w:p>
        </w:tc>
        <w:tc>
          <w:tcPr>
            <w:tcW w:w="2835" w:type="dxa"/>
            <w:tcBorders>
              <w:top w:val="nil"/>
              <w:left w:val="nil"/>
              <w:bottom w:val="double" w:color="auto" w:sz="4" w:space="0"/>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2"/>
                <w:szCs w:val="22"/>
              </w:rPr>
            </w:pPr>
            <w:r>
              <w:rPr>
                <w:rFonts w:hint="default" w:ascii="Times New Roman" w:hAnsi="Times New Roman" w:cs="Times New Roman"/>
                <w:kern w:val="0"/>
                <w:sz w:val="22"/>
                <w:szCs w:val="22"/>
                <w:lang w:val="en-US" w:eastAsia="zh-CN" w:bidi="ar"/>
              </w:rPr>
              <w:t>0.1388</w:t>
            </w:r>
          </w:p>
        </w:tc>
        <w:tc>
          <w:tcPr>
            <w:tcW w:w="2836" w:type="dxa"/>
            <w:tcBorders>
              <w:top w:val="nil"/>
              <w:left w:val="nil"/>
              <w:bottom w:val="double" w:color="auto" w:sz="4" w:space="0"/>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2"/>
                <w:szCs w:val="22"/>
              </w:rPr>
            </w:pPr>
            <w:r>
              <w:rPr>
                <w:rFonts w:hint="default" w:ascii="Times New Roman" w:hAnsi="Times New Roman" w:cs="Times New Roman"/>
                <w:kern w:val="0"/>
                <w:sz w:val="22"/>
                <w:szCs w:val="22"/>
                <w:lang w:val="en-US" w:eastAsia="zh-CN" w:bidi="ar"/>
              </w:rPr>
              <w:t>0.1310</w:t>
            </w:r>
          </w:p>
        </w:tc>
      </w:tr>
    </w:tbl>
    <w:p>
      <w:pPr>
        <w:pStyle w:val="21"/>
        <w:widowControl/>
        <w:jc w:val="both"/>
        <w:rPr>
          <w:rFonts w:ascii="Times New Roman Regular" w:hAnsi="Times New Roman Regular" w:cs="Times New Roman Regular"/>
        </w:rPr>
      </w:pPr>
      <w:r>
        <w:rPr>
          <w:rFonts w:ascii="Times New Roman Regular" w:hAnsi="Times New Roman Regular" w:cs="Times New Roman Regular"/>
        </w:rPr>
        <w:t>Standard errors in parentheses</w:t>
      </w:r>
    </w:p>
    <w:p>
      <w:pPr>
        <w:pStyle w:val="21"/>
        <w:widowControl/>
        <w:spacing w:after="157" w:afterLines="50"/>
        <w:jc w:val="both"/>
        <w:rPr>
          <w:rFonts w:ascii="Times New Roman Regular" w:hAnsi="Times New Roman Regular" w:cs="Times New Roman Regular"/>
          <w:sz w:val="22"/>
          <w:szCs w:val="22"/>
        </w:rPr>
      </w:pPr>
      <w:r>
        <w:rPr>
          <w:rFonts w:ascii="Times New Roman Regular" w:hAnsi="Times New Roman Regular" w:cs="Times New Roman Regular"/>
          <w:vertAlign w:val="superscript"/>
        </w:rPr>
        <w:t>*</w:t>
      </w:r>
      <w:r>
        <w:rPr>
          <w:rFonts w:ascii="Times New Roman Regular" w:hAnsi="Times New Roman Regular" w:cs="Times New Roman Regular"/>
        </w:rPr>
        <w:t xml:space="preserve"> </w:t>
      </w:r>
      <w:r>
        <w:rPr>
          <w:rFonts w:ascii="Times New Roman Regular" w:hAnsi="Times New Roman Regular" w:cs="Times New Roman Regular"/>
          <w:i/>
          <w:iCs/>
        </w:rPr>
        <w:t>p</w:t>
      </w:r>
      <w:r>
        <w:rPr>
          <w:rFonts w:ascii="Times New Roman Regular" w:hAnsi="Times New Roman Regular" w:cs="Times New Roman Regular"/>
        </w:rPr>
        <w:t xml:space="preserve"> &lt; 0.10, </w:t>
      </w:r>
      <w:r>
        <w:rPr>
          <w:rFonts w:ascii="Times New Roman Regular" w:hAnsi="Times New Roman Regular" w:cs="Times New Roman Regular"/>
          <w:vertAlign w:val="superscript"/>
        </w:rPr>
        <w:t>**</w:t>
      </w:r>
      <w:r>
        <w:rPr>
          <w:rFonts w:ascii="Times New Roman Regular" w:hAnsi="Times New Roman Regular" w:cs="Times New Roman Regular"/>
        </w:rPr>
        <w:t xml:space="preserve"> </w:t>
      </w:r>
      <w:r>
        <w:rPr>
          <w:rFonts w:ascii="Times New Roman Regular" w:hAnsi="Times New Roman Regular" w:cs="Times New Roman Regular"/>
          <w:i/>
          <w:iCs/>
        </w:rPr>
        <w:t>p</w:t>
      </w:r>
      <w:r>
        <w:rPr>
          <w:rFonts w:ascii="Times New Roman Regular" w:hAnsi="Times New Roman Regular" w:cs="Times New Roman Regular"/>
        </w:rPr>
        <w:t xml:space="preserve"> &lt; 0.05, </w:t>
      </w:r>
      <w:r>
        <w:rPr>
          <w:rFonts w:ascii="Times New Roman Regular" w:hAnsi="Times New Roman Regular" w:cs="Times New Roman Regular"/>
          <w:vertAlign w:val="superscript"/>
        </w:rPr>
        <w:t>***</w:t>
      </w:r>
      <w:r>
        <w:rPr>
          <w:rFonts w:ascii="Times New Roman Regular" w:hAnsi="Times New Roman Regular" w:cs="Times New Roman Regular"/>
        </w:rPr>
        <w:t xml:space="preserve"> </w:t>
      </w:r>
      <w:r>
        <w:rPr>
          <w:rFonts w:ascii="Times New Roman Regular" w:hAnsi="Times New Roman Regular" w:cs="Times New Roman Regular"/>
          <w:i/>
          <w:iCs/>
        </w:rPr>
        <w:t>p</w:t>
      </w:r>
      <w:r>
        <w:rPr>
          <w:rFonts w:ascii="Times New Roman Regular" w:hAnsi="Times New Roman Regular" w:cs="Times New Roman Regular"/>
        </w:rPr>
        <w:t xml:space="preserve"> &lt; 0.01</w:t>
      </w:r>
    </w:p>
    <w:p>
      <w:pPr>
        <w:spacing w:before="0" w:beforeLines="0" w:after="157" w:afterLines="50"/>
        <w:rPr>
          <w:rFonts w:ascii="Times New Roman Bold Italic" w:hAnsi="Times New Roman Bold Italic" w:cs="Times New Roman Bold Italic"/>
          <w:b/>
          <w:bCs/>
          <w:i/>
          <w:iCs/>
          <w:sz w:val="24"/>
        </w:rPr>
      </w:pPr>
      <w:r>
        <w:rPr>
          <w:rFonts w:hint="default" w:ascii="Times New Roman Bold Italic" w:hAnsi="Times New Roman Bold Italic" w:cs="Times New Roman Bold Italic"/>
          <w:b/>
          <w:bCs/>
          <w:i/>
          <w:iCs/>
          <w:sz w:val="24"/>
          <w:lang w:val="en-US" w:eastAsia="zh-CN"/>
        </w:rPr>
        <w:t>4.3.2</w:t>
      </w:r>
      <w:r>
        <w:rPr>
          <w:rFonts w:ascii="Times New Roman Bold Italic" w:hAnsi="Times New Roman Bold Italic" w:cs="Times New Roman Bold Italic"/>
          <w:b/>
          <w:bCs/>
          <w:i/>
          <w:iCs/>
          <w:sz w:val="24"/>
        </w:rPr>
        <w:t xml:space="preserve"> Urban </w:t>
      </w:r>
      <w:r>
        <w:rPr>
          <w:rFonts w:hint="eastAsia" w:ascii="Times New Roman Bold Italic" w:hAnsi="Times New Roman Bold Italic" w:cs="Times New Roman Bold Italic"/>
          <w:b/>
          <w:bCs/>
          <w:i/>
          <w:iCs/>
          <w:sz w:val="24"/>
          <w:lang w:val="en-US" w:eastAsia="zh-CN"/>
        </w:rPr>
        <w:t>s</w:t>
      </w:r>
      <w:r>
        <w:rPr>
          <w:rFonts w:ascii="Times New Roman Bold Italic" w:hAnsi="Times New Roman Bold Italic" w:cs="Times New Roman Bold Italic"/>
          <w:b/>
          <w:bCs/>
          <w:i/>
          <w:iCs/>
          <w:sz w:val="24"/>
        </w:rPr>
        <w:t xml:space="preserve">patial </w:t>
      </w:r>
      <w:r>
        <w:rPr>
          <w:rFonts w:hint="eastAsia" w:ascii="Times New Roman Bold Italic" w:hAnsi="Times New Roman Bold Italic" w:cs="Times New Roman Bold Italic"/>
          <w:b/>
          <w:bCs/>
          <w:i/>
          <w:iCs/>
          <w:sz w:val="24"/>
          <w:lang w:val="en-US" w:eastAsia="zh-CN"/>
        </w:rPr>
        <w:t>c</w:t>
      </w:r>
      <w:r>
        <w:rPr>
          <w:rFonts w:ascii="Times New Roman Bold Italic" w:hAnsi="Times New Roman Bold Italic" w:cs="Times New Roman Bold Italic"/>
          <w:b/>
          <w:bCs/>
          <w:i/>
          <w:iCs/>
          <w:sz w:val="24"/>
        </w:rPr>
        <w:t xml:space="preserve">ompactness and </w:t>
      </w:r>
      <w:r>
        <w:rPr>
          <w:rFonts w:hint="eastAsia" w:ascii="Times New Roman Bold Italic" w:hAnsi="Times New Roman Bold Italic" w:cs="Times New Roman Bold Italic"/>
          <w:b/>
          <w:bCs/>
          <w:i/>
          <w:iCs/>
          <w:sz w:val="24"/>
          <w:lang w:val="en-US" w:eastAsia="zh-CN"/>
        </w:rPr>
        <w:t>e</w:t>
      </w:r>
      <w:r>
        <w:rPr>
          <w:rFonts w:ascii="Times New Roman Bold Italic" w:hAnsi="Times New Roman Bold Italic" w:cs="Times New Roman Bold Italic"/>
          <w:b/>
          <w:bCs/>
          <w:i/>
          <w:iCs/>
          <w:sz w:val="24"/>
        </w:rPr>
        <w:t xml:space="preserve">mployment </w:t>
      </w:r>
      <w:r>
        <w:rPr>
          <w:rFonts w:hint="eastAsia" w:ascii="Times New Roman Bold Italic" w:hAnsi="Times New Roman Bold Italic" w:cs="Times New Roman Bold Italic"/>
          <w:b/>
          <w:bCs/>
          <w:i/>
          <w:iCs/>
          <w:sz w:val="24"/>
          <w:lang w:val="en-US" w:eastAsia="zh-CN"/>
        </w:rPr>
        <w:t>q</w:t>
      </w:r>
      <w:r>
        <w:rPr>
          <w:rFonts w:ascii="Times New Roman Bold Italic" w:hAnsi="Times New Roman Bold Italic" w:cs="Times New Roman Bold Italic"/>
          <w:b/>
          <w:bCs/>
          <w:i/>
          <w:iCs/>
          <w:sz w:val="24"/>
        </w:rPr>
        <w:t>uality</w:t>
      </w:r>
    </w:p>
    <w:p>
      <w:pPr>
        <w:spacing w:after="157" w:afterLines="50"/>
        <w:ind w:firstLine="240" w:firstLineChars="100"/>
        <w:rPr>
          <w:rFonts w:ascii="Times New Roman Regular" w:hAnsi="Times New Roman Regular" w:cs="Times New Roman Regular"/>
          <w:sz w:val="24"/>
        </w:rPr>
      </w:pPr>
      <w:r>
        <w:rPr>
          <w:rFonts w:ascii="Times New Roman Regular" w:hAnsi="Times New Roman Regular" w:cs="Times New Roman Regular"/>
          <w:sz w:val="24"/>
        </w:rPr>
        <w:t>To further investigate how urban spatial structure affect</w:t>
      </w:r>
      <w:r>
        <w:rPr>
          <w:rFonts w:hint="default" w:ascii="Times New Roman Regular" w:hAnsi="Times New Roman Regular" w:cs="Times New Roman Regular"/>
          <w:sz w:val="24"/>
          <w:lang w:val="en-US"/>
        </w:rPr>
        <w:t>ed</w:t>
      </w:r>
      <w:r>
        <w:rPr>
          <w:rFonts w:ascii="Times New Roman Regular" w:hAnsi="Times New Roman Regular" w:cs="Times New Roman Regular"/>
          <w:sz w:val="24"/>
        </w:rPr>
        <w:t xml:space="preserve"> the impact of the new urbanization policy on employment quality, we introduce</w:t>
      </w:r>
      <w:r>
        <w:rPr>
          <w:rFonts w:hint="default" w:ascii="Times New Roman Regular" w:hAnsi="Times New Roman Regular" w:cs="Times New Roman Regular"/>
          <w:sz w:val="24"/>
          <w:lang w:val="en-US"/>
        </w:rPr>
        <w:t>d</w:t>
      </w:r>
      <w:r>
        <w:rPr>
          <w:rFonts w:ascii="Times New Roman Regular" w:hAnsi="Times New Roman Regular" w:cs="Times New Roman Regular"/>
          <w:sz w:val="24"/>
        </w:rPr>
        <w:t xml:space="preserve"> three spatial form variables: the average distance between any two points within the largest contiguous bui</w:t>
      </w:r>
      <w:r>
        <w:rPr>
          <w:rFonts w:hint="default" w:ascii="Times New Roman Regular" w:hAnsi="Times New Roman Regular" w:cs="Times New Roman Regular"/>
          <w:sz w:val="24"/>
          <w:lang w:val="en-US"/>
        </w:rPr>
        <w:t>a</w:t>
      </w:r>
      <w:r>
        <w:rPr>
          <w:rFonts w:ascii="Times New Roman Regular" w:hAnsi="Times New Roman Regular" w:cs="Times New Roman Regular"/>
          <w:sz w:val="24"/>
        </w:rPr>
        <w:t>lt-up area (</w:t>
      </w:r>
      <w:r>
        <w:rPr>
          <w:rFonts w:ascii="Times New Roman Italic" w:hAnsi="Times New Roman Italic" w:cs="Times New Roman Italic"/>
          <w:i/>
          <w:iCs/>
          <w:sz w:val="24"/>
        </w:rPr>
        <w:t>ave_dis</w:t>
      </w:r>
      <w:r>
        <w:rPr>
          <w:rFonts w:ascii="Times New Roman Regular" w:hAnsi="Times New Roman Regular" w:cs="Times New Roman Regular"/>
          <w:sz w:val="24"/>
        </w:rPr>
        <w:t>), the average distance within a circle of equal area (</w:t>
      </w:r>
      <w:r>
        <w:rPr>
          <w:rFonts w:ascii="Times New Roman Italic" w:hAnsi="Times New Roman Italic" w:cs="Times New Roman Italic"/>
          <w:i/>
          <w:iCs/>
          <w:sz w:val="24"/>
        </w:rPr>
        <w:t>adk_ec</w:t>
      </w:r>
      <w:r>
        <w:rPr>
          <w:rFonts w:ascii="Times New Roman Regular" w:hAnsi="Times New Roman Regular" w:cs="Times New Roman Regular"/>
          <w:sz w:val="24"/>
        </w:rPr>
        <w:t>), and a spatial compactness index (</w:t>
      </w:r>
      <w:r>
        <w:rPr>
          <w:rFonts w:hint="default" w:ascii="Times New Roman Italic" w:hAnsi="Times New Roman Italic" w:cs="Times New Roman Italic"/>
          <w:i/>
          <w:iCs/>
          <w:sz w:val="24"/>
        </w:rPr>
        <w:t>spat_compact</w:t>
      </w:r>
      <w:r>
        <w:rPr>
          <w:rFonts w:ascii="Times New Roman Regular" w:hAnsi="Times New Roman Regular" w:cs="Times New Roman Regular"/>
          <w:sz w:val="24"/>
        </w:rPr>
        <w:t>), defined as the ratio between point-to-point average distance and the radius of an equal-area circle. A larger value of any of these variables indicate</w:t>
      </w:r>
      <w:r>
        <w:rPr>
          <w:rFonts w:hint="default" w:ascii="Times New Roman Regular" w:hAnsi="Times New Roman Regular" w:cs="Times New Roman Regular"/>
          <w:sz w:val="24"/>
          <w:lang w:val="en-US"/>
        </w:rPr>
        <w:t>d</w:t>
      </w:r>
      <w:r>
        <w:rPr>
          <w:rFonts w:ascii="Times New Roman Regular" w:hAnsi="Times New Roman Regular" w:cs="Times New Roman Regular"/>
          <w:sz w:val="24"/>
        </w:rPr>
        <w:t xml:space="preserve"> a more </w:t>
      </w:r>
    </w:p>
    <w:p>
      <w:pPr>
        <w:rPr>
          <w:rFonts w:hAnsi="DejaVu Math TeX Gyre" w:cs="Times New Roman Regular"/>
          <w:b w:val="0"/>
          <w:i w:val="0"/>
          <w:sz w:val="20"/>
        </w:rPr>
      </w:pPr>
      <m:oMathPara>
        <m:oMath>
          <m:sSub>
            <m:sSubPr>
              <m:ctrlPr>
                <w:rPr>
                  <w:rFonts w:hint="eastAsia" w:ascii="DejaVu Math TeX Gyre" w:hAnsi="DejaVu Math TeX Gyre" w:cs="Times New Roman Regular"/>
                  <w:i/>
                  <w:iCs/>
                  <w:sz w:val="20"/>
                  <w:szCs w:val="20"/>
                </w:rPr>
              </m:ctrlPr>
            </m:sSubPr>
            <m:e>
              <m:r>
                <m:rPr/>
                <w:rPr>
                  <w:rFonts w:ascii="DejaVu Math TeX Gyre" w:hAnsi="DejaVu Math TeX Gyre" w:cs="Times New Roman Regular"/>
                  <w:sz w:val="20"/>
                  <w:szCs w:val="20"/>
                </w:rPr>
                <m:t>spatcompact</m:t>
              </m:r>
              <m:ctrlPr>
                <w:rPr>
                  <w:rFonts w:hint="eastAsia" w:ascii="DejaVu Math TeX Gyre" w:hAnsi="DejaVu Math TeX Gyre" w:cs="Times New Roman Regular"/>
                  <w:i/>
                  <w:iCs/>
                  <w:sz w:val="20"/>
                  <w:szCs w:val="20"/>
                </w:rPr>
              </m:ctrlPr>
            </m:e>
            <m:sub>
              <m:r>
                <m:rPr/>
                <w:rPr>
                  <w:rFonts w:ascii="DejaVu Math TeX Gyre" w:hAnsi="DejaVu Math TeX Gyre" w:cs="Times New Roman Regular"/>
                  <w:sz w:val="20"/>
                  <w:szCs w:val="20"/>
                </w:rPr>
                <m:t>i</m:t>
              </m:r>
              <m:ctrlPr>
                <w:rPr>
                  <w:rFonts w:hint="eastAsia" w:ascii="DejaVu Math TeX Gyre" w:hAnsi="DejaVu Math TeX Gyre" w:cs="Times New Roman Regular"/>
                  <w:i/>
                  <w:iCs/>
                  <w:sz w:val="20"/>
                  <w:szCs w:val="20"/>
                </w:rPr>
              </m:ctrlPr>
            </m:sub>
          </m:sSub>
          <m:r>
            <m:rPr/>
            <w:rPr>
              <w:rFonts w:ascii="DejaVu Math TeX Gyre" w:hAnsi="DejaVu Math TeX Gyre" w:cs="Times New Roman Regular"/>
              <w:sz w:val="20"/>
              <w:szCs w:val="20"/>
            </w:rPr>
            <m:t>=</m:t>
          </m:r>
          <m:f>
            <m:fPr>
              <m:ctrlPr>
                <w:rPr>
                  <w:rFonts w:ascii="DejaVu Math TeX Gyre" w:hAnsi="DejaVu Math TeX Gyre" w:cs="Times New Roman Regular"/>
                  <w:i/>
                  <w:iCs/>
                  <w:sz w:val="20"/>
                  <w:szCs w:val="20"/>
                </w:rPr>
              </m:ctrlPr>
            </m:fPr>
            <m:num>
              <m:nary>
                <m:naryPr>
                  <m:chr m:val="∑"/>
                  <m:limLoc m:val="undOvr"/>
                  <m:supHide m:val="1"/>
                  <m:ctrlPr>
                    <w:rPr>
                      <w:rFonts w:ascii="DejaVu Math TeX Gyre" w:hAnsi="DejaVu Math TeX Gyre" w:cs="Times New Roman Regular"/>
                      <w:i/>
                      <w:iCs/>
                      <w:sz w:val="20"/>
                      <w:szCs w:val="20"/>
                    </w:rPr>
                  </m:ctrlPr>
                </m:naryPr>
                <m:sub>
                  <m:r>
                    <m:rPr/>
                    <w:rPr>
                      <w:rFonts w:ascii="DejaVu Math TeX Gyre" w:hAnsi="DejaVu Math TeX Gyre" w:cs="Times New Roman Regular"/>
                      <w:sz w:val="20"/>
                      <w:szCs w:val="20"/>
                    </w:rPr>
                    <m:t>j≠k</m:t>
                  </m:r>
                  <m:ctrlPr>
                    <w:rPr>
                      <w:rFonts w:ascii="DejaVu Math TeX Gyre" w:hAnsi="DejaVu Math TeX Gyre" w:cs="Times New Roman Regular"/>
                      <w:i/>
                      <w:iCs/>
                      <w:sz w:val="20"/>
                      <w:szCs w:val="20"/>
                    </w:rPr>
                  </m:ctrlPr>
                </m:sub>
                <m:sup>
                  <m:ctrlPr>
                    <w:rPr>
                      <w:rFonts w:ascii="DejaVu Math TeX Gyre" w:hAnsi="DejaVu Math TeX Gyre" w:cs="Times New Roman Regular"/>
                      <w:i/>
                      <w:iCs/>
                      <w:sz w:val="20"/>
                      <w:szCs w:val="20"/>
                    </w:rPr>
                  </m:ctrlPr>
                </m:sup>
                <m:e>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d</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jk</m:t>
                      </m:r>
                      <m:ctrlPr>
                        <w:rPr>
                          <w:rFonts w:ascii="DejaVu Math TeX Gyre" w:hAnsi="DejaVu Math TeX Gyre" w:cs="Times New Roman Regular"/>
                          <w:i/>
                          <w:iCs/>
                          <w:sz w:val="20"/>
                          <w:szCs w:val="20"/>
                        </w:rPr>
                      </m:ctrlPr>
                    </m:sub>
                  </m:sSub>
                  <m:ctrlPr>
                    <w:rPr>
                      <w:rFonts w:ascii="DejaVu Math TeX Gyre" w:hAnsi="DejaVu Math TeX Gyre" w:cs="Times New Roman Regular"/>
                      <w:i/>
                      <w:iCs/>
                      <w:sz w:val="20"/>
                      <w:szCs w:val="20"/>
                    </w:rPr>
                  </m:ctrlPr>
                </m:e>
              </m:nary>
              <m:ctrlPr>
                <w:rPr>
                  <w:rFonts w:ascii="DejaVu Math TeX Gyre" w:hAnsi="DejaVu Math TeX Gyre" w:cs="Times New Roman Regular"/>
                  <w:i/>
                  <w:iCs/>
                  <w:sz w:val="20"/>
                  <w:szCs w:val="20"/>
                </w:rPr>
              </m:ctrlPr>
            </m:num>
            <m:den>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R</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i</m:t>
                  </m:r>
                  <m:ctrlPr>
                    <w:rPr>
                      <w:rFonts w:ascii="DejaVu Math TeX Gyre" w:hAnsi="DejaVu Math TeX Gyre" w:cs="Times New Roman Regular"/>
                      <w:i/>
                      <w:iCs/>
                      <w:sz w:val="20"/>
                      <w:szCs w:val="20"/>
                    </w:rPr>
                  </m:ctrlPr>
                </m:sub>
              </m:sSub>
              <m:r>
                <m:rPr/>
                <w:rPr>
                  <w:rFonts w:ascii="DejaVu Math TeX Gyre" w:hAnsi="DejaVu Math TeX Gyre" w:cs="Times New Roman Regular"/>
                  <w:sz w:val="20"/>
                  <w:szCs w:val="20"/>
                </w:rPr>
                <m:t>∙</m:t>
              </m:r>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N</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i</m:t>
                  </m:r>
                  <m:ctrlPr>
                    <w:rPr>
                      <w:rFonts w:ascii="DejaVu Math TeX Gyre" w:hAnsi="DejaVu Math TeX Gyre" w:cs="Times New Roman Regular"/>
                      <w:i/>
                      <w:iCs/>
                      <w:sz w:val="20"/>
                      <w:szCs w:val="20"/>
                    </w:rPr>
                  </m:ctrlPr>
                </m:sub>
              </m:sSub>
              <m:r>
                <m:rPr/>
                <w:rPr>
                  <w:rFonts w:ascii="DejaVu Math TeX Gyre" w:hAnsi="DejaVu Math TeX Gyre" w:cs="Times New Roman Regular"/>
                  <w:sz w:val="20"/>
                  <w:szCs w:val="20"/>
                </w:rPr>
                <m:t>(</m:t>
              </m:r>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N</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i</m:t>
                  </m:r>
                  <m:ctrlPr>
                    <w:rPr>
                      <w:rFonts w:ascii="DejaVu Math TeX Gyre" w:hAnsi="DejaVu Math TeX Gyre" w:cs="Times New Roman Regular"/>
                      <w:i/>
                      <w:iCs/>
                      <w:sz w:val="20"/>
                      <w:szCs w:val="20"/>
                    </w:rPr>
                  </m:ctrlPr>
                </m:sub>
              </m:sSub>
              <m:r>
                <m:rPr/>
                <w:rPr>
                  <w:rFonts w:ascii="DejaVu Math TeX Gyre" w:hAnsi="DejaVu Math TeX Gyre" w:cs="Times New Roman Regular"/>
                  <w:sz w:val="20"/>
                  <w:szCs w:val="20"/>
                </w:rPr>
                <m:t>−1)</m:t>
              </m:r>
              <m:ctrlPr>
                <w:rPr>
                  <w:rFonts w:ascii="DejaVu Math TeX Gyre" w:hAnsi="DejaVu Math TeX Gyre" w:cs="Times New Roman Regular"/>
                  <w:i/>
                  <w:iCs/>
                  <w:sz w:val="20"/>
                  <w:szCs w:val="20"/>
                </w:rPr>
              </m:ctrlPr>
            </m:den>
          </m:f>
          <m:r>
            <m:rPr>
              <m:sty m:val="p"/>
            </m:rPr>
            <w:rPr>
              <w:rFonts w:ascii="DejaVu Math TeX Gyre" w:hAnsi="DejaVu Math TeX Gyre" w:cs="Times New Roman Regular"/>
              <w:sz w:val="20"/>
            </w:rPr>
            <m:t xml:space="preserve">   (5)</m:t>
          </m:r>
        </m:oMath>
      </m:oMathPara>
    </w:p>
    <w:p>
      <w:pPr>
        <w:widowControl/>
        <w:spacing w:before="157" w:beforeLines="50" w:after="157" w:afterLines="50"/>
        <w:ind w:firstLine="240" w:firstLineChars="100"/>
        <w:rPr>
          <w:rFonts w:ascii="Times New Roman Regular" w:hAnsi="Times New Roman Regular" w:cs="Times New Roman Regular"/>
          <w:iCs/>
          <w:sz w:val="24"/>
        </w:rPr>
      </w:pPr>
      <w:r>
        <w:rPr>
          <w:rFonts w:ascii="Times New Roman Regular" w:hAnsi="Times New Roman Regular" w:eastAsia="宋体" w:cs="Times New Roman Regular"/>
          <w:kern w:val="0"/>
          <w:sz w:val="24"/>
          <w:lang w:bidi="ar"/>
        </w:rPr>
        <w:t>Here,</w:t>
      </w:r>
      <w:r>
        <w:rPr>
          <w:rFonts w:hint="default" w:ascii="Times New Roman Regular" w:hAnsi="Times New Roman Regular" w:eastAsia="宋体" w:cs="Times New Roman Regular"/>
          <w:kern w:val="0"/>
          <w:sz w:val="24"/>
          <w:lang w:val="en-US" w:bidi="ar"/>
        </w:rPr>
        <w:t xml:space="preserve"> </w:t>
      </w:r>
      <w:r>
        <w:rPr>
          <w:rFonts w:hint="default" w:ascii="Times New Roman Italic" w:hAnsi="Times New Roman Italic" w:eastAsia="宋体" w:cs="Times New Roman Italic"/>
          <w:i/>
          <w:iCs/>
          <w:kern w:val="0"/>
          <w:sz w:val="24"/>
          <w:lang w:val="en-US" w:bidi="ar"/>
        </w:rPr>
        <w:t>N</w:t>
      </w:r>
      <w:r>
        <w:rPr>
          <w:rFonts w:ascii="Times New Roman Italic" w:hAnsi="Times New Roman Italic" w:cs="Times New Roman Italic"/>
          <w:i/>
          <w:iCs/>
          <w:sz w:val="24"/>
          <w:vertAlign w:val="subscript"/>
        </w:rPr>
        <w:t>i</w:t>
      </w:r>
      <w:r>
        <w:rPr>
          <w:rFonts w:ascii="Times New Roman Regular" w:hAnsi="Times New Roman Regular" w:cs="Times New Roman Regular"/>
          <w:i/>
          <w:sz w:val="24"/>
          <w:vertAlign w:val="subscript"/>
        </w:rPr>
        <w:t xml:space="preserve"> </w:t>
      </w:r>
      <w:r>
        <w:rPr>
          <w:rFonts w:ascii="Times New Roman Regular" w:hAnsi="Times New Roman Regular" w:eastAsia="宋体" w:cs="Times New Roman Regular"/>
          <w:kern w:val="0"/>
          <w:sz w:val="24"/>
          <w:lang w:bidi="ar"/>
        </w:rPr>
        <w:t>denote</w:t>
      </w:r>
      <w:r>
        <w:rPr>
          <w:rFonts w:hint="default" w:ascii="Times New Roman Regular" w:hAnsi="Times New Roman Regular" w:eastAsia="宋体" w:cs="Times New Roman Regular"/>
          <w:kern w:val="0"/>
          <w:sz w:val="24"/>
          <w:lang w:val="en-US" w:bidi="ar"/>
        </w:rPr>
        <w:t>d</w:t>
      </w:r>
      <w:r>
        <w:rPr>
          <w:rFonts w:ascii="Times New Roman Regular" w:hAnsi="Times New Roman Regular" w:eastAsia="宋体" w:cs="Times New Roman Regular"/>
          <w:kern w:val="0"/>
          <w:sz w:val="24"/>
          <w:lang w:bidi="ar"/>
        </w:rPr>
        <w:t xml:space="preserve"> the number of grid cells (or representative points) within the largest contiguous built-up area of city </w:t>
      </w:r>
      <w:r>
        <w:rPr>
          <w:rFonts w:hint="default" w:ascii="Times New Roman Italic" w:hAnsi="Times New Roman Italic" w:eastAsia="宋体" w:cs="Times New Roman Italic"/>
          <w:i/>
          <w:iCs/>
          <w:kern w:val="0"/>
          <w:sz w:val="24"/>
          <w:lang w:bidi="ar"/>
        </w:rPr>
        <w:t>i</w:t>
      </w:r>
      <w:r>
        <w:rPr>
          <w:rFonts w:ascii="Times New Roman Regular" w:hAnsi="Times New Roman Regular" w:eastAsia="宋体" w:cs="Times New Roman Regular"/>
          <w:kern w:val="0"/>
          <w:sz w:val="24"/>
          <w:lang w:bidi="ar"/>
        </w:rPr>
        <w:t xml:space="preserve">, and </w:t>
      </w:r>
      <w:r>
        <w:rPr>
          <w:rFonts w:ascii="Times New Roman Regular" w:hAnsi="Times New Roman Regular" w:cs="Times New Roman Regular"/>
          <w:i/>
          <w:sz w:val="24"/>
        </w:rPr>
        <w:t>d</w:t>
      </w:r>
      <w:r>
        <w:rPr>
          <w:rFonts w:ascii="Times New Roman Regular" w:hAnsi="Times New Roman Regular" w:cs="Times New Roman Regular"/>
          <w:i/>
          <w:sz w:val="24"/>
          <w:vertAlign w:val="subscript"/>
        </w:rPr>
        <w:t xml:space="preserve">jk </w:t>
      </w:r>
      <w:r>
        <w:rPr>
          <w:rFonts w:ascii="Times New Roman Regular" w:hAnsi="Times New Roman Regular" w:eastAsia="宋体" w:cs="Times New Roman Regular"/>
          <w:kern w:val="0"/>
          <w:sz w:val="24"/>
          <w:lang w:bidi="ar"/>
        </w:rPr>
        <w:t xml:space="preserve"> represent</w:t>
      </w:r>
      <w:r>
        <w:rPr>
          <w:rFonts w:hint="default" w:ascii="Times New Roman Regular" w:hAnsi="Times New Roman Regular" w:eastAsia="宋体" w:cs="Times New Roman Regular"/>
          <w:kern w:val="0"/>
          <w:sz w:val="24"/>
          <w:lang w:val="en-US" w:bidi="ar"/>
        </w:rPr>
        <w:t>ed</w:t>
      </w:r>
      <w:r>
        <w:rPr>
          <w:rFonts w:ascii="Times New Roman Regular" w:hAnsi="Times New Roman Regular" w:eastAsia="宋体" w:cs="Times New Roman Regular"/>
          <w:kern w:val="0"/>
          <w:sz w:val="24"/>
          <w:lang w:bidi="ar"/>
        </w:rPr>
        <w:t xml:space="preserve"> the Euclidean distance between any two points </w:t>
      </w:r>
      <w:r>
        <w:rPr>
          <w:rFonts w:hint="default" w:ascii="Times New Roman Italic" w:hAnsi="Times New Roman Italic" w:eastAsia="宋体" w:cs="Times New Roman Italic"/>
          <w:i/>
          <w:iCs/>
          <w:kern w:val="0"/>
          <w:sz w:val="24"/>
          <w:lang w:bidi="ar"/>
        </w:rPr>
        <w:t>j</w:t>
      </w:r>
      <w:r>
        <w:rPr>
          <w:rFonts w:ascii="Times New Roman Regular" w:hAnsi="Times New Roman Regular" w:eastAsia="宋体" w:cs="Times New Roman Regular"/>
          <w:kern w:val="0"/>
          <w:sz w:val="24"/>
          <w:lang w:bidi="ar"/>
        </w:rPr>
        <w:t xml:space="preserve"> and </w:t>
      </w:r>
      <w:r>
        <w:rPr>
          <w:rFonts w:hint="default" w:ascii="Times New Roman Italic" w:hAnsi="Times New Roman Italic" w:eastAsia="宋体" w:cs="Times New Roman Italic"/>
          <w:i/>
          <w:iCs/>
          <w:kern w:val="0"/>
          <w:sz w:val="24"/>
          <w:lang w:bidi="ar"/>
        </w:rPr>
        <w:t>k</w:t>
      </w:r>
      <w:r>
        <w:rPr>
          <w:rFonts w:ascii="Times New Roman Regular" w:hAnsi="Times New Roman Regular" w:eastAsia="宋体" w:cs="Times New Roman Regular"/>
          <w:kern w:val="0"/>
          <w:sz w:val="24"/>
          <w:lang w:bidi="ar"/>
        </w:rPr>
        <w:t xml:space="preserve"> within this area. The term </w:t>
      </w:r>
      <w:r>
        <w:rPr>
          <w:rFonts w:hint="default" w:ascii="Times New Roman Italic" w:hAnsi="Times New Roman Italic" w:eastAsia="宋体" w:cs="Times New Roman Italic"/>
          <w:i/>
          <w:iCs/>
          <w:kern w:val="0"/>
          <w:sz w:val="24"/>
          <w:lang w:val="en-US" w:eastAsia="zh-CN" w:bidi="ar"/>
        </w:rPr>
        <w:t>R</w:t>
      </w:r>
      <w:r>
        <w:rPr>
          <w:rFonts w:ascii="Times New Roman Italic" w:hAnsi="Times New Roman Italic" w:cs="Times New Roman Italic"/>
          <w:i/>
          <w:iCs/>
          <w:sz w:val="24"/>
          <w:vertAlign w:val="subscript"/>
        </w:rPr>
        <w:t>i</w:t>
      </w:r>
      <w:r>
        <w:rPr>
          <w:rFonts w:ascii="Times New Roman Regular" w:hAnsi="Times New Roman Regular" w:eastAsia="宋体" w:cs="Times New Roman Regular"/>
          <w:kern w:val="0"/>
          <w:sz w:val="24"/>
          <w:lang w:bidi="ar"/>
        </w:rPr>
        <w:t xml:space="preserve"> refer</w:t>
      </w:r>
      <w:r>
        <w:rPr>
          <w:rFonts w:hint="default" w:ascii="Times New Roman Regular" w:hAnsi="Times New Roman Regular" w:eastAsia="宋体" w:cs="Times New Roman Regular"/>
          <w:kern w:val="0"/>
          <w:sz w:val="24"/>
          <w:lang w:val="en-US" w:bidi="ar"/>
        </w:rPr>
        <w:t>red</w:t>
      </w:r>
      <w:r>
        <w:rPr>
          <w:rFonts w:ascii="Times New Roman Regular" w:hAnsi="Times New Roman Regular" w:eastAsia="宋体" w:cs="Times New Roman Regular"/>
          <w:kern w:val="0"/>
          <w:sz w:val="24"/>
          <w:lang w:bidi="ar"/>
        </w:rPr>
        <w:t xml:space="preserve"> to the radius of a circle with the same area as the built-up region, which </w:t>
      </w:r>
      <w:r>
        <w:rPr>
          <w:rFonts w:hint="default" w:ascii="Times New Roman Regular" w:hAnsi="Times New Roman Regular" w:eastAsia="宋体" w:cs="Times New Roman Regular"/>
          <w:kern w:val="0"/>
          <w:sz w:val="24"/>
          <w:lang w:val="en-US" w:bidi="ar"/>
        </w:rPr>
        <w:t>was</w:t>
      </w:r>
      <w:r>
        <w:rPr>
          <w:rFonts w:ascii="Times New Roman Regular" w:hAnsi="Times New Roman Regular" w:eastAsia="宋体" w:cs="Times New Roman Regular"/>
          <w:kern w:val="0"/>
          <w:sz w:val="24"/>
          <w:lang w:bidi="ar"/>
        </w:rPr>
        <w:t xml:space="preserve"> used to standardize the average distance and eliminate the influence of city size. A smaller value of this index indicate</w:t>
      </w:r>
      <w:r>
        <w:rPr>
          <w:rFonts w:hint="default" w:ascii="Times New Roman Regular" w:hAnsi="Times New Roman Regular" w:eastAsia="宋体" w:cs="Times New Roman Regular"/>
          <w:kern w:val="0"/>
          <w:sz w:val="24"/>
          <w:lang w:val="en-US" w:bidi="ar"/>
        </w:rPr>
        <w:t>d</w:t>
      </w:r>
      <w:r>
        <w:rPr>
          <w:rFonts w:ascii="Times New Roman Regular" w:hAnsi="Times New Roman Regular" w:eastAsia="宋体" w:cs="Times New Roman Regular"/>
          <w:kern w:val="0"/>
          <w:sz w:val="24"/>
          <w:lang w:bidi="ar"/>
        </w:rPr>
        <w:t xml:space="preserve"> a more compact spatial distribution within the city, reflecting a more concentrated urban form.</w:t>
      </w:r>
    </w:p>
    <w:p>
      <w:pPr>
        <w:spacing w:after="157" w:afterLines="50"/>
        <w:ind w:firstLine="240" w:firstLineChars="100"/>
        <w:rPr>
          <w:rFonts w:ascii="Times New Roman Regular" w:hAnsi="Times New Roman Regular" w:cs="Times New Roman Regular"/>
          <w:sz w:val="24"/>
        </w:rPr>
      </w:pPr>
      <w:r>
        <w:rPr>
          <w:rFonts w:ascii="Times New Roman Regular" w:hAnsi="Times New Roman Regular" w:cs="Times New Roman Regular"/>
          <w:sz w:val="24"/>
        </w:rPr>
        <w:t xml:space="preserve">As reported in Table </w:t>
      </w:r>
      <w:r>
        <w:rPr>
          <w:rFonts w:hint="default" w:ascii="Times New Roman Regular" w:hAnsi="Times New Roman Regular" w:cs="Times New Roman Regular"/>
          <w:sz w:val="24"/>
          <w:lang w:val="en-US"/>
        </w:rPr>
        <w:t>8</w:t>
      </w:r>
      <w:r>
        <w:rPr>
          <w:rFonts w:ascii="Times New Roman Regular" w:hAnsi="Times New Roman Regular" w:cs="Times New Roman Regular"/>
          <w:sz w:val="24"/>
        </w:rPr>
        <w:t xml:space="preserve">, the interaction terms between the policy variable (did) and each spatial structure indicator are all significantly negative at the 1% level: </w:t>
      </w:r>
      <w:r>
        <w:rPr>
          <w:rFonts w:ascii="Times New Roman Italic" w:hAnsi="Times New Roman Italic" w:cs="Times New Roman Italic"/>
          <w:i/>
          <w:iCs/>
          <w:sz w:val="24"/>
        </w:rPr>
        <w:t>c.did#c.ave_dis</w:t>
      </w:r>
      <w:r>
        <w:rPr>
          <w:rFonts w:ascii="Times New Roman Regular" w:hAnsi="Times New Roman Regular" w:cs="Times New Roman Regular"/>
          <w:sz w:val="24"/>
        </w:rPr>
        <w:t xml:space="preserve"> = -0.02</w:t>
      </w:r>
      <w:r>
        <w:rPr>
          <w:rFonts w:hint="default" w:ascii="Times New Roman Regular" w:hAnsi="Times New Roman Regular" w:cs="Times New Roman Regular"/>
          <w:sz w:val="24"/>
          <w:lang w:val="en-US"/>
        </w:rPr>
        <w:t>40</w:t>
      </w:r>
      <w:r>
        <w:rPr>
          <w:rFonts w:ascii="Times New Roman Regular" w:hAnsi="Times New Roman Regular" w:cs="Times New Roman Regular"/>
          <w:sz w:val="24"/>
        </w:rPr>
        <w:t xml:space="preserve">, </w:t>
      </w:r>
      <w:r>
        <w:rPr>
          <w:rFonts w:ascii="Times New Roman Italic" w:hAnsi="Times New Roman Italic" w:cs="Times New Roman Italic"/>
          <w:i/>
          <w:iCs/>
          <w:sz w:val="24"/>
        </w:rPr>
        <w:t>c.did#c.adk_ec</w:t>
      </w:r>
      <w:r>
        <w:rPr>
          <w:rFonts w:ascii="Times New Roman Regular" w:hAnsi="Times New Roman Regular" w:cs="Times New Roman Regular"/>
          <w:sz w:val="24"/>
        </w:rPr>
        <w:t xml:space="preserve"> = </w:t>
      </w:r>
      <w:r>
        <w:rPr>
          <w:rFonts w:hint="default" w:ascii="Times New Roman Regular" w:hAnsi="Times New Roman Regular" w:cs="Times New Roman Regular"/>
          <w:sz w:val="24"/>
          <w:lang w:val="en-US"/>
        </w:rPr>
        <w:t>-</w:t>
      </w:r>
      <w:r>
        <w:rPr>
          <w:rFonts w:ascii="Times New Roman Regular" w:hAnsi="Times New Roman Regular" w:cs="Times New Roman Regular"/>
          <w:sz w:val="24"/>
        </w:rPr>
        <w:t>0.03</w:t>
      </w:r>
      <w:r>
        <w:rPr>
          <w:rFonts w:hint="default" w:ascii="Times New Roman Regular" w:hAnsi="Times New Roman Regular" w:cs="Times New Roman Regular"/>
          <w:sz w:val="24"/>
          <w:lang w:val="en-US"/>
        </w:rPr>
        <w:t>24</w:t>
      </w:r>
      <w:r>
        <w:rPr>
          <w:rFonts w:ascii="Times New Roman Regular" w:hAnsi="Times New Roman Regular" w:cs="Times New Roman Regular"/>
          <w:sz w:val="24"/>
        </w:rPr>
        <w:t xml:space="preserve">, and </w:t>
      </w:r>
      <w:r>
        <w:rPr>
          <w:rFonts w:hint="default" w:ascii="Times New Roman Italic" w:hAnsi="Times New Roman Italic" w:cs="Times New Roman Italic"/>
          <w:i/>
          <w:iCs/>
          <w:sz w:val="24"/>
        </w:rPr>
        <w:t>c.did#c.spat_compact</w:t>
      </w:r>
      <w:r>
        <w:rPr>
          <w:rFonts w:ascii="Times New Roman Regular" w:hAnsi="Times New Roman Regular" w:cs="Times New Roman Regular"/>
          <w:sz w:val="24"/>
        </w:rPr>
        <w:t xml:space="preserve"> = -0.4</w:t>
      </w:r>
      <w:r>
        <w:rPr>
          <w:rFonts w:hint="default" w:ascii="Times New Roman Regular" w:hAnsi="Times New Roman Regular" w:cs="Times New Roman Regular"/>
          <w:sz w:val="24"/>
          <w:lang w:val="en-US"/>
        </w:rPr>
        <w:t>412</w:t>
      </w:r>
      <w:r>
        <w:rPr>
          <w:rFonts w:ascii="Times New Roman Regular" w:hAnsi="Times New Roman Regular" w:cs="Times New Roman Regular"/>
          <w:sz w:val="24"/>
        </w:rPr>
        <w:t>. These results suggest</w:t>
      </w:r>
      <w:r>
        <w:rPr>
          <w:rFonts w:hint="default" w:ascii="Times New Roman Regular" w:hAnsi="Times New Roman Regular" w:cs="Times New Roman Regular"/>
          <w:sz w:val="24"/>
          <w:lang w:val="en-US"/>
        </w:rPr>
        <w:t>ed</w:t>
      </w:r>
      <w:r>
        <w:rPr>
          <w:rFonts w:ascii="Times New Roman Regular" w:hAnsi="Times New Roman Regular" w:cs="Times New Roman Regular"/>
          <w:sz w:val="24"/>
        </w:rPr>
        <w:t xml:space="preserve"> that in more dispersed cities, the positive effect of the urbanization policy on employment quality </w:t>
      </w:r>
      <w:r>
        <w:rPr>
          <w:rFonts w:hint="default" w:ascii="Times New Roman Regular" w:hAnsi="Times New Roman Regular" w:cs="Times New Roman Regular"/>
          <w:sz w:val="24"/>
          <w:lang w:val="en-US"/>
        </w:rPr>
        <w:t>was</w:t>
      </w:r>
      <w:r>
        <w:rPr>
          <w:rFonts w:ascii="Times New Roman Regular" w:hAnsi="Times New Roman Regular" w:cs="Times New Roman Regular"/>
          <w:sz w:val="24"/>
        </w:rPr>
        <w:t xml:space="preserve"> substantially weakened. Conversely, in cities with a more compact spatial structure, the policy is more effective in promoting high-quality employment. This finding highlight</w:t>
      </w:r>
      <w:r>
        <w:rPr>
          <w:rFonts w:hint="default" w:ascii="Times New Roman Regular" w:hAnsi="Times New Roman Regular" w:cs="Times New Roman Regular"/>
          <w:sz w:val="24"/>
          <w:lang w:val="en-US"/>
        </w:rPr>
        <w:t>ed</w:t>
      </w:r>
      <w:r>
        <w:rPr>
          <w:rFonts w:ascii="Times New Roman Regular" w:hAnsi="Times New Roman Regular" w:cs="Times New Roman Regular"/>
          <w:sz w:val="24"/>
        </w:rPr>
        <w:t xml:space="preserve"> the critical role of urban form in shaping policy outcomes. Compact urban areas may </w:t>
      </w:r>
      <w:r>
        <w:rPr>
          <w:rFonts w:hint="default" w:ascii="Times New Roman Regular" w:hAnsi="Times New Roman Regular" w:cs="Times New Roman Regular"/>
          <w:sz w:val="24"/>
          <w:lang w:val="en-US"/>
        </w:rPr>
        <w:t xml:space="preserve">have </w:t>
      </w:r>
      <w:r>
        <w:rPr>
          <w:rFonts w:ascii="Times New Roman Regular" w:hAnsi="Times New Roman Regular" w:cs="Times New Roman Regular"/>
          <w:sz w:val="24"/>
        </w:rPr>
        <w:t>facilitate</w:t>
      </w:r>
      <w:r>
        <w:rPr>
          <w:rFonts w:hint="default" w:ascii="Times New Roman Regular" w:hAnsi="Times New Roman Regular" w:cs="Times New Roman Regular"/>
          <w:sz w:val="24"/>
          <w:lang w:val="en-US"/>
        </w:rPr>
        <w:t>d</w:t>
      </w:r>
      <w:r>
        <w:rPr>
          <w:rFonts w:ascii="Times New Roman Regular" w:hAnsi="Times New Roman Regular" w:cs="Times New Roman Regular"/>
          <w:sz w:val="24"/>
        </w:rPr>
        <w:t xml:space="preserve"> more efficient transmission of policy benefits by promoting spatial agglomeration, reducing commuting costs, and enhancing infrastructure coverage—thus amplifying the marginal impact of urbanization policy interventions.</w:t>
      </w:r>
    </w:p>
    <w:tbl>
      <w:tblPr>
        <w:tblStyle w:val="10"/>
        <w:tblW w:w="0" w:type="auto"/>
        <w:tblInd w:w="0" w:type="dxa"/>
        <w:tblLayout w:type="autofit"/>
        <w:tblCellMar>
          <w:top w:w="0" w:type="dxa"/>
          <w:left w:w="0" w:type="dxa"/>
          <w:bottom w:w="0" w:type="dxa"/>
          <w:right w:w="0" w:type="dxa"/>
        </w:tblCellMar>
      </w:tblPr>
      <w:tblGrid>
        <w:gridCol w:w="2105"/>
        <w:gridCol w:w="2105"/>
        <w:gridCol w:w="2105"/>
        <w:gridCol w:w="2106"/>
      </w:tblGrid>
      <w:tr>
        <w:tc>
          <w:tcPr>
            <w:tcW w:w="8421" w:type="dxa"/>
            <w:gridSpan w:val="4"/>
            <w:tcBorders>
              <w:top w:val="nil"/>
              <w:left w:val="nil"/>
              <w:bottom w:val="double" w:color="auto" w:sz="4" w:space="0"/>
              <w:right w:val="nil"/>
            </w:tcBorders>
            <w:shd w:val="clear" w:color="auto" w:fill="auto"/>
            <w:tcMar>
              <w:left w:w="100" w:type="dxa"/>
              <w:right w:w="100" w:type="dxa"/>
            </w:tcMar>
            <w:vAlign w:val="center"/>
          </w:tcPr>
          <w:p>
            <w:pPr>
              <w:rPr>
                <w:rFonts w:ascii="Times New Roman Regular" w:hAnsi="Times New Roman Regular" w:cs="Times New Roman Regular"/>
                <w:b/>
                <w:bCs/>
                <w:sz w:val="20"/>
                <w:szCs w:val="20"/>
              </w:rPr>
            </w:pPr>
            <w:r>
              <w:rPr>
                <w:rFonts w:ascii="Times New Roman Bold" w:hAnsi="Times New Roman Bold" w:cs="Times New Roman Bold"/>
                <w:b/>
                <w:sz w:val="20"/>
                <w:szCs w:val="20"/>
              </w:rPr>
              <w:t>Table</w:t>
            </w:r>
            <w:r>
              <w:rPr>
                <w:rFonts w:hint="eastAsia" w:ascii="Times New Roman Bold" w:hAnsi="Times New Roman Bold" w:cs="Times New Roman Bold"/>
                <w:b/>
                <w:sz w:val="20"/>
                <w:szCs w:val="20"/>
                <w:lang w:val="en-US" w:eastAsia="zh-CN"/>
              </w:rPr>
              <w:t xml:space="preserve"> </w:t>
            </w:r>
            <w:r>
              <w:rPr>
                <w:rFonts w:ascii="Times New Roman Bold" w:hAnsi="Times New Roman Bold" w:cs="Times New Roman Bold"/>
                <w:b/>
                <w:sz w:val="20"/>
                <w:szCs w:val="20"/>
              </w:rPr>
              <w:t>8</w:t>
            </w:r>
            <w:r>
              <w:rPr>
                <w:rFonts w:ascii="Times New Roman Regular" w:hAnsi="Times New Roman Regular" w:cs="Times New Roman Regular"/>
                <w:b/>
                <w:sz w:val="20"/>
                <w:szCs w:val="20"/>
              </w:rPr>
              <w:t xml:space="preserve"> </w:t>
            </w:r>
            <w:r>
              <w:rPr>
                <w:rFonts w:ascii="Times New Roman Regular" w:hAnsi="Times New Roman Regular" w:cs="Times New Roman Regular"/>
                <w:bCs/>
                <w:sz w:val="20"/>
                <w:szCs w:val="20"/>
              </w:rPr>
              <w:t>The moderating effect of urban spatial compactness</w:t>
            </w:r>
          </w:p>
        </w:tc>
      </w:tr>
      <w:tr>
        <w:tc>
          <w:tcPr>
            <w:tcW w:w="2105" w:type="dxa"/>
            <w:tcBorders>
              <w:top w:val="double" w:color="auto" w:sz="4" w:space="0"/>
              <w:left w:val="nil"/>
              <w:bottom w:val="single" w:color="auto" w:sz="4" w:space="0"/>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sz w:val="20"/>
                <w:szCs w:val="20"/>
              </w:rPr>
            </w:pPr>
          </w:p>
        </w:tc>
        <w:tc>
          <w:tcPr>
            <w:tcW w:w="2105" w:type="dxa"/>
            <w:tcBorders>
              <w:top w:val="double" w:color="auto" w:sz="4" w:space="0"/>
              <w:left w:val="nil"/>
              <w:bottom w:val="single" w:color="auto" w:sz="4" w:space="0"/>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(1)</w:t>
            </w:r>
          </w:p>
        </w:tc>
        <w:tc>
          <w:tcPr>
            <w:tcW w:w="2105" w:type="dxa"/>
            <w:tcBorders>
              <w:top w:val="double" w:color="auto" w:sz="4" w:space="0"/>
              <w:left w:val="nil"/>
              <w:bottom w:val="single" w:color="auto" w:sz="4" w:space="0"/>
              <w:right w:val="nil"/>
            </w:tcBorders>
            <w:shd w:val="clear" w:color="auto" w:fill="auto"/>
            <w:tcMar>
              <w:left w:w="100" w:type="dxa"/>
              <w:right w:w="100" w:type="dxa"/>
            </w:tcMar>
            <w:vAlign w:val="center"/>
          </w:tcPr>
          <w:p>
            <w:pPr>
              <w:widowControl/>
              <w:jc w:val="center"/>
              <w:rPr>
                <w:rFonts w:ascii="Times New Roman Regular" w:hAnsi="Times New Roman Regular" w:cs="Times New Roman Regular"/>
                <w:kern w:val="0"/>
                <w:sz w:val="20"/>
                <w:szCs w:val="20"/>
                <w:lang w:bidi="ar"/>
              </w:rPr>
            </w:pPr>
            <w:r>
              <w:rPr>
                <w:rFonts w:ascii="Times New Roman Regular" w:hAnsi="Times New Roman Regular" w:cs="Times New Roman Regular"/>
                <w:kern w:val="0"/>
                <w:sz w:val="20"/>
                <w:szCs w:val="20"/>
                <w:lang w:bidi="ar"/>
              </w:rPr>
              <w:t>(1)</w:t>
            </w:r>
          </w:p>
        </w:tc>
        <w:tc>
          <w:tcPr>
            <w:tcW w:w="2106" w:type="dxa"/>
            <w:tcBorders>
              <w:top w:val="double" w:color="auto" w:sz="4" w:space="0"/>
              <w:left w:val="nil"/>
              <w:bottom w:val="single" w:color="auto" w:sz="4" w:space="0"/>
              <w:right w:val="nil"/>
            </w:tcBorders>
            <w:shd w:val="clear" w:color="auto" w:fill="auto"/>
            <w:tcMar>
              <w:left w:w="100" w:type="dxa"/>
              <w:right w:w="100" w:type="dxa"/>
            </w:tcMar>
            <w:vAlign w:val="center"/>
          </w:tcPr>
          <w:p>
            <w:pPr>
              <w:widowControl/>
              <w:jc w:val="center"/>
              <w:rPr>
                <w:rFonts w:ascii="Times New Roman Regular" w:hAnsi="Times New Roman Regular" w:cs="Times New Roman Regular"/>
                <w:kern w:val="0"/>
                <w:sz w:val="20"/>
                <w:szCs w:val="20"/>
                <w:lang w:bidi="ar"/>
              </w:rPr>
            </w:pPr>
            <w:r>
              <w:rPr>
                <w:rFonts w:ascii="Times New Roman Regular" w:hAnsi="Times New Roman Regular" w:cs="Times New Roman Regular"/>
                <w:kern w:val="0"/>
                <w:sz w:val="20"/>
                <w:szCs w:val="20"/>
                <w:lang w:bidi="ar"/>
              </w:rPr>
              <w:t>(2)</w:t>
            </w:r>
          </w:p>
        </w:tc>
      </w:tr>
      <w:tr>
        <w:tc>
          <w:tcPr>
            <w:tcW w:w="2105" w:type="dxa"/>
            <w:tcBorders>
              <w:top w:val="single" w:color="auto" w:sz="4" w:space="0"/>
              <w:left w:val="nil"/>
              <w:bottom w:val="single" w:color="auto" w:sz="4" w:space="0"/>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sz w:val="20"/>
                <w:szCs w:val="20"/>
              </w:rPr>
            </w:pPr>
          </w:p>
        </w:tc>
        <w:tc>
          <w:tcPr>
            <w:tcW w:w="2105" w:type="dxa"/>
            <w:tcBorders>
              <w:top w:val="single" w:color="auto" w:sz="4" w:space="0"/>
              <w:left w:val="nil"/>
              <w:bottom w:val="single" w:color="auto" w:sz="4" w:space="0"/>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Average Distance</w:t>
            </w:r>
          </w:p>
        </w:tc>
        <w:tc>
          <w:tcPr>
            <w:tcW w:w="2105" w:type="dxa"/>
            <w:tcBorders>
              <w:top w:val="single" w:color="auto" w:sz="4" w:space="0"/>
              <w:left w:val="nil"/>
              <w:bottom w:val="single" w:color="auto" w:sz="4" w:space="0"/>
              <w:right w:val="nil"/>
            </w:tcBorders>
            <w:shd w:val="clear" w:color="auto" w:fill="auto"/>
            <w:tcMar>
              <w:left w:w="100" w:type="dxa"/>
              <w:right w:w="100" w:type="dxa"/>
            </w:tcMar>
            <w:vAlign w:val="center"/>
          </w:tcPr>
          <w:p>
            <w:pPr>
              <w:widowControl/>
              <w:jc w:val="center"/>
              <w:rPr>
                <w:rFonts w:ascii="Times New Roman Regular" w:hAnsi="Times New Roman Regular" w:cs="Times New Roman Regular"/>
                <w:kern w:val="0"/>
                <w:sz w:val="20"/>
                <w:szCs w:val="20"/>
                <w:lang w:bidi="ar"/>
              </w:rPr>
            </w:pPr>
            <w:r>
              <w:rPr>
                <w:rFonts w:ascii="Times New Roman Regular" w:hAnsi="Times New Roman Regular" w:cs="Times New Roman Regular"/>
                <w:kern w:val="0"/>
                <w:sz w:val="20"/>
                <w:szCs w:val="20"/>
                <w:lang w:bidi="ar"/>
              </w:rPr>
              <w:t>Average Distance</w:t>
            </w:r>
          </w:p>
          <w:p>
            <w:pPr>
              <w:widowControl/>
              <w:jc w:val="center"/>
              <w:rPr>
                <w:rFonts w:ascii="Times New Roman Regular" w:hAnsi="Times New Roman Regular" w:cs="Times New Roman Regular"/>
                <w:kern w:val="0"/>
                <w:sz w:val="20"/>
                <w:szCs w:val="20"/>
                <w:lang w:bidi="ar"/>
              </w:rPr>
            </w:pPr>
            <w:r>
              <w:rPr>
                <w:rFonts w:ascii="Times New Roman Regular" w:hAnsi="Times New Roman Regular" w:cs="Times New Roman Regular"/>
                <w:kern w:val="0"/>
                <w:sz w:val="20"/>
                <w:szCs w:val="20"/>
                <w:lang w:bidi="ar"/>
              </w:rPr>
              <w:t>(</w:t>
            </w:r>
            <w:r>
              <w:rPr>
                <w:rFonts w:ascii="Times New Roman Regular" w:hAnsi="Times New Roman Regular" w:eastAsia="宋体" w:cs="Times New Roman Regular"/>
                <w:kern w:val="0"/>
                <w:sz w:val="20"/>
                <w:szCs w:val="20"/>
                <w:lang w:bidi="ar"/>
              </w:rPr>
              <w:t>equal-area circle)</w:t>
            </w:r>
          </w:p>
        </w:tc>
        <w:tc>
          <w:tcPr>
            <w:tcW w:w="2106" w:type="dxa"/>
            <w:tcBorders>
              <w:top w:val="single" w:color="auto" w:sz="4" w:space="0"/>
              <w:left w:val="nil"/>
              <w:bottom w:val="single" w:color="auto" w:sz="4" w:space="0"/>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Spatial Compactness</w:t>
            </w:r>
          </w:p>
        </w:tc>
      </w:tr>
      <w:tr>
        <w:tc>
          <w:tcPr>
            <w:tcW w:w="2105" w:type="dxa"/>
            <w:tcBorders>
              <w:top w:val="single" w:color="auto" w:sz="4" w:space="0"/>
              <w:left w:val="nil"/>
              <w:bottom w:val="single" w:color="auto" w:sz="4" w:space="0"/>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sz w:val="20"/>
                <w:szCs w:val="20"/>
              </w:rPr>
            </w:pPr>
          </w:p>
        </w:tc>
        <w:tc>
          <w:tcPr>
            <w:tcW w:w="2105" w:type="dxa"/>
            <w:tcBorders>
              <w:top w:val="single" w:color="auto" w:sz="4" w:space="0"/>
              <w:left w:val="nil"/>
              <w:bottom w:val="single" w:color="auto" w:sz="4" w:space="0"/>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EMP</w:t>
            </w:r>
          </w:p>
        </w:tc>
        <w:tc>
          <w:tcPr>
            <w:tcW w:w="2105" w:type="dxa"/>
            <w:tcBorders>
              <w:top w:val="single" w:color="auto" w:sz="4" w:space="0"/>
              <w:left w:val="nil"/>
              <w:bottom w:val="single" w:color="auto" w:sz="4" w:space="0"/>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EMP</w:t>
            </w:r>
          </w:p>
        </w:tc>
        <w:tc>
          <w:tcPr>
            <w:tcW w:w="2106" w:type="dxa"/>
            <w:tcBorders>
              <w:top w:val="single" w:color="auto" w:sz="4" w:space="0"/>
              <w:left w:val="nil"/>
              <w:bottom w:val="single" w:color="auto" w:sz="4" w:space="0"/>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EMP</w:t>
            </w:r>
          </w:p>
        </w:tc>
      </w:tr>
      <w:tr>
        <w:tc>
          <w:tcPr>
            <w:tcW w:w="2105" w:type="dxa"/>
            <w:tcBorders>
              <w:top w:val="single" w:color="auto" w:sz="4" w:space="0"/>
              <w:left w:val="nil"/>
              <w:bottom w:val="nil"/>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i/>
                <w:iCs/>
                <w:sz w:val="20"/>
                <w:szCs w:val="20"/>
              </w:rPr>
            </w:pPr>
            <w:r>
              <w:rPr>
                <w:rFonts w:ascii="Times New Roman Regular" w:hAnsi="Times New Roman Regular" w:cs="Times New Roman Regular"/>
                <w:i/>
                <w:iCs/>
                <w:sz w:val="20"/>
                <w:szCs w:val="20"/>
              </w:rPr>
              <w:t>treat*post</w:t>
            </w:r>
          </w:p>
        </w:tc>
        <w:tc>
          <w:tcPr>
            <w:tcW w:w="2105" w:type="dxa"/>
            <w:tcBorders>
              <w:top w:val="single" w:color="auto" w:sz="4" w:space="0"/>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0.2699</w:t>
            </w:r>
            <w:r>
              <w:rPr>
                <w:rFonts w:hint="default" w:ascii="Times New Roman" w:hAnsi="Times New Roman" w:cs="Times New Roman"/>
                <w:kern w:val="0"/>
                <w:sz w:val="20"/>
                <w:szCs w:val="20"/>
                <w:vertAlign w:val="superscript"/>
                <w:lang w:val="en-US" w:eastAsia="zh-CN" w:bidi="ar"/>
              </w:rPr>
              <w:t>***</w:t>
            </w:r>
          </w:p>
        </w:tc>
        <w:tc>
          <w:tcPr>
            <w:tcW w:w="2105" w:type="dxa"/>
            <w:tcBorders>
              <w:top w:val="single" w:color="auto" w:sz="4" w:space="0"/>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0.2773</w:t>
            </w:r>
            <w:r>
              <w:rPr>
                <w:rFonts w:hint="default" w:ascii="Times New Roman" w:hAnsi="Times New Roman" w:cs="Times New Roman"/>
                <w:kern w:val="0"/>
                <w:sz w:val="20"/>
                <w:szCs w:val="20"/>
                <w:vertAlign w:val="superscript"/>
                <w:lang w:val="en-US" w:eastAsia="zh-CN" w:bidi="ar"/>
              </w:rPr>
              <w:t>***</w:t>
            </w:r>
          </w:p>
        </w:tc>
        <w:tc>
          <w:tcPr>
            <w:tcW w:w="2106" w:type="dxa"/>
            <w:tcBorders>
              <w:top w:val="single" w:color="auto" w:sz="4" w:space="0"/>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0.5990</w:t>
            </w:r>
            <w:r>
              <w:rPr>
                <w:rFonts w:hint="default" w:ascii="Times New Roman" w:hAnsi="Times New Roman" w:cs="Times New Roman"/>
                <w:kern w:val="0"/>
                <w:sz w:val="20"/>
                <w:szCs w:val="20"/>
                <w:vertAlign w:val="superscript"/>
                <w:lang w:val="en-US" w:eastAsia="zh-CN" w:bidi="ar"/>
              </w:rPr>
              <w:t>***</w:t>
            </w:r>
          </w:p>
        </w:tc>
      </w:tr>
      <w:tr>
        <w:tc>
          <w:tcPr>
            <w:tcW w:w="2105"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i/>
                <w:iCs/>
                <w:sz w:val="20"/>
                <w:szCs w:val="20"/>
              </w:rPr>
            </w:pPr>
          </w:p>
        </w:tc>
        <w:tc>
          <w:tcPr>
            <w:tcW w:w="2105"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(0.0504)</w:t>
            </w:r>
          </w:p>
        </w:tc>
        <w:tc>
          <w:tcPr>
            <w:tcW w:w="2105"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(0.0537)</w:t>
            </w:r>
          </w:p>
        </w:tc>
        <w:tc>
          <w:tcPr>
            <w:tcW w:w="2106"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(0.1693)</w:t>
            </w:r>
          </w:p>
        </w:tc>
      </w:tr>
      <w:tr>
        <w:tc>
          <w:tcPr>
            <w:tcW w:w="2105"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i/>
                <w:iCs/>
                <w:sz w:val="20"/>
                <w:szCs w:val="20"/>
              </w:rPr>
            </w:pPr>
            <w:r>
              <w:rPr>
                <w:rFonts w:ascii="Times New Roman Regular" w:hAnsi="Times New Roman Regular" w:cs="Times New Roman Regular"/>
                <w:i/>
                <w:iCs/>
                <w:sz w:val="20"/>
                <w:szCs w:val="20"/>
                <w:lang w:bidi="ar"/>
              </w:rPr>
              <w:t>ave_dis</w:t>
            </w:r>
          </w:p>
        </w:tc>
        <w:tc>
          <w:tcPr>
            <w:tcW w:w="2105"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0.0286</w:t>
            </w:r>
          </w:p>
        </w:tc>
        <w:tc>
          <w:tcPr>
            <w:tcW w:w="2105"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2106"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r>
      <w:tr>
        <w:tc>
          <w:tcPr>
            <w:tcW w:w="2105"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i/>
                <w:iCs/>
                <w:sz w:val="20"/>
                <w:szCs w:val="20"/>
              </w:rPr>
            </w:pPr>
          </w:p>
        </w:tc>
        <w:tc>
          <w:tcPr>
            <w:tcW w:w="2105"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(0.0176)</w:t>
            </w:r>
          </w:p>
        </w:tc>
        <w:tc>
          <w:tcPr>
            <w:tcW w:w="2105"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2106"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r>
      <w:tr>
        <w:tc>
          <w:tcPr>
            <w:tcW w:w="2105"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i/>
                <w:iCs/>
                <w:sz w:val="20"/>
                <w:szCs w:val="20"/>
              </w:rPr>
            </w:pPr>
            <w:r>
              <w:rPr>
                <w:rFonts w:ascii="Times New Roman Regular" w:hAnsi="Times New Roman Regular" w:cs="Times New Roman Regular"/>
                <w:i/>
                <w:iCs/>
                <w:sz w:val="20"/>
                <w:szCs w:val="20"/>
                <w:lang w:bidi="ar"/>
              </w:rPr>
              <w:t>c.did#c.ave_dis</w:t>
            </w:r>
          </w:p>
        </w:tc>
        <w:tc>
          <w:tcPr>
            <w:tcW w:w="2105"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-0.0240</w:t>
            </w:r>
            <w:r>
              <w:rPr>
                <w:rFonts w:hint="default" w:ascii="Times New Roman" w:hAnsi="Times New Roman" w:cs="Times New Roman"/>
                <w:kern w:val="0"/>
                <w:sz w:val="20"/>
                <w:szCs w:val="20"/>
                <w:vertAlign w:val="superscript"/>
                <w:lang w:val="en-US" w:eastAsia="zh-CN" w:bidi="ar"/>
              </w:rPr>
              <w:t>***</w:t>
            </w:r>
          </w:p>
        </w:tc>
        <w:tc>
          <w:tcPr>
            <w:tcW w:w="2105"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2106"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r>
      <w:tr>
        <w:tc>
          <w:tcPr>
            <w:tcW w:w="2105"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i/>
                <w:iCs/>
                <w:sz w:val="20"/>
                <w:szCs w:val="20"/>
              </w:rPr>
            </w:pPr>
          </w:p>
        </w:tc>
        <w:tc>
          <w:tcPr>
            <w:tcW w:w="2105"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(0.0042)</w:t>
            </w:r>
          </w:p>
        </w:tc>
        <w:tc>
          <w:tcPr>
            <w:tcW w:w="2105"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2106"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r>
      <w:tr>
        <w:tc>
          <w:tcPr>
            <w:tcW w:w="2105"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i/>
                <w:iCs/>
                <w:sz w:val="20"/>
                <w:szCs w:val="20"/>
              </w:rPr>
            </w:pPr>
            <w:r>
              <w:rPr>
                <w:rFonts w:ascii="Times New Roman Regular" w:hAnsi="Times New Roman Regular" w:cs="Times New Roman Regular"/>
                <w:i/>
                <w:iCs/>
                <w:sz w:val="20"/>
                <w:szCs w:val="20"/>
                <w:lang w:bidi="ar"/>
              </w:rPr>
              <w:t>adk_ec</w:t>
            </w:r>
          </w:p>
        </w:tc>
        <w:tc>
          <w:tcPr>
            <w:tcW w:w="2105"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2105"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0.0976</w:t>
            </w:r>
            <w:r>
              <w:rPr>
                <w:rFonts w:hint="default" w:ascii="Times New Roman" w:hAnsi="Times New Roman" w:cs="Times New Roman"/>
                <w:kern w:val="0"/>
                <w:sz w:val="20"/>
                <w:szCs w:val="20"/>
                <w:vertAlign w:val="superscript"/>
                <w:lang w:val="en-US" w:eastAsia="zh-CN" w:bidi="ar"/>
              </w:rPr>
              <w:t>**</w:t>
            </w:r>
          </w:p>
        </w:tc>
        <w:tc>
          <w:tcPr>
            <w:tcW w:w="2106"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r>
      <w:tr>
        <w:tc>
          <w:tcPr>
            <w:tcW w:w="2105"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i/>
                <w:iCs/>
                <w:sz w:val="20"/>
                <w:szCs w:val="20"/>
              </w:rPr>
            </w:pPr>
          </w:p>
        </w:tc>
        <w:tc>
          <w:tcPr>
            <w:tcW w:w="2105"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2105"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(0.0395)</w:t>
            </w:r>
          </w:p>
        </w:tc>
        <w:tc>
          <w:tcPr>
            <w:tcW w:w="2106"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r>
      <w:tr>
        <w:tc>
          <w:tcPr>
            <w:tcW w:w="2105"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i/>
                <w:iCs/>
                <w:sz w:val="20"/>
                <w:szCs w:val="20"/>
              </w:rPr>
            </w:pPr>
            <w:r>
              <w:rPr>
                <w:rFonts w:ascii="Times New Roman Regular" w:hAnsi="Times New Roman Regular" w:cs="Times New Roman Regular"/>
                <w:i/>
                <w:iCs/>
                <w:sz w:val="20"/>
                <w:szCs w:val="20"/>
                <w:lang w:bidi="ar"/>
              </w:rPr>
              <w:t>c.did#c.adk_ec</w:t>
            </w:r>
          </w:p>
        </w:tc>
        <w:tc>
          <w:tcPr>
            <w:tcW w:w="2105"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2105"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-0.0324</w:t>
            </w:r>
            <w:r>
              <w:rPr>
                <w:rFonts w:hint="default" w:ascii="Times New Roman" w:hAnsi="Times New Roman" w:cs="Times New Roman"/>
                <w:kern w:val="0"/>
                <w:sz w:val="20"/>
                <w:szCs w:val="20"/>
                <w:vertAlign w:val="superscript"/>
                <w:lang w:val="en-US" w:eastAsia="zh-CN" w:bidi="ar"/>
              </w:rPr>
              <w:t>***</w:t>
            </w:r>
          </w:p>
        </w:tc>
        <w:tc>
          <w:tcPr>
            <w:tcW w:w="2106"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r>
      <w:tr>
        <w:tc>
          <w:tcPr>
            <w:tcW w:w="2105"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i/>
                <w:iCs/>
                <w:sz w:val="20"/>
                <w:szCs w:val="20"/>
              </w:rPr>
            </w:pPr>
          </w:p>
        </w:tc>
        <w:tc>
          <w:tcPr>
            <w:tcW w:w="2105"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2105"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(0.0059)</w:t>
            </w:r>
          </w:p>
        </w:tc>
        <w:tc>
          <w:tcPr>
            <w:tcW w:w="2106"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r>
      <w:tr>
        <w:tc>
          <w:tcPr>
            <w:tcW w:w="2105"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i/>
                <w:iCs/>
                <w:sz w:val="20"/>
                <w:szCs w:val="20"/>
              </w:rPr>
            </w:pPr>
            <w:r>
              <w:rPr>
                <w:rFonts w:ascii="Times New Roman Regular" w:hAnsi="Times New Roman Regular" w:cs="Times New Roman Regular"/>
                <w:i/>
                <w:iCs/>
                <w:sz w:val="20"/>
                <w:szCs w:val="20"/>
                <w:lang w:bidi="ar"/>
              </w:rPr>
              <w:t>spat_compact</w:t>
            </w:r>
          </w:p>
        </w:tc>
        <w:tc>
          <w:tcPr>
            <w:tcW w:w="2105"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2105"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2106"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0.3050</w:t>
            </w:r>
            <w:r>
              <w:rPr>
                <w:rFonts w:hint="default" w:ascii="Times New Roman" w:hAnsi="Times New Roman" w:cs="Times New Roman"/>
                <w:kern w:val="0"/>
                <w:sz w:val="20"/>
                <w:szCs w:val="20"/>
                <w:vertAlign w:val="superscript"/>
                <w:lang w:val="en-US" w:eastAsia="zh-CN" w:bidi="ar"/>
              </w:rPr>
              <w:t>*</w:t>
            </w:r>
          </w:p>
        </w:tc>
      </w:tr>
      <w:tr>
        <w:tc>
          <w:tcPr>
            <w:tcW w:w="2105"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i/>
                <w:iCs/>
                <w:sz w:val="20"/>
                <w:szCs w:val="20"/>
              </w:rPr>
            </w:pPr>
          </w:p>
        </w:tc>
        <w:tc>
          <w:tcPr>
            <w:tcW w:w="2105"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2105"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2106"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(0.1695)</w:t>
            </w:r>
          </w:p>
        </w:tc>
      </w:tr>
      <w:tr>
        <w:tc>
          <w:tcPr>
            <w:tcW w:w="2105"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i/>
                <w:iCs/>
                <w:sz w:val="20"/>
                <w:szCs w:val="20"/>
              </w:rPr>
            </w:pPr>
            <w:r>
              <w:rPr>
                <w:rFonts w:ascii="Times New Roman Regular" w:hAnsi="Times New Roman Regular" w:cs="Times New Roman Regular"/>
                <w:i/>
                <w:iCs/>
                <w:sz w:val="20"/>
                <w:szCs w:val="20"/>
                <w:lang w:bidi="ar"/>
              </w:rPr>
              <w:t>c.did#c.spat_compact</w:t>
            </w:r>
          </w:p>
        </w:tc>
        <w:tc>
          <w:tcPr>
            <w:tcW w:w="2105"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2105"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2106"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-0.4412</w:t>
            </w:r>
            <w:r>
              <w:rPr>
                <w:rFonts w:hint="default" w:ascii="Times New Roman" w:hAnsi="Times New Roman" w:cs="Times New Roman"/>
                <w:kern w:val="0"/>
                <w:sz w:val="20"/>
                <w:szCs w:val="20"/>
                <w:vertAlign w:val="superscript"/>
                <w:lang w:val="en-US" w:eastAsia="zh-CN" w:bidi="ar"/>
              </w:rPr>
              <w:t>***</w:t>
            </w:r>
          </w:p>
        </w:tc>
      </w:tr>
      <w:tr>
        <w:tc>
          <w:tcPr>
            <w:tcW w:w="2105"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i/>
                <w:iCs/>
                <w:sz w:val="20"/>
                <w:szCs w:val="20"/>
              </w:rPr>
            </w:pPr>
          </w:p>
        </w:tc>
        <w:tc>
          <w:tcPr>
            <w:tcW w:w="2105"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2105"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2106"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(0.1353)</w:t>
            </w:r>
          </w:p>
        </w:tc>
      </w:tr>
      <w:tr>
        <w:tc>
          <w:tcPr>
            <w:tcW w:w="2105"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_cons</w:t>
            </w:r>
          </w:p>
        </w:tc>
        <w:tc>
          <w:tcPr>
            <w:tcW w:w="2105"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54.8681</w:t>
            </w:r>
            <w:r>
              <w:rPr>
                <w:rFonts w:hint="default" w:ascii="Times New Roman" w:hAnsi="Times New Roman" w:cs="Times New Roman"/>
                <w:kern w:val="0"/>
                <w:sz w:val="20"/>
                <w:szCs w:val="20"/>
                <w:vertAlign w:val="superscript"/>
                <w:lang w:val="en-US" w:eastAsia="zh-CN" w:bidi="ar"/>
              </w:rPr>
              <w:t>***</w:t>
            </w:r>
          </w:p>
        </w:tc>
        <w:tc>
          <w:tcPr>
            <w:tcW w:w="2105"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54.4748</w:t>
            </w:r>
            <w:r>
              <w:rPr>
                <w:rFonts w:hint="default" w:ascii="Times New Roman" w:hAnsi="Times New Roman" w:cs="Times New Roman"/>
                <w:kern w:val="0"/>
                <w:sz w:val="20"/>
                <w:szCs w:val="20"/>
                <w:vertAlign w:val="superscript"/>
                <w:lang w:val="en-US" w:eastAsia="zh-CN" w:bidi="ar"/>
              </w:rPr>
              <w:t>***</w:t>
            </w:r>
          </w:p>
        </w:tc>
        <w:tc>
          <w:tcPr>
            <w:tcW w:w="2106"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54.7043</w:t>
            </w:r>
            <w:r>
              <w:rPr>
                <w:rFonts w:hint="default" w:ascii="Times New Roman" w:hAnsi="Times New Roman" w:cs="Times New Roman"/>
                <w:kern w:val="0"/>
                <w:sz w:val="20"/>
                <w:szCs w:val="20"/>
                <w:vertAlign w:val="superscript"/>
                <w:lang w:val="en-US" w:eastAsia="zh-CN" w:bidi="ar"/>
              </w:rPr>
              <w:t>***</w:t>
            </w:r>
          </w:p>
        </w:tc>
      </w:tr>
      <w:tr>
        <w:tc>
          <w:tcPr>
            <w:tcW w:w="2105"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sz w:val="20"/>
                <w:szCs w:val="20"/>
              </w:rPr>
            </w:pPr>
          </w:p>
        </w:tc>
        <w:tc>
          <w:tcPr>
            <w:tcW w:w="2105"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(0.2513)</w:t>
            </w:r>
          </w:p>
        </w:tc>
        <w:tc>
          <w:tcPr>
            <w:tcW w:w="2105"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(0.3380)</w:t>
            </w:r>
          </w:p>
        </w:tc>
        <w:tc>
          <w:tcPr>
            <w:tcW w:w="2106"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(0.2878)</w:t>
            </w:r>
          </w:p>
        </w:tc>
      </w:tr>
      <w:tr>
        <w:tc>
          <w:tcPr>
            <w:tcW w:w="2105"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Controls </w:t>
            </w:r>
          </w:p>
        </w:tc>
        <w:tc>
          <w:tcPr>
            <w:tcW w:w="2105"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Yes</w:t>
            </w:r>
          </w:p>
        </w:tc>
        <w:tc>
          <w:tcPr>
            <w:tcW w:w="2105"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Yes</w:t>
            </w:r>
          </w:p>
        </w:tc>
        <w:tc>
          <w:tcPr>
            <w:tcW w:w="2106"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Yes</w:t>
            </w:r>
          </w:p>
        </w:tc>
      </w:tr>
      <w:tr>
        <w:tc>
          <w:tcPr>
            <w:tcW w:w="2105"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CITY </w:t>
            </w:r>
          </w:p>
        </w:tc>
        <w:tc>
          <w:tcPr>
            <w:tcW w:w="2105"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Yes</w:t>
            </w:r>
          </w:p>
        </w:tc>
        <w:tc>
          <w:tcPr>
            <w:tcW w:w="2105"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Yes</w:t>
            </w:r>
          </w:p>
        </w:tc>
        <w:tc>
          <w:tcPr>
            <w:tcW w:w="2106"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No</w:t>
            </w:r>
          </w:p>
        </w:tc>
      </w:tr>
      <w:tr>
        <w:tc>
          <w:tcPr>
            <w:tcW w:w="2105"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YEAR</w:t>
            </w:r>
          </w:p>
        </w:tc>
        <w:tc>
          <w:tcPr>
            <w:tcW w:w="2105"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Yes</w:t>
            </w:r>
          </w:p>
        </w:tc>
        <w:tc>
          <w:tcPr>
            <w:tcW w:w="2105"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Yes</w:t>
            </w:r>
          </w:p>
        </w:tc>
        <w:tc>
          <w:tcPr>
            <w:tcW w:w="2106"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No</w:t>
            </w:r>
          </w:p>
        </w:tc>
      </w:tr>
      <w:tr>
        <w:tc>
          <w:tcPr>
            <w:tcW w:w="2105"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sz w:val="20"/>
                <w:szCs w:val="20"/>
              </w:rPr>
            </w:pPr>
            <w:r>
              <w:rPr>
                <w:rFonts w:ascii="Times New Roman Regular" w:hAnsi="Times New Roman Regular" w:cs="Times New Roman Regular"/>
                <w:i/>
                <w:iCs/>
                <w:sz w:val="20"/>
                <w:szCs w:val="20"/>
                <w:lang w:bidi="ar"/>
              </w:rPr>
              <w:t>N</w:t>
            </w:r>
          </w:p>
        </w:tc>
        <w:tc>
          <w:tcPr>
            <w:tcW w:w="2105"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4152</w:t>
            </w:r>
          </w:p>
        </w:tc>
        <w:tc>
          <w:tcPr>
            <w:tcW w:w="2105"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4152</w:t>
            </w:r>
          </w:p>
        </w:tc>
        <w:tc>
          <w:tcPr>
            <w:tcW w:w="2106"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4152</w:t>
            </w:r>
          </w:p>
        </w:tc>
      </w:tr>
      <w:tr>
        <w:tc>
          <w:tcPr>
            <w:tcW w:w="2105" w:type="dxa"/>
            <w:tcBorders>
              <w:top w:val="nil"/>
              <w:left w:val="nil"/>
              <w:bottom w:val="double" w:color="auto" w:sz="4" w:space="0"/>
              <w:right w:val="nil"/>
            </w:tcBorders>
            <w:shd w:val="clear" w:color="auto" w:fill="auto"/>
            <w:tcMar>
              <w:left w:w="100" w:type="dxa"/>
              <w:right w:w="100" w:type="dxa"/>
            </w:tcMar>
            <w:vAlign w:val="center"/>
          </w:tcPr>
          <w:p>
            <w:pPr>
              <w:pStyle w:val="8"/>
              <w:widowControl/>
              <w:spacing w:beforeAutospacing="0" w:afterAutospacing="0"/>
              <w:jc w:val="both"/>
              <w:rPr>
                <w:rFonts w:hint="default" w:ascii="Times New Roman Regular" w:hAnsi="Times New Roman Regular" w:cs="Times New Roman Regular"/>
                <w:sz w:val="20"/>
                <w:szCs w:val="20"/>
                <w:lang w:val="en-US"/>
              </w:rPr>
            </w:pPr>
            <w:r>
              <w:rPr>
                <w:rFonts w:ascii="Times New Roman Regular" w:hAnsi="Times New Roman Regular" w:cs="Times New Roman Regular"/>
                <w:sz w:val="20"/>
                <w:szCs w:val="20"/>
                <w:lang w:bidi="ar"/>
              </w:rPr>
              <w:t>r2_</w:t>
            </w:r>
            <w:r>
              <w:rPr>
                <w:rFonts w:hint="default" w:ascii="Times New Roman Regular" w:hAnsi="Times New Roman Regular" w:cs="Times New Roman Regular"/>
                <w:sz w:val="20"/>
                <w:szCs w:val="20"/>
                <w:lang w:val="en-US" w:bidi="ar"/>
              </w:rPr>
              <w:t>within</w:t>
            </w:r>
          </w:p>
        </w:tc>
        <w:tc>
          <w:tcPr>
            <w:tcW w:w="2105" w:type="dxa"/>
            <w:tcBorders>
              <w:top w:val="nil"/>
              <w:left w:val="nil"/>
              <w:bottom w:val="double" w:color="auto" w:sz="4" w:space="0"/>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0.1339</w:t>
            </w:r>
          </w:p>
        </w:tc>
        <w:tc>
          <w:tcPr>
            <w:tcW w:w="2105" w:type="dxa"/>
            <w:tcBorders>
              <w:top w:val="nil"/>
              <w:left w:val="nil"/>
              <w:bottom w:val="double" w:color="auto" w:sz="4" w:space="0"/>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0.1347</w:t>
            </w:r>
          </w:p>
        </w:tc>
        <w:tc>
          <w:tcPr>
            <w:tcW w:w="2106" w:type="dxa"/>
            <w:tcBorders>
              <w:top w:val="nil"/>
              <w:left w:val="nil"/>
              <w:bottom w:val="double" w:color="auto" w:sz="4" w:space="0"/>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0.1290</w:t>
            </w:r>
          </w:p>
        </w:tc>
      </w:tr>
    </w:tbl>
    <w:p>
      <w:pPr>
        <w:pStyle w:val="8"/>
        <w:widowControl/>
        <w:spacing w:beforeAutospacing="0" w:afterAutospacing="0"/>
        <w:jc w:val="both"/>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Standard errors in parentheses</w:t>
      </w:r>
    </w:p>
    <w:p>
      <w:pPr>
        <w:pStyle w:val="8"/>
        <w:widowControl/>
        <w:spacing w:beforeAutospacing="0" w:after="157" w:afterLines="50" w:afterAutospacing="0"/>
        <w:jc w:val="both"/>
        <w:rPr>
          <w:rFonts w:ascii="Times New Roman Regular" w:hAnsi="Times New Roman Regular" w:cs="Times New Roman Regular"/>
          <w:sz w:val="22"/>
          <w:szCs w:val="22"/>
          <w:lang w:bidi="ar"/>
        </w:rPr>
      </w:pPr>
      <w:r>
        <w:rPr>
          <w:rFonts w:ascii="Times New Roman Regular" w:hAnsi="Times New Roman Regular" w:cs="Times New Roman Regular"/>
          <w:sz w:val="20"/>
          <w:szCs w:val="20"/>
          <w:vertAlign w:val="superscript"/>
          <w:lang w:bidi="ar"/>
        </w:rPr>
        <w:t>*</w:t>
      </w:r>
      <w:r>
        <w:rPr>
          <w:rFonts w:ascii="Times New Roman Regular" w:hAnsi="Times New Roman Regular" w:cs="Times New Roman Regular"/>
          <w:sz w:val="20"/>
          <w:szCs w:val="20"/>
          <w:lang w:bidi="ar"/>
        </w:rPr>
        <w:t xml:space="preserve"> </w:t>
      </w:r>
      <w:r>
        <w:rPr>
          <w:rFonts w:ascii="Times New Roman Regular" w:hAnsi="Times New Roman Regular" w:cs="Times New Roman Regular"/>
          <w:i/>
          <w:iCs/>
          <w:sz w:val="20"/>
          <w:szCs w:val="20"/>
          <w:lang w:bidi="ar"/>
        </w:rPr>
        <w:t>p</w:t>
      </w:r>
      <w:r>
        <w:rPr>
          <w:rFonts w:ascii="Times New Roman Regular" w:hAnsi="Times New Roman Regular" w:cs="Times New Roman Regular"/>
          <w:sz w:val="20"/>
          <w:szCs w:val="20"/>
          <w:lang w:bidi="ar"/>
        </w:rPr>
        <w:t xml:space="preserve"> &lt; 0.10, </w:t>
      </w:r>
      <w:r>
        <w:rPr>
          <w:rFonts w:ascii="Times New Roman Regular" w:hAnsi="Times New Roman Regular" w:cs="Times New Roman Regular"/>
          <w:sz w:val="20"/>
          <w:szCs w:val="20"/>
          <w:vertAlign w:val="superscript"/>
          <w:lang w:bidi="ar"/>
        </w:rPr>
        <w:t>**</w:t>
      </w:r>
      <w:r>
        <w:rPr>
          <w:rFonts w:ascii="Times New Roman Regular" w:hAnsi="Times New Roman Regular" w:cs="Times New Roman Regular"/>
          <w:sz w:val="20"/>
          <w:szCs w:val="20"/>
          <w:lang w:bidi="ar"/>
        </w:rPr>
        <w:t xml:space="preserve"> </w:t>
      </w:r>
      <w:r>
        <w:rPr>
          <w:rFonts w:ascii="Times New Roman Regular" w:hAnsi="Times New Roman Regular" w:cs="Times New Roman Regular"/>
          <w:i/>
          <w:iCs/>
          <w:sz w:val="20"/>
          <w:szCs w:val="20"/>
          <w:lang w:bidi="ar"/>
        </w:rPr>
        <w:t>p</w:t>
      </w:r>
      <w:r>
        <w:rPr>
          <w:rFonts w:ascii="Times New Roman Regular" w:hAnsi="Times New Roman Regular" w:cs="Times New Roman Regular"/>
          <w:sz w:val="20"/>
          <w:szCs w:val="20"/>
          <w:lang w:bidi="ar"/>
        </w:rPr>
        <w:t xml:space="preserve"> &lt; 0.05, </w:t>
      </w:r>
      <w:r>
        <w:rPr>
          <w:rFonts w:ascii="Times New Roman Regular" w:hAnsi="Times New Roman Regular" w:cs="Times New Roman Regular"/>
          <w:sz w:val="20"/>
          <w:szCs w:val="20"/>
          <w:vertAlign w:val="superscript"/>
          <w:lang w:bidi="ar"/>
        </w:rPr>
        <w:t>***</w:t>
      </w:r>
      <w:r>
        <w:rPr>
          <w:rFonts w:ascii="Times New Roman Regular" w:hAnsi="Times New Roman Regular" w:cs="Times New Roman Regular"/>
          <w:sz w:val="20"/>
          <w:szCs w:val="20"/>
          <w:lang w:bidi="ar"/>
        </w:rPr>
        <w:t xml:space="preserve"> </w:t>
      </w:r>
      <w:r>
        <w:rPr>
          <w:rFonts w:ascii="Times New Roman Regular" w:hAnsi="Times New Roman Regular" w:cs="Times New Roman Regular"/>
          <w:i/>
          <w:iCs/>
          <w:sz w:val="20"/>
          <w:szCs w:val="20"/>
          <w:lang w:bidi="ar"/>
        </w:rPr>
        <w:t>p</w:t>
      </w:r>
      <w:r>
        <w:rPr>
          <w:rFonts w:ascii="Times New Roman Regular" w:hAnsi="Times New Roman Regular" w:cs="Times New Roman Regular"/>
          <w:sz w:val="20"/>
          <w:szCs w:val="20"/>
          <w:lang w:bidi="ar"/>
        </w:rPr>
        <w:t xml:space="preserve"> &lt; 0.01</w:t>
      </w:r>
    </w:p>
    <w:p>
      <w:pPr>
        <w:spacing w:before="0" w:beforeLines="0" w:after="157" w:afterLines="50"/>
        <w:rPr>
          <w:rFonts w:ascii="Times New Roman Bold Italic" w:hAnsi="Times New Roman Bold Italic" w:cs="Times New Roman Bold Italic"/>
          <w:b/>
          <w:i/>
          <w:iCs/>
          <w:sz w:val="24"/>
        </w:rPr>
      </w:pPr>
      <w:r>
        <w:rPr>
          <w:rFonts w:hint="default" w:ascii="Times New Roman Bold Italic" w:hAnsi="Times New Roman Bold Italic" w:cs="Times New Roman Bold Italic"/>
          <w:b/>
          <w:i/>
          <w:iCs/>
          <w:sz w:val="24"/>
          <w:lang w:val="en-US" w:eastAsia="zh-CN"/>
        </w:rPr>
        <w:t>4.3.3</w:t>
      </w:r>
      <w:r>
        <w:rPr>
          <w:rFonts w:ascii="Times New Roman Bold Italic" w:hAnsi="Times New Roman Bold Italic" w:cs="Times New Roman Bold Italic"/>
          <w:b/>
          <w:i/>
          <w:iCs/>
          <w:sz w:val="24"/>
        </w:rPr>
        <w:t xml:space="preserve"> Urban vertical </w:t>
      </w:r>
      <w:r>
        <w:rPr>
          <w:rFonts w:ascii="Times New Roman Bold Italic" w:hAnsi="Times New Roman Bold Italic" w:cs="Times New Roman Bold Italic"/>
          <w:b/>
          <w:bCs/>
          <w:i/>
          <w:iCs/>
          <w:sz w:val="24"/>
        </w:rPr>
        <w:t xml:space="preserve">expansion </w:t>
      </w:r>
      <w:r>
        <w:rPr>
          <w:rFonts w:hint="eastAsia" w:ascii="Times New Roman Bold Italic" w:hAnsi="Times New Roman Bold Italic" w:cs="Times New Roman Bold Italic"/>
          <w:b/>
          <w:bCs/>
          <w:i/>
          <w:iCs/>
          <w:sz w:val="24"/>
          <w:lang w:val="en-US" w:eastAsia="zh-CN"/>
        </w:rPr>
        <w:t>a</w:t>
      </w:r>
      <w:r>
        <w:rPr>
          <w:rFonts w:ascii="Times New Roman Bold Italic" w:hAnsi="Times New Roman Bold Italic" w:cs="Times New Roman Bold Italic"/>
          <w:b/>
          <w:i/>
          <w:iCs/>
          <w:sz w:val="24"/>
        </w:rPr>
        <w:t xml:space="preserve">rea </w:t>
      </w:r>
      <w:r>
        <w:rPr>
          <w:rFonts w:hint="eastAsia" w:ascii="Times New Roman Bold Italic" w:hAnsi="Times New Roman Bold Italic" w:cs="Times New Roman Bold Italic"/>
          <w:b/>
          <w:i/>
          <w:iCs/>
          <w:sz w:val="24"/>
          <w:lang w:val="en-US" w:eastAsia="zh-CN"/>
        </w:rPr>
        <w:t>e</w:t>
      </w:r>
      <w:r>
        <w:rPr>
          <w:rFonts w:ascii="Times New Roman Bold Italic" w:hAnsi="Times New Roman Bold Italic" w:cs="Times New Roman Bold Italic"/>
          <w:b/>
          <w:i/>
          <w:iCs/>
          <w:sz w:val="24"/>
        </w:rPr>
        <w:t xml:space="preserve">xpansion and </w:t>
      </w:r>
      <w:r>
        <w:rPr>
          <w:rFonts w:hint="eastAsia" w:ascii="Times New Roman Bold Italic" w:hAnsi="Times New Roman Bold Italic" w:cs="Times New Roman Bold Italic"/>
          <w:b/>
          <w:i/>
          <w:iCs/>
          <w:sz w:val="24"/>
          <w:lang w:val="en-US" w:eastAsia="zh-CN"/>
        </w:rPr>
        <w:t>e</w:t>
      </w:r>
      <w:r>
        <w:rPr>
          <w:rFonts w:ascii="Times New Roman Bold Italic" w:hAnsi="Times New Roman Bold Italic" w:cs="Times New Roman Bold Italic"/>
          <w:b/>
          <w:i/>
          <w:iCs/>
          <w:sz w:val="24"/>
        </w:rPr>
        <w:t xml:space="preserve">mployment </w:t>
      </w:r>
      <w:r>
        <w:rPr>
          <w:rFonts w:hint="eastAsia" w:ascii="Times New Roman Bold Italic" w:hAnsi="Times New Roman Bold Italic" w:cs="Times New Roman Bold Italic"/>
          <w:b/>
          <w:i/>
          <w:iCs/>
          <w:sz w:val="24"/>
          <w:lang w:val="en-US" w:eastAsia="zh-CN"/>
        </w:rPr>
        <w:t>q</w:t>
      </w:r>
      <w:r>
        <w:rPr>
          <w:rFonts w:ascii="Times New Roman Bold Italic" w:hAnsi="Times New Roman Bold Italic" w:cs="Times New Roman Bold Italic"/>
          <w:b/>
          <w:i/>
          <w:iCs/>
          <w:sz w:val="24"/>
        </w:rPr>
        <w:t>uality</w:t>
      </w:r>
    </w:p>
    <w:p>
      <w:pPr>
        <w:widowControl w:val="0"/>
        <w:spacing w:before="157" w:beforeLines="50" w:after="157" w:afterLines="50"/>
        <w:ind w:firstLine="240" w:firstLineChars="100"/>
        <w:rPr>
          <w:rFonts w:ascii="Times New Roman Regular" w:hAnsi="Times New Roman Regular" w:cs="Times New Roman Regular"/>
          <w:sz w:val="24"/>
        </w:rPr>
      </w:pPr>
      <w:r>
        <w:rPr>
          <w:rFonts w:ascii="Times New Roman Regular" w:hAnsi="Times New Roman Regular" w:cs="Times New Roman Regular"/>
          <w:sz w:val="24"/>
        </w:rPr>
        <w:t xml:space="preserve">To examine how urban vertical expansion moderated the effect of the New-Type Urbanization Pilot Policy (NUPP) on employment quality, we drew on recent studies emphasizing the economic implications of vertical development (Chen et al., 2025; Wang et al., 2025). Specifically, we interacted each city’s average building height in 2010 and 2020 with per-capita entrepreneurial counts to construct two time-varying moderating variables: </w:t>
      </w:r>
      <w:r>
        <w:rPr>
          <w:rFonts w:ascii="Times New Roman Italic" w:hAnsi="Times New Roman Italic" w:cs="Times New Roman Italic"/>
          <w:i/>
          <w:iCs/>
          <w:sz w:val="24"/>
        </w:rPr>
        <w:t>bh_rel_2010</w:t>
      </w:r>
      <w:r>
        <w:rPr>
          <w:rFonts w:ascii="Times New Roman Regular" w:hAnsi="Times New Roman Regular" w:cs="Times New Roman Regular"/>
          <w:sz w:val="24"/>
        </w:rPr>
        <w:t xml:space="preserve"> and </w:t>
      </w:r>
      <w:r>
        <w:rPr>
          <w:rFonts w:ascii="Times New Roman Italic" w:hAnsi="Times New Roman Italic" w:cs="Times New Roman Italic"/>
          <w:i/>
          <w:iCs/>
          <w:sz w:val="24"/>
        </w:rPr>
        <w:t>bh_rel_2020</w:t>
      </w:r>
      <w:r>
        <w:rPr>
          <w:rFonts w:ascii="Times New Roman Regular" w:hAnsi="Times New Roman Regular" w:cs="Times New Roman Regular"/>
          <w:sz w:val="24"/>
        </w:rPr>
        <w:t>. These interaction terms captured the extent to which cities with different baseline vertical built environments and subsequent entrepreneurial dynamics experienced heterogeneous policy effects. This specification followed the argument that vertical expansion—by fostering agglomeration economies, improving infrastructure efficiency, and supporting business formation—could amplify the employment-enhancing effects of the NUPP.</w:t>
      </w:r>
    </w:p>
    <w:p>
      <w:pPr>
        <w:spacing w:before="157" w:beforeLines="50" w:after="157" w:afterLines="50"/>
        <w:ind w:firstLine="240" w:firstLineChars="100"/>
        <w:rPr>
          <w:rFonts w:ascii="Times New Roman Bold Italic" w:hAnsi="Times New Roman Bold Italic" w:cs="Times New Roman Bold Italic"/>
          <w:b/>
          <w:i/>
          <w:iCs/>
          <w:sz w:val="24"/>
        </w:rPr>
      </w:pPr>
      <w:r>
        <w:rPr>
          <w:rFonts w:ascii="Times New Roman Regular" w:hAnsi="Times New Roman Regular" w:cs="Times New Roman Regular"/>
          <w:sz w:val="24"/>
        </w:rPr>
        <w:t>The empirical results, reported in Table 9, showed that the interaction terms treat × post × bh_rel_2010 and treat × post × bh_rel_2020 were positive and statistically significant, indicating that stronger vertical expansion was associated with greater improvements in employment quality among treated cities. In particular, the coefficients on the moderating terms were 0.0640 (p &lt; 0.05) and 0.0827 (p &lt; 0.01) in the 2010-based and 2020-based specifications, respectively. These findings suggested that cities exhibiting taller baseline building structures and more vigorous entrepreneurial development reaped greater gains from the NUPP, consistent with the premise that three-dimensional urban growth facilitated more efficient labor absorption and productivity upgrading.</w:t>
      </w:r>
    </w:p>
    <w:tbl>
      <w:tblPr>
        <w:tblStyle w:val="10"/>
        <w:tblW w:w="0" w:type="auto"/>
        <w:tblInd w:w="0" w:type="dxa"/>
        <w:tblLayout w:type="autofit"/>
        <w:tblCellMar>
          <w:top w:w="0" w:type="dxa"/>
          <w:left w:w="0" w:type="dxa"/>
          <w:bottom w:w="0" w:type="dxa"/>
          <w:right w:w="0" w:type="dxa"/>
        </w:tblCellMar>
      </w:tblPr>
      <w:tblGrid>
        <w:gridCol w:w="2802"/>
        <w:gridCol w:w="2802"/>
        <w:gridCol w:w="2802"/>
      </w:tblGrid>
      <w:tr>
        <w:tc>
          <w:tcPr>
            <w:tcW w:w="8406" w:type="dxa"/>
            <w:gridSpan w:val="3"/>
            <w:tcBorders>
              <w:top w:val="nil"/>
              <w:left w:val="nil"/>
              <w:bottom w:val="double" w:color="auto" w:sz="4" w:space="0"/>
              <w:right w:val="nil"/>
            </w:tcBorders>
            <w:shd w:val="clear" w:color="auto" w:fill="auto"/>
            <w:tcMar>
              <w:left w:w="100" w:type="dxa"/>
              <w:right w:w="100" w:type="dxa"/>
            </w:tcMar>
            <w:vAlign w:val="center"/>
          </w:tcPr>
          <w:p>
            <w:pPr>
              <w:rPr>
                <w:rFonts w:ascii="Times New Roman Regular" w:hAnsi="Times New Roman Regular" w:cs="Times New Roman Regular"/>
                <w:sz w:val="20"/>
                <w:szCs w:val="20"/>
              </w:rPr>
            </w:pPr>
            <w:r>
              <w:rPr>
                <w:rFonts w:ascii="Times New Roman Bold" w:hAnsi="Times New Roman Bold" w:cs="Times New Roman Bold"/>
                <w:b/>
                <w:sz w:val="20"/>
                <w:szCs w:val="20"/>
              </w:rPr>
              <w:t>Table</w:t>
            </w:r>
            <w:r>
              <w:rPr>
                <w:rFonts w:hint="eastAsia" w:ascii="Times New Roman Bold" w:hAnsi="Times New Roman Bold" w:cs="Times New Roman Bold"/>
                <w:b/>
                <w:sz w:val="20"/>
                <w:szCs w:val="20"/>
                <w:lang w:val="en-US" w:eastAsia="zh-CN"/>
              </w:rPr>
              <w:t xml:space="preserve"> </w:t>
            </w:r>
            <w:r>
              <w:rPr>
                <w:rFonts w:ascii="Times New Roman Bold" w:hAnsi="Times New Roman Bold" w:eastAsia="PMingLiU" w:cs="Times New Roman Bold"/>
                <w:b/>
                <w:sz w:val="20"/>
                <w:szCs w:val="20"/>
                <w:lang w:eastAsia="zh-TW"/>
              </w:rPr>
              <w:t>9</w:t>
            </w:r>
            <w:r>
              <w:rPr>
                <w:rFonts w:ascii="Times New Roman Regular" w:hAnsi="Times New Roman Regular" w:eastAsia="PMingLiU" w:cs="Times New Roman Regular"/>
                <w:b/>
                <w:sz w:val="20"/>
                <w:szCs w:val="20"/>
              </w:rPr>
              <w:t xml:space="preserve"> </w:t>
            </w:r>
            <w:r>
              <w:rPr>
                <w:rFonts w:ascii="Times New Roman Regular" w:hAnsi="Times New Roman Regular" w:cs="Times New Roman Regular"/>
                <w:bCs/>
                <w:sz w:val="20"/>
                <w:szCs w:val="20"/>
              </w:rPr>
              <w:t>Urban vertical expansion Area Expansion and Employment Quality</w:t>
            </w:r>
          </w:p>
        </w:tc>
      </w:tr>
      <w:tr>
        <w:tc>
          <w:tcPr>
            <w:tcW w:w="2802" w:type="dxa"/>
            <w:tcBorders>
              <w:top w:val="double" w:color="auto" w:sz="4" w:space="0"/>
              <w:left w:val="nil"/>
              <w:bottom w:val="single" w:color="auto" w:sz="4" w:space="0"/>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sz w:val="20"/>
                <w:szCs w:val="20"/>
              </w:rPr>
            </w:pPr>
          </w:p>
        </w:tc>
        <w:tc>
          <w:tcPr>
            <w:tcW w:w="2802" w:type="dxa"/>
            <w:tcBorders>
              <w:top w:val="double" w:color="auto" w:sz="4" w:space="0"/>
              <w:left w:val="nil"/>
              <w:bottom w:val="single" w:color="auto" w:sz="4" w:space="0"/>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(1)</w:t>
            </w:r>
          </w:p>
        </w:tc>
        <w:tc>
          <w:tcPr>
            <w:tcW w:w="2802" w:type="dxa"/>
            <w:tcBorders>
              <w:top w:val="double" w:color="auto" w:sz="4" w:space="0"/>
              <w:left w:val="nil"/>
              <w:bottom w:val="single" w:color="auto" w:sz="4" w:space="0"/>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(2)</w:t>
            </w:r>
          </w:p>
        </w:tc>
      </w:tr>
      <w:tr>
        <w:tc>
          <w:tcPr>
            <w:tcW w:w="2802" w:type="dxa"/>
            <w:tcBorders>
              <w:top w:val="single" w:color="auto" w:sz="4" w:space="0"/>
              <w:left w:val="nil"/>
              <w:bottom w:val="single" w:color="auto" w:sz="4" w:space="0"/>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sz w:val="20"/>
                <w:szCs w:val="20"/>
              </w:rPr>
            </w:pPr>
          </w:p>
        </w:tc>
        <w:tc>
          <w:tcPr>
            <w:tcW w:w="2802" w:type="dxa"/>
            <w:tcBorders>
              <w:top w:val="single" w:color="auto" w:sz="4" w:space="0"/>
              <w:left w:val="nil"/>
              <w:bottom w:val="single" w:color="auto" w:sz="4" w:space="0"/>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eastAsia="PMingLiU" w:cs="Times New Roman Regular"/>
                <w:sz w:val="20"/>
                <w:szCs w:val="20"/>
                <w:lang w:eastAsia="zh-TW"/>
              </w:rPr>
            </w:pPr>
            <w:r>
              <w:rPr>
                <w:rFonts w:ascii="Times New Roman Regular" w:hAnsi="Times New Roman Regular" w:eastAsia="PMingLiU" w:cs="Times New Roman Regular"/>
                <w:sz w:val="20"/>
                <w:szCs w:val="20"/>
                <w:lang w:eastAsia="zh-TW" w:bidi="ar"/>
              </w:rPr>
              <w:t>2010 based</w:t>
            </w:r>
          </w:p>
        </w:tc>
        <w:tc>
          <w:tcPr>
            <w:tcW w:w="2802" w:type="dxa"/>
            <w:tcBorders>
              <w:top w:val="single" w:color="auto" w:sz="4" w:space="0"/>
              <w:left w:val="nil"/>
              <w:bottom w:val="single" w:color="auto" w:sz="4" w:space="0"/>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rPr>
            </w:pPr>
            <w:r>
              <w:rPr>
                <w:rFonts w:ascii="Times New Roman Regular" w:hAnsi="Times New Roman Regular" w:eastAsia="PMingLiU" w:cs="Times New Roman Regular"/>
                <w:sz w:val="20"/>
                <w:szCs w:val="20"/>
                <w:lang w:eastAsia="zh-TW" w:bidi="ar"/>
              </w:rPr>
              <w:t>2020 based</w:t>
            </w:r>
          </w:p>
        </w:tc>
      </w:tr>
      <w:tr>
        <w:tc>
          <w:tcPr>
            <w:tcW w:w="2802" w:type="dxa"/>
            <w:tcBorders>
              <w:top w:val="single" w:color="auto" w:sz="4" w:space="0"/>
              <w:left w:val="nil"/>
              <w:bottom w:val="single" w:color="auto" w:sz="4" w:space="0"/>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sz w:val="20"/>
                <w:szCs w:val="20"/>
              </w:rPr>
            </w:pPr>
          </w:p>
        </w:tc>
        <w:tc>
          <w:tcPr>
            <w:tcW w:w="2802" w:type="dxa"/>
            <w:tcBorders>
              <w:top w:val="single" w:color="auto" w:sz="4" w:space="0"/>
              <w:left w:val="nil"/>
              <w:bottom w:val="single" w:color="auto" w:sz="4" w:space="0"/>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EMP</w:t>
            </w:r>
          </w:p>
        </w:tc>
        <w:tc>
          <w:tcPr>
            <w:tcW w:w="2802" w:type="dxa"/>
            <w:tcBorders>
              <w:top w:val="single" w:color="auto" w:sz="4" w:space="0"/>
              <w:left w:val="nil"/>
              <w:bottom w:val="single" w:color="auto" w:sz="4" w:space="0"/>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EMP</w:t>
            </w:r>
          </w:p>
        </w:tc>
      </w:tr>
      <w:tr>
        <w:tc>
          <w:tcPr>
            <w:tcW w:w="2802" w:type="dxa"/>
            <w:tcBorders>
              <w:top w:val="single" w:color="auto" w:sz="4" w:space="0"/>
              <w:left w:val="nil"/>
              <w:bottom w:val="nil"/>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i/>
                <w:iCs/>
                <w:sz w:val="20"/>
                <w:szCs w:val="20"/>
              </w:rPr>
            </w:pPr>
            <w:r>
              <w:rPr>
                <w:rFonts w:ascii="Times New Roman Regular" w:hAnsi="Times New Roman Regular" w:cs="Times New Roman Regular"/>
                <w:i/>
                <w:iCs/>
                <w:sz w:val="20"/>
                <w:szCs w:val="20"/>
              </w:rPr>
              <w:t>treat*post</w:t>
            </w:r>
          </w:p>
        </w:tc>
        <w:tc>
          <w:tcPr>
            <w:tcW w:w="2802" w:type="dxa"/>
            <w:tcBorders>
              <w:top w:val="single" w:color="auto" w:sz="4" w:space="0"/>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0.2060</w:t>
            </w:r>
            <w:r>
              <w:rPr>
                <w:rFonts w:hint="default" w:ascii="Times New Roman" w:hAnsi="Times New Roman" w:cs="Times New Roman"/>
                <w:kern w:val="0"/>
                <w:sz w:val="20"/>
                <w:szCs w:val="20"/>
                <w:vertAlign w:val="superscript"/>
                <w:lang w:val="en-US" w:eastAsia="zh-CN" w:bidi="ar"/>
              </w:rPr>
              <w:t>***</w:t>
            </w:r>
          </w:p>
        </w:tc>
        <w:tc>
          <w:tcPr>
            <w:tcW w:w="2802" w:type="dxa"/>
            <w:tcBorders>
              <w:top w:val="single" w:color="auto" w:sz="4" w:space="0"/>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0.2957</w:t>
            </w:r>
            <w:r>
              <w:rPr>
                <w:rFonts w:hint="default" w:ascii="Times New Roman" w:hAnsi="Times New Roman" w:cs="Times New Roman"/>
                <w:kern w:val="0"/>
                <w:sz w:val="20"/>
                <w:szCs w:val="20"/>
                <w:vertAlign w:val="superscript"/>
                <w:lang w:val="en-US" w:eastAsia="zh-CN" w:bidi="ar"/>
              </w:rPr>
              <w:t>***</w:t>
            </w:r>
          </w:p>
        </w:tc>
      </w:tr>
      <w:tr>
        <w:tc>
          <w:tcPr>
            <w:tcW w:w="2802"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i/>
                <w:iCs/>
                <w:sz w:val="20"/>
                <w:szCs w:val="20"/>
              </w:rPr>
            </w:pPr>
          </w:p>
        </w:tc>
        <w:tc>
          <w:tcPr>
            <w:tcW w:w="280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(0.0582)</w:t>
            </w:r>
          </w:p>
        </w:tc>
        <w:tc>
          <w:tcPr>
            <w:tcW w:w="280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(0.0824)</w:t>
            </w:r>
          </w:p>
        </w:tc>
      </w:tr>
      <w:tr>
        <w:tc>
          <w:tcPr>
            <w:tcW w:w="2802"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i/>
                <w:iCs/>
                <w:sz w:val="20"/>
                <w:szCs w:val="20"/>
              </w:rPr>
            </w:pPr>
            <w:r>
              <w:rPr>
                <w:rFonts w:ascii="Times New Roman Regular" w:hAnsi="Times New Roman Regular" w:cs="Times New Roman Regular"/>
                <w:i/>
                <w:iCs/>
                <w:sz w:val="20"/>
                <w:szCs w:val="20"/>
                <w:lang w:bidi="ar"/>
              </w:rPr>
              <w:t>bh_rel_2010</w:t>
            </w:r>
          </w:p>
        </w:tc>
        <w:tc>
          <w:tcPr>
            <w:tcW w:w="280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0.0214</w:t>
            </w:r>
            <w:r>
              <w:rPr>
                <w:rFonts w:hint="default" w:ascii="Times New Roman" w:hAnsi="Times New Roman" w:cs="Times New Roman"/>
                <w:kern w:val="0"/>
                <w:sz w:val="20"/>
                <w:szCs w:val="20"/>
                <w:vertAlign w:val="superscript"/>
                <w:lang w:val="en-US" w:eastAsia="zh-CN" w:bidi="ar"/>
              </w:rPr>
              <w:t>***</w:t>
            </w:r>
          </w:p>
        </w:tc>
        <w:tc>
          <w:tcPr>
            <w:tcW w:w="280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r>
      <w:tr>
        <w:tc>
          <w:tcPr>
            <w:tcW w:w="2802"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i/>
                <w:iCs/>
                <w:sz w:val="20"/>
                <w:szCs w:val="20"/>
              </w:rPr>
            </w:pPr>
          </w:p>
        </w:tc>
        <w:tc>
          <w:tcPr>
            <w:tcW w:w="280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(0.0049)</w:t>
            </w:r>
          </w:p>
        </w:tc>
        <w:tc>
          <w:tcPr>
            <w:tcW w:w="280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r>
      <w:tr>
        <w:tc>
          <w:tcPr>
            <w:tcW w:w="2802"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i/>
                <w:iCs/>
                <w:sz w:val="20"/>
                <w:szCs w:val="20"/>
              </w:rPr>
            </w:pPr>
            <w:r>
              <w:rPr>
                <w:rFonts w:ascii="Times New Roman Regular" w:hAnsi="Times New Roman Regular" w:cs="Times New Roman Regular"/>
                <w:i/>
                <w:iCs/>
                <w:sz w:val="20"/>
                <w:szCs w:val="20"/>
                <w:lang w:bidi="ar"/>
              </w:rPr>
              <w:t>c.did#c.bh_rel_2010</w:t>
            </w:r>
          </w:p>
        </w:tc>
        <w:tc>
          <w:tcPr>
            <w:tcW w:w="280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w:hAnsi="Times New Roman"/>
                <w:sz w:val="20"/>
                <w:szCs w:val="20"/>
              </w:rPr>
            </w:pPr>
            <w:r>
              <w:rPr>
                <w:rFonts w:hint="default" w:ascii="Times New Roman" w:hAnsi="Times New Roman" w:cs="Times New Roman"/>
                <w:kern w:val="0"/>
                <w:sz w:val="20"/>
                <w:szCs w:val="20"/>
                <w:lang w:val="en-US" w:eastAsia="zh-CN" w:bidi="ar"/>
              </w:rPr>
              <w:t>0.0640</w:t>
            </w:r>
            <w:r>
              <w:rPr>
                <w:rFonts w:hint="default" w:ascii="Times New Roman" w:hAnsi="Times New Roman" w:cs="Times New Roman"/>
                <w:kern w:val="0"/>
                <w:sz w:val="20"/>
                <w:szCs w:val="20"/>
                <w:vertAlign w:val="superscript"/>
                <w:lang w:val="en-US" w:eastAsia="zh-CN" w:bidi="ar"/>
              </w:rPr>
              <w:t>**</w:t>
            </w:r>
          </w:p>
        </w:tc>
        <w:tc>
          <w:tcPr>
            <w:tcW w:w="280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r>
      <w:tr>
        <w:tc>
          <w:tcPr>
            <w:tcW w:w="2802"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i/>
                <w:iCs/>
                <w:sz w:val="20"/>
                <w:szCs w:val="20"/>
              </w:rPr>
            </w:pPr>
          </w:p>
        </w:tc>
        <w:tc>
          <w:tcPr>
            <w:tcW w:w="280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w:hAnsi="Times New Roman"/>
                <w:sz w:val="20"/>
                <w:szCs w:val="20"/>
              </w:rPr>
            </w:pPr>
            <w:r>
              <w:rPr>
                <w:rFonts w:hint="default" w:ascii="Times New Roman" w:hAnsi="Times New Roman" w:cs="Times New Roman"/>
                <w:kern w:val="0"/>
                <w:sz w:val="20"/>
                <w:szCs w:val="20"/>
                <w:lang w:val="en-US" w:eastAsia="zh-CN" w:bidi="ar"/>
              </w:rPr>
              <w:t>(0.0285)</w:t>
            </w:r>
          </w:p>
        </w:tc>
        <w:tc>
          <w:tcPr>
            <w:tcW w:w="280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r>
      <w:tr>
        <w:tc>
          <w:tcPr>
            <w:tcW w:w="2802"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i/>
                <w:iCs/>
                <w:sz w:val="20"/>
                <w:szCs w:val="20"/>
              </w:rPr>
            </w:pPr>
            <w:r>
              <w:rPr>
                <w:rFonts w:ascii="Times New Roman Regular" w:hAnsi="Times New Roman Regular" w:cs="Times New Roman Regular"/>
                <w:i/>
                <w:iCs/>
                <w:sz w:val="20"/>
                <w:szCs w:val="20"/>
                <w:lang w:bidi="ar"/>
              </w:rPr>
              <w:t>bh_rel_2020</w:t>
            </w:r>
          </w:p>
        </w:tc>
        <w:tc>
          <w:tcPr>
            <w:tcW w:w="280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280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0.0207</w:t>
            </w:r>
            <w:r>
              <w:rPr>
                <w:rFonts w:hint="default" w:ascii="Times New Roman" w:hAnsi="Times New Roman" w:cs="Times New Roman"/>
                <w:kern w:val="0"/>
                <w:sz w:val="20"/>
                <w:szCs w:val="20"/>
                <w:vertAlign w:val="superscript"/>
                <w:lang w:val="en-US" w:eastAsia="zh-CN" w:bidi="ar"/>
              </w:rPr>
              <w:t>***</w:t>
            </w:r>
          </w:p>
        </w:tc>
      </w:tr>
      <w:tr>
        <w:tc>
          <w:tcPr>
            <w:tcW w:w="2802"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i/>
                <w:iCs/>
                <w:sz w:val="20"/>
                <w:szCs w:val="20"/>
              </w:rPr>
            </w:pPr>
          </w:p>
        </w:tc>
        <w:tc>
          <w:tcPr>
            <w:tcW w:w="280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280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(0.0050)</w:t>
            </w:r>
          </w:p>
        </w:tc>
      </w:tr>
      <w:tr>
        <w:tc>
          <w:tcPr>
            <w:tcW w:w="2802"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i/>
                <w:iCs/>
                <w:sz w:val="20"/>
                <w:szCs w:val="20"/>
              </w:rPr>
            </w:pPr>
            <w:r>
              <w:rPr>
                <w:rFonts w:ascii="Times New Roman Regular" w:hAnsi="Times New Roman Regular" w:cs="Times New Roman Regular"/>
                <w:i/>
                <w:iCs/>
                <w:sz w:val="20"/>
                <w:szCs w:val="20"/>
                <w:lang w:bidi="ar"/>
              </w:rPr>
              <w:t>c.did#c.bh_rel_2020</w:t>
            </w:r>
          </w:p>
        </w:tc>
        <w:tc>
          <w:tcPr>
            <w:tcW w:w="280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280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w:hAnsi="Times New Roman"/>
                <w:sz w:val="20"/>
                <w:szCs w:val="20"/>
              </w:rPr>
            </w:pPr>
            <w:r>
              <w:rPr>
                <w:rFonts w:hint="default" w:ascii="Times New Roman" w:hAnsi="Times New Roman" w:cs="Times New Roman"/>
                <w:kern w:val="0"/>
                <w:sz w:val="20"/>
                <w:szCs w:val="20"/>
                <w:lang w:val="en-US" w:eastAsia="zh-CN" w:bidi="ar"/>
              </w:rPr>
              <w:t>0.0827</w:t>
            </w:r>
            <w:r>
              <w:rPr>
                <w:rFonts w:hint="default" w:ascii="Times New Roman" w:hAnsi="Times New Roman" w:cs="Times New Roman"/>
                <w:kern w:val="0"/>
                <w:sz w:val="20"/>
                <w:szCs w:val="20"/>
                <w:vertAlign w:val="superscript"/>
                <w:lang w:val="en-US" w:eastAsia="zh-CN" w:bidi="ar"/>
              </w:rPr>
              <w:t>***</w:t>
            </w:r>
          </w:p>
        </w:tc>
      </w:tr>
      <w:tr>
        <w:tc>
          <w:tcPr>
            <w:tcW w:w="2802"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i/>
                <w:iCs/>
                <w:sz w:val="20"/>
                <w:szCs w:val="20"/>
              </w:rPr>
            </w:pPr>
          </w:p>
        </w:tc>
        <w:tc>
          <w:tcPr>
            <w:tcW w:w="280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280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w:hAnsi="Times New Roman"/>
                <w:sz w:val="20"/>
                <w:szCs w:val="20"/>
              </w:rPr>
            </w:pPr>
            <w:r>
              <w:rPr>
                <w:rFonts w:hint="default" w:ascii="Times New Roman" w:hAnsi="Times New Roman" w:cs="Times New Roman"/>
                <w:kern w:val="0"/>
                <w:sz w:val="20"/>
                <w:szCs w:val="20"/>
                <w:lang w:val="en-US" w:eastAsia="zh-CN" w:bidi="ar"/>
              </w:rPr>
              <w:t>(0.0315)</w:t>
            </w:r>
          </w:p>
        </w:tc>
      </w:tr>
      <w:tr>
        <w:tc>
          <w:tcPr>
            <w:tcW w:w="2802"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_cons</w:t>
            </w:r>
          </w:p>
        </w:tc>
        <w:tc>
          <w:tcPr>
            <w:tcW w:w="280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55.5767</w:t>
            </w:r>
            <w:r>
              <w:rPr>
                <w:rFonts w:hint="default" w:ascii="Times New Roman" w:hAnsi="Times New Roman" w:cs="Times New Roman"/>
                <w:kern w:val="0"/>
                <w:sz w:val="20"/>
                <w:szCs w:val="20"/>
                <w:vertAlign w:val="superscript"/>
                <w:lang w:val="en-US" w:eastAsia="zh-CN" w:bidi="ar"/>
              </w:rPr>
              <w:t>***</w:t>
            </w:r>
          </w:p>
        </w:tc>
        <w:tc>
          <w:tcPr>
            <w:tcW w:w="280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55.6116</w:t>
            </w:r>
            <w:r>
              <w:rPr>
                <w:rFonts w:hint="default" w:ascii="Times New Roman" w:hAnsi="Times New Roman" w:cs="Times New Roman"/>
                <w:kern w:val="0"/>
                <w:sz w:val="20"/>
                <w:szCs w:val="20"/>
                <w:vertAlign w:val="superscript"/>
                <w:lang w:val="en-US" w:eastAsia="zh-CN" w:bidi="ar"/>
              </w:rPr>
              <w:t>***</w:t>
            </w:r>
          </w:p>
        </w:tc>
      </w:tr>
      <w:tr>
        <w:tc>
          <w:tcPr>
            <w:tcW w:w="2802"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sz w:val="20"/>
                <w:szCs w:val="20"/>
              </w:rPr>
            </w:pPr>
          </w:p>
        </w:tc>
        <w:tc>
          <w:tcPr>
            <w:tcW w:w="280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(0.2250)</w:t>
            </w:r>
          </w:p>
        </w:tc>
        <w:tc>
          <w:tcPr>
            <w:tcW w:w="280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(0.2270)</w:t>
            </w:r>
          </w:p>
        </w:tc>
      </w:tr>
      <w:tr>
        <w:tc>
          <w:tcPr>
            <w:tcW w:w="2802"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Controls </w:t>
            </w:r>
          </w:p>
        </w:tc>
        <w:tc>
          <w:tcPr>
            <w:tcW w:w="280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Yes</w:t>
            </w:r>
          </w:p>
        </w:tc>
        <w:tc>
          <w:tcPr>
            <w:tcW w:w="280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Yes</w:t>
            </w:r>
          </w:p>
        </w:tc>
      </w:tr>
      <w:tr>
        <w:tc>
          <w:tcPr>
            <w:tcW w:w="2802"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CITY </w:t>
            </w:r>
          </w:p>
        </w:tc>
        <w:tc>
          <w:tcPr>
            <w:tcW w:w="280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Yes</w:t>
            </w:r>
          </w:p>
        </w:tc>
        <w:tc>
          <w:tcPr>
            <w:tcW w:w="280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Yes</w:t>
            </w:r>
          </w:p>
        </w:tc>
      </w:tr>
      <w:tr>
        <w:tc>
          <w:tcPr>
            <w:tcW w:w="2802"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YEAR</w:t>
            </w:r>
          </w:p>
        </w:tc>
        <w:tc>
          <w:tcPr>
            <w:tcW w:w="280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Yes</w:t>
            </w:r>
          </w:p>
        </w:tc>
        <w:tc>
          <w:tcPr>
            <w:tcW w:w="280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Yes</w:t>
            </w:r>
          </w:p>
        </w:tc>
      </w:tr>
      <w:tr>
        <w:tc>
          <w:tcPr>
            <w:tcW w:w="2802"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both"/>
              <w:rPr>
                <w:rFonts w:ascii="Times New Roman Regular" w:hAnsi="Times New Roman Regular" w:cs="Times New Roman Regular"/>
                <w:sz w:val="20"/>
                <w:szCs w:val="20"/>
              </w:rPr>
            </w:pPr>
            <w:r>
              <w:rPr>
                <w:rFonts w:ascii="Times New Roman Regular" w:hAnsi="Times New Roman Regular" w:cs="Times New Roman Regular"/>
                <w:i/>
                <w:iCs/>
                <w:sz w:val="20"/>
                <w:szCs w:val="20"/>
                <w:lang w:bidi="ar"/>
              </w:rPr>
              <w:t>N</w:t>
            </w:r>
          </w:p>
        </w:tc>
        <w:tc>
          <w:tcPr>
            <w:tcW w:w="280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3588</w:t>
            </w:r>
          </w:p>
        </w:tc>
        <w:tc>
          <w:tcPr>
            <w:tcW w:w="280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3600</w:t>
            </w:r>
          </w:p>
        </w:tc>
      </w:tr>
      <w:tr>
        <w:tc>
          <w:tcPr>
            <w:tcW w:w="2802" w:type="dxa"/>
            <w:tcBorders>
              <w:top w:val="nil"/>
              <w:left w:val="nil"/>
              <w:bottom w:val="double" w:color="auto" w:sz="4" w:space="0"/>
              <w:right w:val="nil"/>
            </w:tcBorders>
            <w:shd w:val="clear" w:color="auto" w:fill="auto"/>
            <w:tcMar>
              <w:left w:w="100" w:type="dxa"/>
              <w:right w:w="100" w:type="dxa"/>
            </w:tcMar>
            <w:vAlign w:val="center"/>
          </w:tcPr>
          <w:p>
            <w:pPr>
              <w:pStyle w:val="8"/>
              <w:widowControl/>
              <w:spacing w:beforeAutospacing="0" w:afterAutospacing="0"/>
              <w:jc w:val="both"/>
              <w:rPr>
                <w:rFonts w:hint="default" w:ascii="Times New Roman Regular" w:hAnsi="Times New Roman Regular" w:cs="Times New Roman Regular"/>
                <w:sz w:val="20"/>
                <w:szCs w:val="20"/>
                <w:lang w:val="en-US"/>
              </w:rPr>
            </w:pPr>
            <w:r>
              <w:rPr>
                <w:rFonts w:ascii="Times New Roman Regular" w:hAnsi="Times New Roman Regular" w:cs="Times New Roman Regular"/>
                <w:sz w:val="20"/>
                <w:szCs w:val="20"/>
                <w:lang w:val="en-US" w:bidi="ar"/>
              </w:rPr>
              <w:t>r2_within</w:t>
            </w:r>
          </w:p>
        </w:tc>
        <w:tc>
          <w:tcPr>
            <w:tcW w:w="2802" w:type="dxa"/>
            <w:tcBorders>
              <w:top w:val="nil"/>
              <w:left w:val="nil"/>
              <w:bottom w:val="double" w:color="auto" w:sz="4" w:space="0"/>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0.1522</w:t>
            </w:r>
          </w:p>
        </w:tc>
        <w:tc>
          <w:tcPr>
            <w:tcW w:w="2802" w:type="dxa"/>
            <w:tcBorders>
              <w:top w:val="nil"/>
              <w:left w:val="nil"/>
              <w:bottom w:val="double" w:color="auto" w:sz="4" w:space="0"/>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0.1401</w:t>
            </w:r>
          </w:p>
        </w:tc>
      </w:tr>
    </w:tbl>
    <w:p>
      <w:pPr>
        <w:pStyle w:val="8"/>
        <w:widowControl/>
        <w:spacing w:beforeAutospacing="0" w:afterAutospacing="0"/>
        <w:jc w:val="both"/>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Standard errors in parentheses</w:t>
      </w:r>
    </w:p>
    <w:p>
      <w:pPr>
        <w:pStyle w:val="8"/>
        <w:widowControl/>
        <w:spacing w:beforeAutospacing="0" w:after="157" w:afterLines="50" w:afterAutospacing="0"/>
        <w:jc w:val="both"/>
        <w:rPr>
          <w:rFonts w:ascii="Times New Roman Regular" w:hAnsi="Times New Roman Regular" w:cs="Times New Roman Regular"/>
          <w:sz w:val="20"/>
          <w:szCs w:val="20"/>
        </w:rPr>
      </w:pPr>
      <w:r>
        <w:rPr>
          <w:rFonts w:ascii="Times New Roman Regular" w:hAnsi="Times New Roman Regular" w:cs="Times New Roman Regular"/>
          <w:sz w:val="20"/>
          <w:szCs w:val="20"/>
          <w:vertAlign w:val="superscript"/>
          <w:lang w:bidi="ar"/>
        </w:rPr>
        <w:t>*</w:t>
      </w:r>
      <w:r>
        <w:rPr>
          <w:rFonts w:ascii="Times New Roman Regular" w:hAnsi="Times New Roman Regular" w:cs="Times New Roman Regular"/>
          <w:sz w:val="20"/>
          <w:szCs w:val="20"/>
          <w:lang w:bidi="ar"/>
        </w:rPr>
        <w:t xml:space="preserve"> </w:t>
      </w:r>
      <w:r>
        <w:rPr>
          <w:rFonts w:ascii="Times New Roman Regular" w:hAnsi="Times New Roman Regular" w:cs="Times New Roman Regular"/>
          <w:i/>
          <w:iCs/>
          <w:sz w:val="20"/>
          <w:szCs w:val="20"/>
          <w:lang w:bidi="ar"/>
        </w:rPr>
        <w:t>p</w:t>
      </w:r>
      <w:r>
        <w:rPr>
          <w:rFonts w:ascii="Times New Roman Regular" w:hAnsi="Times New Roman Regular" w:cs="Times New Roman Regular"/>
          <w:sz w:val="20"/>
          <w:szCs w:val="20"/>
          <w:lang w:bidi="ar"/>
        </w:rPr>
        <w:t xml:space="preserve"> &lt; 0.10, </w:t>
      </w:r>
      <w:r>
        <w:rPr>
          <w:rFonts w:ascii="Times New Roman Regular" w:hAnsi="Times New Roman Regular" w:cs="Times New Roman Regular"/>
          <w:sz w:val="20"/>
          <w:szCs w:val="20"/>
          <w:vertAlign w:val="superscript"/>
          <w:lang w:bidi="ar"/>
        </w:rPr>
        <w:t>**</w:t>
      </w:r>
      <w:r>
        <w:rPr>
          <w:rFonts w:ascii="Times New Roman Regular" w:hAnsi="Times New Roman Regular" w:cs="Times New Roman Regular"/>
          <w:sz w:val="20"/>
          <w:szCs w:val="20"/>
          <w:lang w:bidi="ar"/>
        </w:rPr>
        <w:t xml:space="preserve"> </w:t>
      </w:r>
      <w:r>
        <w:rPr>
          <w:rFonts w:ascii="Times New Roman Regular" w:hAnsi="Times New Roman Regular" w:cs="Times New Roman Regular"/>
          <w:i/>
          <w:iCs/>
          <w:sz w:val="20"/>
          <w:szCs w:val="20"/>
          <w:lang w:bidi="ar"/>
        </w:rPr>
        <w:t>p</w:t>
      </w:r>
      <w:r>
        <w:rPr>
          <w:rFonts w:ascii="Times New Roman Regular" w:hAnsi="Times New Roman Regular" w:cs="Times New Roman Regular"/>
          <w:sz w:val="20"/>
          <w:szCs w:val="20"/>
          <w:lang w:bidi="ar"/>
        </w:rPr>
        <w:t xml:space="preserve"> &lt; 0.05, </w:t>
      </w:r>
      <w:r>
        <w:rPr>
          <w:rFonts w:ascii="Times New Roman Regular" w:hAnsi="Times New Roman Regular" w:cs="Times New Roman Regular"/>
          <w:sz w:val="20"/>
          <w:szCs w:val="20"/>
          <w:vertAlign w:val="superscript"/>
          <w:lang w:bidi="ar"/>
        </w:rPr>
        <w:t>***</w:t>
      </w:r>
      <w:r>
        <w:rPr>
          <w:rFonts w:ascii="Times New Roman Regular" w:hAnsi="Times New Roman Regular" w:cs="Times New Roman Regular"/>
          <w:sz w:val="20"/>
          <w:szCs w:val="20"/>
          <w:lang w:bidi="ar"/>
        </w:rPr>
        <w:t xml:space="preserve"> </w:t>
      </w:r>
      <w:r>
        <w:rPr>
          <w:rFonts w:ascii="Times New Roman Regular" w:hAnsi="Times New Roman Regular" w:cs="Times New Roman Regular"/>
          <w:i/>
          <w:iCs/>
          <w:sz w:val="20"/>
          <w:szCs w:val="20"/>
          <w:lang w:bidi="ar"/>
        </w:rPr>
        <w:t>p</w:t>
      </w:r>
      <w:r>
        <w:rPr>
          <w:rFonts w:ascii="Times New Roman Regular" w:hAnsi="Times New Roman Regular" w:cs="Times New Roman Regular"/>
          <w:sz w:val="20"/>
          <w:szCs w:val="20"/>
          <w:lang w:bidi="ar"/>
        </w:rPr>
        <w:t xml:space="preserve"> &lt; 0.01</w:t>
      </w:r>
    </w:p>
    <w:p>
      <w:pPr>
        <w:spacing w:before="0" w:beforeLines="0" w:after="0" w:afterLines="0"/>
        <w:rPr>
          <w:rFonts w:ascii="Times New Roman Bold" w:hAnsi="Times New Roman Bold" w:cs="Times New Roman Bold"/>
          <w:b/>
          <w:sz w:val="24"/>
        </w:rPr>
      </w:pPr>
      <w:r>
        <w:rPr>
          <w:rFonts w:hint="eastAsia" w:ascii="Times New Roman Bold" w:hAnsi="Times New Roman Bold" w:cs="Times New Roman Bold"/>
          <w:b/>
          <w:sz w:val="24"/>
          <w:lang w:val="en-US" w:eastAsia="zh-CN"/>
        </w:rPr>
        <w:t>4.4</w:t>
      </w:r>
      <w:r>
        <w:rPr>
          <w:rFonts w:ascii="Times New Roman Bold" w:hAnsi="Times New Roman Bold" w:cs="Times New Roman Bold"/>
          <w:b/>
          <w:sz w:val="24"/>
        </w:rPr>
        <w:t xml:space="preserve"> </w:t>
      </w:r>
      <w:r>
        <w:rPr>
          <w:rFonts w:ascii="Times New Roman Bold" w:hAnsi="Times New Roman Bold" w:cs="Times New Roman Bold"/>
          <w:b/>
          <w:bCs/>
          <w:sz w:val="24"/>
        </w:rPr>
        <w:t xml:space="preserve">Mechanism </w:t>
      </w:r>
      <w:r>
        <w:rPr>
          <w:rFonts w:hint="eastAsia" w:ascii="Times New Roman Bold" w:hAnsi="Times New Roman Bold" w:cs="Times New Roman Bold"/>
          <w:b/>
          <w:bCs/>
          <w:sz w:val="24"/>
          <w:lang w:val="en-US" w:eastAsia="zh-CN"/>
        </w:rPr>
        <w:t>a</w:t>
      </w:r>
      <w:r>
        <w:rPr>
          <w:rFonts w:ascii="Times New Roman Bold" w:hAnsi="Times New Roman Bold" w:cs="Times New Roman Bold"/>
          <w:b/>
          <w:sz w:val="24"/>
        </w:rPr>
        <w:t>nalysis</w:t>
      </w:r>
    </w:p>
    <w:p>
      <w:pPr>
        <w:widowControl/>
        <w:spacing w:before="157" w:beforeLines="50" w:after="157" w:afterLines="50"/>
        <w:ind w:firstLine="240" w:firstLineChars="100"/>
        <w:jc w:val="both"/>
        <w:rPr>
          <w:rFonts w:ascii="Times New Roman Regular" w:hAnsi="Times New Roman Regular" w:cs="Times New Roman Regular"/>
          <w:b w:val="0"/>
          <w:sz w:val="24"/>
        </w:rPr>
      </w:pPr>
      <w:r>
        <w:rPr>
          <w:rFonts w:ascii="Times New Roman Regular" w:hAnsi="Times New Roman Regular" w:eastAsia="宋体" w:cs="Times New Roman Regular"/>
          <w:kern w:val="0"/>
          <w:sz w:val="24"/>
          <w:szCs w:val="24"/>
          <w:lang w:val="en-US" w:eastAsia="zh-CN" w:bidi="ar"/>
        </w:rPr>
        <w:t>We identify two primary mechanisms through which the NTUPP improves employment quality. First, the policy facilitates human capital accumulation. Second, it promotes market development that support more productive and better-matched employment.</w:t>
      </w:r>
    </w:p>
    <w:p>
      <w:pPr>
        <w:spacing w:before="157" w:beforeLines="50" w:after="157" w:afterLines="50"/>
        <w:rPr>
          <w:rFonts w:ascii="Times New Roman Bold Italic" w:hAnsi="Times New Roman Bold Italic" w:cs="Times New Roman Bold Italic"/>
          <w:b/>
          <w:i/>
          <w:iCs/>
          <w:sz w:val="24"/>
        </w:rPr>
      </w:pPr>
      <w:r>
        <w:rPr>
          <w:rFonts w:hint="default" w:ascii="Times New Roman Bold Italic" w:hAnsi="Times New Roman Bold Italic" w:cs="Times New Roman Bold Italic"/>
          <w:b/>
          <w:i/>
          <w:iCs/>
          <w:sz w:val="24"/>
          <w:lang w:val="en-US" w:eastAsia="zh-CN"/>
        </w:rPr>
        <w:t>4.4.1</w:t>
      </w:r>
      <w:r>
        <w:rPr>
          <w:rFonts w:hint="eastAsia" w:ascii="Times New Roman Bold Italic" w:hAnsi="Times New Roman Bold Italic" w:cs="Times New Roman Bold Italic"/>
          <w:b/>
          <w:i/>
          <w:iCs/>
          <w:sz w:val="24"/>
          <w:lang w:val="en-US" w:eastAsia="zh-CN"/>
        </w:rPr>
        <w:t xml:space="preserve"> </w:t>
      </w:r>
      <w:r>
        <w:rPr>
          <w:rFonts w:ascii="Times New Roman Bold Italic" w:hAnsi="Times New Roman Bold Italic" w:cs="Times New Roman Bold Italic"/>
          <w:b/>
          <w:i/>
          <w:iCs/>
          <w:sz w:val="24"/>
        </w:rPr>
        <w:t xml:space="preserve">Human </w:t>
      </w:r>
      <w:r>
        <w:rPr>
          <w:rFonts w:hint="eastAsia" w:ascii="Times New Roman Bold Italic" w:hAnsi="Times New Roman Bold Italic" w:cs="Times New Roman Bold Italic"/>
          <w:b/>
          <w:i/>
          <w:iCs/>
          <w:sz w:val="24"/>
          <w:lang w:val="en-US" w:eastAsia="zh-CN"/>
        </w:rPr>
        <w:t>c</w:t>
      </w:r>
      <w:r>
        <w:rPr>
          <w:rFonts w:ascii="Times New Roman Bold Italic" w:hAnsi="Times New Roman Bold Italic" w:cs="Times New Roman Bold Italic"/>
          <w:b/>
          <w:i/>
          <w:iCs/>
          <w:sz w:val="24"/>
        </w:rPr>
        <w:t xml:space="preserve">apital </w:t>
      </w:r>
      <w:r>
        <w:rPr>
          <w:rFonts w:hint="eastAsia" w:ascii="Times New Roman Bold Italic" w:hAnsi="Times New Roman Bold Italic" w:cs="Times New Roman Bold Italic"/>
          <w:b/>
          <w:i/>
          <w:iCs/>
          <w:sz w:val="24"/>
          <w:lang w:val="en-US" w:eastAsia="zh-CN"/>
        </w:rPr>
        <w:t>e</w:t>
      </w:r>
      <w:r>
        <w:rPr>
          <w:rFonts w:ascii="Times New Roman Bold Italic" w:hAnsi="Times New Roman Bold Italic" w:cs="Times New Roman Bold Italic"/>
          <w:b/>
          <w:i/>
          <w:iCs/>
          <w:sz w:val="24"/>
        </w:rPr>
        <w:t>ffect</w:t>
      </w:r>
    </w:p>
    <w:p>
      <w:pPr>
        <w:widowControl/>
        <w:ind w:firstLine="240" w:firstLineChars="100"/>
        <w:rPr>
          <w:rFonts w:ascii="Times New Roman Regular" w:hAnsi="Times New Roman Regular" w:cs="Times New Roman Regular"/>
          <w:sz w:val="24"/>
        </w:rPr>
      </w:pPr>
      <w:r>
        <w:rPr>
          <w:rFonts w:ascii="Times New Roman Regular" w:hAnsi="Times New Roman Regular" w:eastAsia="宋体" w:cs="Times New Roman Regular"/>
          <w:kern w:val="0"/>
          <w:sz w:val="24"/>
          <w:lang w:bidi="ar"/>
        </w:rPr>
        <w:t>To explore whether the improvement in employment quality driven by the new-type urbanization policy operates through the human capital channel, we examine</w:t>
      </w:r>
      <w:r>
        <w:rPr>
          <w:rFonts w:hint="default" w:ascii="Times New Roman Regular" w:hAnsi="Times New Roman Regular" w:eastAsia="宋体" w:cs="Times New Roman Regular"/>
          <w:kern w:val="0"/>
          <w:sz w:val="24"/>
          <w:lang w:val="en-US" w:bidi="ar"/>
        </w:rPr>
        <w:t>d</w:t>
      </w:r>
      <w:r>
        <w:rPr>
          <w:rFonts w:ascii="Times New Roman Regular" w:hAnsi="Times New Roman Regular" w:eastAsia="宋体" w:cs="Times New Roman Regular"/>
          <w:kern w:val="0"/>
          <w:sz w:val="24"/>
          <w:lang w:bidi="ar"/>
        </w:rPr>
        <w:t xml:space="preserve"> its impact on the scale of higher education. Specifically, we employ</w:t>
      </w:r>
      <w:r>
        <w:rPr>
          <w:rFonts w:hint="default" w:ascii="Times New Roman Regular" w:hAnsi="Times New Roman Regular" w:eastAsia="宋体" w:cs="Times New Roman Regular"/>
          <w:kern w:val="0"/>
          <w:sz w:val="24"/>
          <w:lang w:val="en-US" w:bidi="ar"/>
        </w:rPr>
        <w:t>ed</w:t>
      </w:r>
      <w:r>
        <w:rPr>
          <w:rFonts w:ascii="Times New Roman Regular" w:hAnsi="Times New Roman Regular" w:eastAsia="宋体" w:cs="Times New Roman Regular"/>
          <w:kern w:val="0"/>
          <w:sz w:val="24"/>
          <w:lang w:bidi="ar"/>
        </w:rPr>
        <w:t xml:space="preserve"> two dependent variables: (1) the ratio of enrolled undergraduate and junior college students to the year-end population (</w:t>
      </w:r>
      <w:r>
        <w:rPr>
          <w:rFonts w:ascii="Times New Roman Italic" w:hAnsi="Times New Roman Italic" w:eastAsia="宋体" w:cs="Times New Roman Italic"/>
          <w:i/>
          <w:iCs/>
          <w:kern w:val="0"/>
          <w:sz w:val="24"/>
          <w:lang w:bidi="ar"/>
        </w:rPr>
        <w:t>labor1</w:t>
      </w:r>
      <w:r>
        <w:rPr>
          <w:rFonts w:ascii="Times New Roman Regular" w:hAnsi="Times New Roman Regular" w:eastAsia="宋体" w:cs="Times New Roman Regular"/>
          <w:kern w:val="0"/>
          <w:sz w:val="24"/>
          <w:lang w:bidi="ar"/>
        </w:rPr>
        <w:t>), and (2) the total number of enrolled undergraduate and junior college students (in millions) (</w:t>
      </w:r>
      <w:r>
        <w:rPr>
          <w:rFonts w:ascii="Times New Roman Italic" w:hAnsi="Times New Roman Italic" w:eastAsia="宋体" w:cs="Times New Roman Italic"/>
          <w:i/>
          <w:iCs/>
          <w:kern w:val="0"/>
          <w:sz w:val="24"/>
          <w:lang w:bidi="ar"/>
        </w:rPr>
        <w:t>labor2</w:t>
      </w:r>
      <w:r>
        <w:rPr>
          <w:rFonts w:ascii="Times New Roman Regular" w:hAnsi="Times New Roman Regular" w:eastAsia="宋体" w:cs="Times New Roman Regular"/>
          <w:kern w:val="0"/>
          <w:sz w:val="24"/>
          <w:lang w:bidi="ar"/>
        </w:rPr>
        <w:t xml:space="preserve">). As shown in Table 1, the coefficients on the policy dummy </w:t>
      </w:r>
      <w:r>
        <w:rPr>
          <w:rFonts w:hint="default" w:ascii="Times New Roman Regular" w:hAnsi="Times New Roman Regular" w:eastAsia="宋体" w:cs="Times New Roman Regular"/>
          <w:kern w:val="0"/>
          <w:sz w:val="24"/>
          <w:lang w:val="en-US" w:bidi="ar"/>
        </w:rPr>
        <w:t>were</w:t>
      </w:r>
      <w:r>
        <w:rPr>
          <w:rFonts w:ascii="Times New Roman Regular" w:hAnsi="Times New Roman Regular" w:eastAsia="宋体" w:cs="Times New Roman Regular"/>
          <w:kern w:val="0"/>
          <w:sz w:val="24"/>
          <w:lang w:bidi="ar"/>
        </w:rPr>
        <w:t xml:space="preserve"> significantly positive at the 1% level in both specifications, suggesting that the implementation of the urbanization policy is associated with an increase in the supply of human capital. These results support</w:t>
      </w:r>
      <w:r>
        <w:rPr>
          <w:rFonts w:hint="default" w:ascii="Times New Roman Regular" w:hAnsi="Times New Roman Regular" w:eastAsia="宋体" w:cs="Times New Roman Regular"/>
          <w:kern w:val="0"/>
          <w:sz w:val="24"/>
          <w:lang w:val="en-US" w:bidi="ar"/>
        </w:rPr>
        <w:t>ed</w:t>
      </w:r>
      <w:r>
        <w:rPr>
          <w:rFonts w:ascii="Times New Roman Regular" w:hAnsi="Times New Roman Regular" w:eastAsia="宋体" w:cs="Times New Roman Regular"/>
          <w:kern w:val="0"/>
          <w:sz w:val="24"/>
          <w:lang w:bidi="ar"/>
        </w:rPr>
        <w:t xml:space="preserve"> the notion that human capital development is a key mechanism through which the policy contribute</w:t>
      </w:r>
      <w:r>
        <w:rPr>
          <w:rFonts w:hint="default" w:ascii="Times New Roman Regular" w:hAnsi="Times New Roman Regular" w:eastAsia="宋体" w:cs="Times New Roman Regular"/>
          <w:kern w:val="0"/>
          <w:sz w:val="24"/>
          <w:lang w:val="en-US" w:bidi="ar"/>
        </w:rPr>
        <w:t>d</w:t>
      </w:r>
      <w:r>
        <w:rPr>
          <w:rFonts w:ascii="Times New Roman Regular" w:hAnsi="Times New Roman Regular" w:eastAsia="宋体" w:cs="Times New Roman Regular"/>
          <w:kern w:val="0"/>
          <w:sz w:val="24"/>
          <w:lang w:bidi="ar"/>
        </w:rPr>
        <w:t xml:space="preserve"> to the enhancement of employment quality.</w:t>
      </w:r>
    </w:p>
    <w:p>
      <w:pPr>
        <w:spacing w:before="157" w:beforeLines="50" w:after="157" w:afterLines="50"/>
        <w:rPr>
          <w:rFonts w:hint="default" w:ascii="Times New Roman Bold Italic" w:hAnsi="Times New Roman Bold Italic" w:cs="Times New Roman Bold Italic" w:eastAsiaTheme="minorEastAsia"/>
          <w:b/>
          <w:i/>
          <w:iCs/>
          <w:sz w:val="24"/>
          <w:lang w:val="en-US" w:eastAsia="zh-CN"/>
        </w:rPr>
      </w:pPr>
      <w:r>
        <w:rPr>
          <w:rFonts w:hint="default" w:ascii="Times New Roman Bold Italic" w:hAnsi="Times New Roman Bold Italic" w:cs="Times New Roman Bold Italic"/>
          <w:b/>
          <w:i/>
          <w:iCs/>
          <w:sz w:val="24"/>
          <w:lang w:val="en-US" w:eastAsia="zh-CN"/>
        </w:rPr>
        <w:t>4.4</w:t>
      </w:r>
      <w:r>
        <w:rPr>
          <w:rFonts w:ascii="Times New Roman Bold Italic" w:hAnsi="Times New Roman Bold Italic" w:cs="Times New Roman Bold Italic"/>
          <w:b/>
          <w:i/>
          <w:iCs/>
          <w:sz w:val="24"/>
        </w:rPr>
        <w:t xml:space="preserve">.2 Market </w:t>
      </w:r>
      <w:r>
        <w:rPr>
          <w:rFonts w:hint="eastAsia" w:ascii="Times New Roman Bold Italic" w:hAnsi="Times New Roman Bold Italic" w:cs="Times New Roman Bold Italic"/>
          <w:b/>
          <w:i/>
          <w:iCs/>
          <w:sz w:val="24"/>
          <w:lang w:val="en-US" w:eastAsia="zh-CN"/>
        </w:rPr>
        <w:t>d</w:t>
      </w:r>
      <w:r>
        <w:rPr>
          <w:rFonts w:ascii="Times New Roman Bold Italic" w:hAnsi="Times New Roman Bold Italic" w:cs="Times New Roman Bold Italic"/>
          <w:b/>
          <w:bCs/>
          <w:i/>
          <w:iCs/>
          <w:sz w:val="24"/>
        </w:rPr>
        <w:t xml:space="preserve">evelopment </w:t>
      </w:r>
      <w:r>
        <w:rPr>
          <w:rFonts w:hint="eastAsia" w:ascii="Times New Roman Bold Italic" w:hAnsi="Times New Roman Bold Italic" w:cs="Times New Roman Bold Italic"/>
          <w:b/>
          <w:bCs/>
          <w:i/>
          <w:iCs/>
          <w:sz w:val="24"/>
          <w:lang w:val="en-US" w:eastAsia="zh-CN"/>
        </w:rPr>
        <w:t>e</w:t>
      </w:r>
      <w:r>
        <w:rPr>
          <w:rFonts w:ascii="Times New Roman Bold Italic" w:hAnsi="Times New Roman Bold Italic" w:cs="Times New Roman Bold Italic"/>
          <w:b/>
          <w:i/>
          <w:iCs/>
          <w:sz w:val="24"/>
        </w:rPr>
        <w:t>ffect</w:t>
      </w:r>
    </w:p>
    <w:p>
      <w:pPr>
        <w:pStyle w:val="8"/>
        <w:widowControl/>
        <w:spacing w:beforeAutospacing="0" w:after="157" w:afterLines="50" w:afterAutospacing="0"/>
        <w:ind w:firstLine="240" w:firstLineChars="100"/>
        <w:jc w:val="both"/>
        <w:rPr>
          <w:rFonts w:ascii="Times New Roman Regular" w:hAnsi="Times New Roman Regular" w:cs="Times New Roman Regular"/>
        </w:rPr>
      </w:pPr>
      <w:r>
        <w:rPr>
          <w:rFonts w:ascii="Times New Roman Regular" w:hAnsi="Times New Roman Regular" w:cs="Times New Roman Regular"/>
        </w:rPr>
        <w:t>To explore whether the improvement in employment quality brought about by the new-type urbanization policy operates through better market development, we examine</w:t>
      </w:r>
      <w:r>
        <w:rPr>
          <w:rFonts w:hint="default" w:ascii="Times New Roman Regular" w:hAnsi="Times New Roman Regular" w:cs="Times New Roman Regular"/>
          <w:lang w:val="en-US"/>
        </w:rPr>
        <w:t>d</w:t>
      </w:r>
      <w:r>
        <w:rPr>
          <w:rFonts w:ascii="Times New Roman Regular" w:hAnsi="Times New Roman Regular" w:cs="Times New Roman Regular"/>
        </w:rPr>
        <w:t xml:space="preserve"> two key dimensions of the market environment: the development of the product market and the factor market. Column (</w:t>
      </w:r>
      <w:r>
        <w:rPr>
          <w:rFonts w:hint="default" w:ascii="Times New Roman Regular" w:hAnsi="Times New Roman Regular" w:cs="Times New Roman Regular"/>
          <w:lang w:val="en-US"/>
        </w:rPr>
        <w:t>3</w:t>
      </w:r>
      <w:r>
        <w:rPr>
          <w:rFonts w:ascii="Times New Roman Regular" w:hAnsi="Times New Roman Regular" w:cs="Times New Roman Regular"/>
        </w:rPr>
        <w:t>) of Table 1 present</w:t>
      </w:r>
      <w:r>
        <w:rPr>
          <w:rFonts w:hint="default" w:ascii="Times New Roman Regular" w:hAnsi="Times New Roman Regular" w:cs="Times New Roman Regular"/>
          <w:lang w:val="en-US"/>
        </w:rPr>
        <w:t>ed</w:t>
      </w:r>
      <w:r>
        <w:rPr>
          <w:rFonts w:ascii="Times New Roman Regular" w:hAnsi="Times New Roman Regular" w:cs="Times New Roman Regular"/>
        </w:rPr>
        <w:t xml:space="preserve"> the effect of the policy on the product market index, while Column (</w:t>
      </w:r>
      <w:r>
        <w:rPr>
          <w:rFonts w:hint="default" w:ascii="Times New Roman Regular" w:hAnsi="Times New Roman Regular" w:cs="Times New Roman Regular"/>
          <w:lang w:val="en-US"/>
        </w:rPr>
        <w:t>4</w:t>
      </w:r>
      <w:r>
        <w:rPr>
          <w:rFonts w:ascii="Times New Roman Regular" w:hAnsi="Times New Roman Regular" w:cs="Times New Roman Regular"/>
        </w:rPr>
        <w:t>) reports the results for the factor market index. The coefficient on the policy variable  is 0.3</w:t>
      </w:r>
      <w:r>
        <w:rPr>
          <w:rFonts w:hint="default" w:ascii="Times New Roman Regular" w:hAnsi="Times New Roman Regular" w:cs="Times New Roman Regular"/>
          <w:lang w:val="en-US"/>
        </w:rPr>
        <w:t>334</w:t>
      </w:r>
      <w:r>
        <w:rPr>
          <w:rFonts w:ascii="Times New Roman Regular" w:hAnsi="Times New Roman Regular" w:cs="Times New Roman Regular"/>
        </w:rPr>
        <w:t xml:space="preserve"> in Column (</w:t>
      </w:r>
      <w:r>
        <w:rPr>
          <w:rFonts w:hint="default" w:ascii="Times New Roman Regular" w:hAnsi="Times New Roman Regular" w:cs="Times New Roman Regular"/>
          <w:lang w:val="en-US"/>
        </w:rPr>
        <w:t>3</w:t>
      </w:r>
      <w:r>
        <w:rPr>
          <w:rFonts w:ascii="Times New Roman Regular" w:hAnsi="Times New Roman Regular" w:cs="Times New Roman Regular"/>
        </w:rPr>
        <w:t>) and 0.</w:t>
      </w:r>
      <w:r>
        <w:rPr>
          <w:rFonts w:hint="default" w:ascii="Times New Roman Regular" w:hAnsi="Times New Roman Regular" w:cs="Times New Roman Regular"/>
          <w:lang w:val="en-US"/>
        </w:rPr>
        <w:t>2339</w:t>
      </w:r>
      <w:r>
        <w:rPr>
          <w:rFonts w:ascii="Times New Roman Regular" w:hAnsi="Times New Roman Regular" w:cs="Times New Roman Regular"/>
        </w:rPr>
        <w:t xml:space="preserve"> in Column (</w:t>
      </w:r>
      <w:r>
        <w:rPr>
          <w:rFonts w:hint="default" w:ascii="Times New Roman Regular" w:hAnsi="Times New Roman Regular" w:cs="Times New Roman Regular"/>
          <w:lang w:val="en-US"/>
        </w:rPr>
        <w:t>4</w:t>
      </w:r>
      <w:r>
        <w:rPr>
          <w:rFonts w:ascii="Times New Roman Regular" w:hAnsi="Times New Roman Regular" w:cs="Times New Roman Regular"/>
        </w:rPr>
        <w:t>), both statistically significant at the 1% level. These results suggest</w:t>
      </w:r>
      <w:r>
        <w:rPr>
          <w:rFonts w:hint="default" w:ascii="Times New Roman Regular" w:hAnsi="Times New Roman Regular" w:cs="Times New Roman Regular"/>
          <w:lang w:val="en-US"/>
        </w:rPr>
        <w:t>ed</w:t>
      </w:r>
      <w:r>
        <w:rPr>
          <w:rFonts w:ascii="Times New Roman Regular" w:hAnsi="Times New Roman Regular" w:cs="Times New Roman Regular"/>
        </w:rPr>
        <w:t xml:space="preserve"> that the implementation of the urbanization pilot policy significantly enhances the efficiency and openness of both the product and factor markets. A more developed product market improve</w:t>
      </w:r>
      <w:r>
        <w:rPr>
          <w:rFonts w:hint="default" w:ascii="Times New Roman Regular" w:hAnsi="Times New Roman Regular" w:cs="Times New Roman Regular"/>
          <w:lang w:val="en-US"/>
        </w:rPr>
        <w:t>s</w:t>
      </w:r>
      <w:r>
        <w:rPr>
          <w:rFonts w:ascii="Times New Roman Regular" w:hAnsi="Times New Roman Regular" w:cs="Times New Roman Regular"/>
        </w:rPr>
        <w:t xml:space="preserve"> competitive dynamics and allocative efficiency, while a well-functioning factor market facilitates better labor and capital mobility. Both channels </w:t>
      </w:r>
      <w:r>
        <w:rPr>
          <w:rFonts w:hint="default" w:ascii="Times New Roman Regular" w:hAnsi="Times New Roman Regular" w:cs="Times New Roman Regular"/>
          <w:lang w:val="en-US"/>
        </w:rPr>
        <w:t>were</w:t>
      </w:r>
      <w:r>
        <w:rPr>
          <w:rFonts w:ascii="Times New Roman Regular" w:hAnsi="Times New Roman Regular" w:cs="Times New Roman Regular"/>
        </w:rPr>
        <w:t xml:space="preserve"> conducive to improving employment quality by promoting job matching, wage growth, and skill upgrading.</w:t>
      </w:r>
    </w:p>
    <w:tbl>
      <w:tblPr>
        <w:tblStyle w:val="10"/>
        <w:tblW w:w="0" w:type="auto"/>
        <w:tblInd w:w="0" w:type="dxa"/>
        <w:tblLayout w:type="autofit"/>
        <w:tblCellMar>
          <w:top w:w="0" w:type="dxa"/>
          <w:left w:w="0" w:type="dxa"/>
          <w:bottom w:w="0" w:type="dxa"/>
          <w:right w:w="0" w:type="dxa"/>
        </w:tblCellMar>
      </w:tblPr>
      <w:tblGrid>
        <w:gridCol w:w="1701"/>
        <w:gridCol w:w="1701"/>
        <w:gridCol w:w="1701"/>
        <w:gridCol w:w="1701"/>
        <w:gridCol w:w="1701"/>
      </w:tblGrid>
      <w:tr>
        <w:tc>
          <w:tcPr>
            <w:tcW w:w="8505" w:type="dxa"/>
            <w:gridSpan w:val="5"/>
            <w:tcBorders>
              <w:top w:val="nil"/>
              <w:left w:val="nil"/>
              <w:bottom w:val="double" w:color="auto" w:sz="4" w:space="0"/>
              <w:right w:val="nil"/>
            </w:tcBorders>
            <w:shd w:val="clear" w:color="auto" w:fill="auto"/>
            <w:tcMar>
              <w:left w:w="100" w:type="dxa"/>
              <w:right w:w="100" w:type="dxa"/>
            </w:tcMar>
            <w:vAlign w:val="center"/>
          </w:tcPr>
          <w:p>
            <w:pPr>
              <w:rPr>
                <w:rFonts w:ascii="Times New Roman Bold" w:hAnsi="Times New Roman Bold" w:cs="Times New Roman Bold"/>
                <w:b/>
                <w:sz w:val="20"/>
                <w:szCs w:val="20"/>
              </w:rPr>
            </w:pPr>
            <w:r>
              <w:rPr>
                <w:rFonts w:ascii="Times New Roman Bold" w:hAnsi="Times New Roman Bold" w:cs="Times New Roman Bold"/>
                <w:b/>
                <w:sz w:val="20"/>
                <w:szCs w:val="20"/>
              </w:rPr>
              <w:t>Table</w:t>
            </w:r>
            <w:r>
              <w:rPr>
                <w:rFonts w:hint="eastAsia" w:ascii="Times New Roman Bold" w:hAnsi="Times New Roman Bold" w:cs="Times New Roman Bold"/>
                <w:b/>
                <w:sz w:val="20"/>
                <w:szCs w:val="20"/>
                <w:lang w:val="en-US" w:eastAsia="zh-CN"/>
              </w:rPr>
              <w:t xml:space="preserve"> </w:t>
            </w:r>
            <w:r>
              <w:rPr>
                <w:rFonts w:hint="eastAsia" w:ascii="Times New Roman Bold" w:hAnsi="Times New Roman Bold" w:cs="Times New Roman Bold"/>
                <w:b/>
                <w:sz w:val="20"/>
                <w:szCs w:val="20"/>
              </w:rPr>
              <w:t>10</w:t>
            </w:r>
            <w:r>
              <w:rPr>
                <w:rFonts w:ascii="Times New Roman Regular" w:hAnsi="Times New Roman Regular" w:cs="Times New Roman Regular"/>
                <w:b/>
                <w:sz w:val="20"/>
                <w:szCs w:val="20"/>
              </w:rPr>
              <w:t xml:space="preserve"> </w:t>
            </w:r>
            <w:r>
              <w:rPr>
                <w:rFonts w:ascii="Times New Roman Regular" w:hAnsi="Times New Roman Regular" w:cs="Times New Roman Regular"/>
                <w:bCs/>
                <w:sz w:val="20"/>
                <w:szCs w:val="20"/>
              </w:rPr>
              <w:t>Mediation effect</w:t>
            </w:r>
            <w:r>
              <w:rPr>
                <w:rFonts w:hint="eastAsia" w:ascii="Times New Roman Regular" w:hAnsi="Times New Roman Regular" w:cs="Times New Roman Regular"/>
                <w:bCs/>
                <w:sz w:val="20"/>
                <w:szCs w:val="20"/>
              </w:rPr>
              <w:t>s</w:t>
            </w:r>
          </w:p>
        </w:tc>
      </w:tr>
      <w:tr>
        <w:tc>
          <w:tcPr>
            <w:tcW w:w="1701" w:type="dxa"/>
            <w:tcBorders>
              <w:top w:val="double" w:color="auto" w:sz="4" w:space="0"/>
              <w:left w:val="nil"/>
              <w:bottom w:val="single" w:color="auto" w:sz="4" w:space="0"/>
              <w:right w:val="nil"/>
            </w:tcBorders>
            <w:shd w:val="clear" w:color="auto" w:fill="auto"/>
            <w:tcMar>
              <w:left w:w="100" w:type="dxa"/>
              <w:right w:w="100" w:type="dxa"/>
            </w:tcMar>
            <w:vAlign w:val="center"/>
          </w:tcPr>
          <w:p>
            <w:pPr>
              <w:pStyle w:val="18"/>
              <w:widowControl/>
              <w:jc w:val="both"/>
              <w:rPr>
                <w:rFonts w:ascii="Times New Roman Regular" w:hAnsi="Times New Roman Regular" w:cs="Times New Roman Regular"/>
                <w:sz w:val="20"/>
                <w:szCs w:val="20"/>
              </w:rPr>
            </w:pPr>
          </w:p>
        </w:tc>
        <w:tc>
          <w:tcPr>
            <w:tcW w:w="1701" w:type="dxa"/>
            <w:tcBorders>
              <w:top w:val="double" w:color="auto" w:sz="4" w:space="0"/>
              <w:left w:val="nil"/>
              <w:bottom w:val="single" w:color="auto" w:sz="4" w:space="0"/>
              <w:right w:val="nil"/>
            </w:tcBorders>
            <w:shd w:val="clear" w:color="auto" w:fill="auto"/>
            <w:tcMar>
              <w:left w:w="100" w:type="dxa"/>
              <w:right w:w="100" w:type="dxa"/>
            </w:tcMar>
            <w:vAlign w:val="center"/>
          </w:tcPr>
          <w:p>
            <w:pPr>
              <w:pStyle w:val="19"/>
              <w:widowControl/>
              <w:rPr>
                <w:rFonts w:ascii="Times New Roman Regular" w:hAnsi="Times New Roman Regular" w:cs="Times New Roman Regular"/>
                <w:sz w:val="20"/>
                <w:szCs w:val="20"/>
              </w:rPr>
            </w:pPr>
            <w:r>
              <w:rPr>
                <w:rFonts w:ascii="Times New Roman Regular" w:hAnsi="Times New Roman Regular" w:cs="Times New Roman Regular"/>
                <w:sz w:val="20"/>
                <w:szCs w:val="20"/>
              </w:rPr>
              <w:t>(1)</w:t>
            </w:r>
          </w:p>
        </w:tc>
        <w:tc>
          <w:tcPr>
            <w:tcW w:w="1701" w:type="dxa"/>
            <w:tcBorders>
              <w:top w:val="double" w:color="auto" w:sz="4" w:space="0"/>
              <w:left w:val="nil"/>
              <w:bottom w:val="single" w:color="auto" w:sz="4" w:space="0"/>
              <w:right w:val="nil"/>
            </w:tcBorders>
            <w:shd w:val="clear" w:color="auto" w:fill="auto"/>
            <w:tcMar>
              <w:left w:w="100" w:type="dxa"/>
              <w:right w:w="100" w:type="dxa"/>
            </w:tcMar>
            <w:vAlign w:val="center"/>
          </w:tcPr>
          <w:p>
            <w:pPr>
              <w:pStyle w:val="19"/>
              <w:widowControl/>
              <w:rPr>
                <w:rFonts w:ascii="Times New Roman Regular" w:hAnsi="Times New Roman Regular" w:cs="Times New Roman Regular"/>
                <w:sz w:val="20"/>
                <w:szCs w:val="20"/>
              </w:rPr>
            </w:pPr>
            <w:r>
              <w:rPr>
                <w:rFonts w:ascii="Times New Roman Regular" w:hAnsi="Times New Roman Regular" w:cs="Times New Roman Regular"/>
                <w:sz w:val="20"/>
                <w:szCs w:val="20"/>
              </w:rPr>
              <w:t>(2)</w:t>
            </w:r>
          </w:p>
        </w:tc>
        <w:tc>
          <w:tcPr>
            <w:tcW w:w="1701" w:type="dxa"/>
            <w:tcBorders>
              <w:top w:val="double" w:color="auto" w:sz="4" w:space="0"/>
              <w:left w:val="nil"/>
              <w:bottom w:val="single" w:color="auto" w:sz="4" w:space="0"/>
              <w:right w:val="nil"/>
            </w:tcBorders>
            <w:shd w:val="clear" w:color="auto" w:fill="auto"/>
            <w:tcMar>
              <w:left w:w="100" w:type="dxa"/>
              <w:right w:w="100" w:type="dxa"/>
            </w:tcMar>
            <w:vAlign w:val="center"/>
          </w:tcPr>
          <w:p>
            <w:pPr>
              <w:pStyle w:val="19"/>
              <w:widowControl/>
              <w:rPr>
                <w:rFonts w:ascii="Times New Roman Regular" w:hAnsi="Times New Roman Regular" w:cs="Times New Roman Regular"/>
                <w:sz w:val="20"/>
                <w:szCs w:val="20"/>
              </w:rPr>
            </w:pPr>
            <w:r>
              <w:rPr>
                <w:rFonts w:ascii="Times New Roman Regular" w:hAnsi="Times New Roman Regular" w:cs="Times New Roman Regular"/>
                <w:sz w:val="20"/>
                <w:szCs w:val="20"/>
              </w:rPr>
              <w:t>(</w:t>
            </w:r>
            <w:r>
              <w:rPr>
                <w:rFonts w:hint="eastAsia" w:ascii="Times New Roman Regular" w:hAnsi="Times New Roman Regular" w:cs="Times New Roman Regular"/>
                <w:sz w:val="20"/>
                <w:szCs w:val="20"/>
              </w:rPr>
              <w:t>3</w:t>
            </w:r>
            <w:r>
              <w:rPr>
                <w:rFonts w:ascii="Times New Roman Regular" w:hAnsi="Times New Roman Regular" w:cs="Times New Roman Regular"/>
                <w:sz w:val="20"/>
                <w:szCs w:val="20"/>
              </w:rPr>
              <w:t>)</w:t>
            </w:r>
          </w:p>
        </w:tc>
        <w:tc>
          <w:tcPr>
            <w:tcW w:w="1701" w:type="dxa"/>
            <w:tcBorders>
              <w:top w:val="double" w:color="auto" w:sz="4" w:space="0"/>
              <w:left w:val="nil"/>
              <w:bottom w:val="single" w:color="auto" w:sz="4" w:space="0"/>
              <w:right w:val="nil"/>
            </w:tcBorders>
            <w:shd w:val="clear" w:color="auto" w:fill="auto"/>
            <w:tcMar>
              <w:left w:w="100" w:type="dxa"/>
              <w:right w:w="100" w:type="dxa"/>
            </w:tcMar>
            <w:vAlign w:val="center"/>
          </w:tcPr>
          <w:p>
            <w:pPr>
              <w:pStyle w:val="19"/>
              <w:widowControl/>
              <w:rPr>
                <w:rFonts w:ascii="Times New Roman Regular" w:hAnsi="Times New Roman Regular" w:cs="Times New Roman Regular"/>
                <w:sz w:val="20"/>
                <w:szCs w:val="20"/>
              </w:rPr>
            </w:pPr>
            <w:r>
              <w:rPr>
                <w:rFonts w:ascii="Times New Roman Regular" w:hAnsi="Times New Roman Regular" w:cs="Times New Roman Regular"/>
                <w:sz w:val="20"/>
                <w:szCs w:val="20"/>
              </w:rPr>
              <w:t>(</w:t>
            </w:r>
            <w:r>
              <w:rPr>
                <w:rFonts w:hint="eastAsia" w:ascii="Times New Roman Regular" w:hAnsi="Times New Roman Regular" w:cs="Times New Roman Regular"/>
                <w:sz w:val="20"/>
                <w:szCs w:val="20"/>
              </w:rPr>
              <w:t>4</w:t>
            </w:r>
            <w:r>
              <w:rPr>
                <w:rFonts w:ascii="Times New Roman Regular" w:hAnsi="Times New Roman Regular" w:cs="Times New Roman Regular"/>
                <w:sz w:val="20"/>
                <w:szCs w:val="20"/>
              </w:rPr>
              <w:t>)</w:t>
            </w:r>
          </w:p>
        </w:tc>
      </w:tr>
      <w:tr>
        <w:tc>
          <w:tcPr>
            <w:tcW w:w="1701" w:type="dxa"/>
            <w:tcBorders>
              <w:top w:val="double" w:color="auto" w:sz="4" w:space="0"/>
              <w:left w:val="nil"/>
              <w:bottom w:val="single" w:color="auto" w:sz="4" w:space="0"/>
              <w:right w:val="nil"/>
            </w:tcBorders>
            <w:shd w:val="clear" w:color="auto" w:fill="auto"/>
            <w:tcMar>
              <w:left w:w="100" w:type="dxa"/>
              <w:right w:w="100" w:type="dxa"/>
            </w:tcMar>
            <w:vAlign w:val="center"/>
          </w:tcPr>
          <w:p>
            <w:pPr>
              <w:pStyle w:val="18"/>
              <w:widowControl/>
              <w:jc w:val="both"/>
              <w:rPr>
                <w:rFonts w:ascii="Times New Roman Regular" w:hAnsi="Times New Roman Regular" w:cs="Times New Roman Regular"/>
                <w:sz w:val="20"/>
                <w:szCs w:val="20"/>
              </w:rPr>
            </w:pPr>
          </w:p>
        </w:tc>
        <w:tc>
          <w:tcPr>
            <w:tcW w:w="3402" w:type="dxa"/>
            <w:gridSpan w:val="2"/>
            <w:tcBorders>
              <w:top w:val="double" w:color="auto" w:sz="4" w:space="0"/>
              <w:left w:val="nil"/>
              <w:bottom w:val="single" w:color="auto" w:sz="4" w:space="0"/>
              <w:right w:val="nil"/>
            </w:tcBorders>
            <w:shd w:val="clear" w:color="auto" w:fill="auto"/>
            <w:tcMar>
              <w:left w:w="100" w:type="dxa"/>
              <w:right w:w="100" w:type="dxa"/>
            </w:tcMar>
            <w:vAlign w:val="center"/>
          </w:tcPr>
          <w:p>
            <w:pPr>
              <w:pStyle w:val="19"/>
              <w:widowControl/>
              <w:rPr>
                <w:rFonts w:ascii="Times New Roman Regular" w:hAnsi="Times New Roman Regular" w:cs="Times New Roman Regular"/>
                <w:sz w:val="20"/>
                <w:szCs w:val="20"/>
              </w:rPr>
            </w:pPr>
            <w:r>
              <w:rPr>
                <w:rFonts w:ascii="Times New Roman Regular" w:hAnsi="Times New Roman Regular" w:cs="Times New Roman Regular"/>
                <w:bCs/>
                <w:sz w:val="20"/>
                <w:szCs w:val="20"/>
              </w:rPr>
              <w:t>Human Capital</w:t>
            </w:r>
          </w:p>
        </w:tc>
        <w:tc>
          <w:tcPr>
            <w:tcW w:w="3402" w:type="dxa"/>
            <w:gridSpan w:val="2"/>
            <w:tcBorders>
              <w:top w:val="double" w:color="auto" w:sz="4" w:space="0"/>
              <w:left w:val="nil"/>
              <w:bottom w:val="single" w:color="auto" w:sz="4" w:space="0"/>
              <w:right w:val="nil"/>
            </w:tcBorders>
            <w:shd w:val="clear" w:color="auto" w:fill="auto"/>
            <w:tcMar>
              <w:left w:w="100" w:type="dxa"/>
              <w:right w:w="100" w:type="dxa"/>
            </w:tcMar>
            <w:vAlign w:val="center"/>
          </w:tcPr>
          <w:p>
            <w:pPr>
              <w:pStyle w:val="19"/>
              <w:widowControl/>
              <w:rPr>
                <w:rFonts w:ascii="Times New Roman Regular" w:hAnsi="Times New Roman Regular" w:cs="Times New Roman Regular"/>
                <w:sz w:val="20"/>
                <w:szCs w:val="20"/>
              </w:rPr>
            </w:pPr>
            <w:r>
              <w:rPr>
                <w:rFonts w:ascii="Times New Roman Regular" w:hAnsi="Times New Roman Regular" w:cs="Times New Roman Regular"/>
                <w:bCs/>
                <w:sz w:val="20"/>
                <w:szCs w:val="20"/>
              </w:rPr>
              <w:t>Market Development</w:t>
            </w:r>
          </w:p>
        </w:tc>
      </w:tr>
      <w:tr>
        <w:tc>
          <w:tcPr>
            <w:tcW w:w="1701" w:type="dxa"/>
            <w:tcBorders>
              <w:top w:val="single" w:color="auto" w:sz="4" w:space="0"/>
              <w:left w:val="nil"/>
              <w:bottom w:val="single" w:color="auto" w:sz="4" w:space="0"/>
              <w:right w:val="nil"/>
            </w:tcBorders>
            <w:shd w:val="clear" w:color="auto" w:fill="auto"/>
            <w:tcMar>
              <w:left w:w="100" w:type="dxa"/>
              <w:right w:w="100" w:type="dxa"/>
            </w:tcMar>
            <w:vAlign w:val="center"/>
          </w:tcPr>
          <w:p>
            <w:pPr>
              <w:pStyle w:val="18"/>
              <w:widowControl/>
              <w:jc w:val="both"/>
              <w:rPr>
                <w:rFonts w:ascii="Times New Roman Regular" w:hAnsi="Times New Roman Regular" w:cs="Times New Roman Regular"/>
                <w:i/>
                <w:iCs/>
                <w:sz w:val="20"/>
                <w:szCs w:val="20"/>
              </w:rPr>
            </w:pPr>
          </w:p>
        </w:tc>
        <w:tc>
          <w:tcPr>
            <w:tcW w:w="1701" w:type="dxa"/>
            <w:tcBorders>
              <w:top w:val="single" w:color="auto" w:sz="4" w:space="0"/>
              <w:left w:val="nil"/>
              <w:bottom w:val="single" w:color="auto" w:sz="4" w:space="0"/>
              <w:right w:val="nil"/>
            </w:tcBorders>
            <w:shd w:val="clear" w:color="auto" w:fill="auto"/>
            <w:tcMar>
              <w:left w:w="100" w:type="dxa"/>
              <w:right w:w="100" w:type="dxa"/>
            </w:tcMar>
            <w:vAlign w:val="center"/>
          </w:tcPr>
          <w:p>
            <w:pPr>
              <w:pStyle w:val="19"/>
              <w:widowControl/>
              <w:rPr>
                <w:rFonts w:ascii="Times New Roman Regular" w:hAnsi="Times New Roman Regular" w:cs="Times New Roman Regular"/>
                <w:i/>
                <w:iCs/>
                <w:sz w:val="20"/>
                <w:szCs w:val="20"/>
              </w:rPr>
            </w:pPr>
            <w:r>
              <w:rPr>
                <w:rFonts w:ascii="Times New Roman Regular" w:hAnsi="Times New Roman Regular" w:cs="Times New Roman Regular"/>
                <w:i/>
                <w:iCs/>
                <w:sz w:val="20"/>
                <w:szCs w:val="20"/>
              </w:rPr>
              <w:t>labor1</w:t>
            </w:r>
          </w:p>
        </w:tc>
        <w:tc>
          <w:tcPr>
            <w:tcW w:w="1701" w:type="dxa"/>
            <w:tcBorders>
              <w:top w:val="single" w:color="auto" w:sz="4" w:space="0"/>
              <w:left w:val="nil"/>
              <w:bottom w:val="single" w:color="auto" w:sz="4" w:space="0"/>
              <w:right w:val="nil"/>
            </w:tcBorders>
            <w:shd w:val="clear" w:color="auto" w:fill="auto"/>
            <w:tcMar>
              <w:left w:w="100" w:type="dxa"/>
              <w:right w:w="100" w:type="dxa"/>
            </w:tcMar>
            <w:vAlign w:val="center"/>
          </w:tcPr>
          <w:p>
            <w:pPr>
              <w:pStyle w:val="19"/>
              <w:widowControl/>
              <w:rPr>
                <w:rFonts w:ascii="Times New Roman Regular" w:hAnsi="Times New Roman Regular" w:cs="Times New Roman Regular"/>
                <w:i/>
                <w:iCs/>
                <w:sz w:val="20"/>
                <w:szCs w:val="20"/>
              </w:rPr>
            </w:pPr>
            <w:r>
              <w:rPr>
                <w:rFonts w:ascii="Times New Roman Regular" w:hAnsi="Times New Roman Regular" w:cs="Times New Roman Regular"/>
                <w:i/>
                <w:iCs/>
                <w:sz w:val="20"/>
                <w:szCs w:val="20"/>
              </w:rPr>
              <w:t>labor2</w:t>
            </w:r>
          </w:p>
        </w:tc>
        <w:tc>
          <w:tcPr>
            <w:tcW w:w="1701" w:type="dxa"/>
            <w:tcBorders>
              <w:top w:val="single" w:color="auto" w:sz="4" w:space="0"/>
              <w:left w:val="nil"/>
              <w:bottom w:val="single" w:color="auto" w:sz="4" w:space="0"/>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i/>
                <w:iCs/>
                <w:sz w:val="20"/>
                <w:szCs w:val="20"/>
              </w:rPr>
            </w:pPr>
            <w:r>
              <w:rPr>
                <w:rFonts w:ascii="Times New Roman Regular" w:hAnsi="Times New Roman Regular" w:cs="Times New Roman Regular"/>
                <w:i/>
                <w:iCs/>
                <w:sz w:val="20"/>
                <w:szCs w:val="20"/>
                <w:lang w:bidi="ar"/>
              </w:rPr>
              <w:t>productmarket</w:t>
            </w:r>
          </w:p>
        </w:tc>
        <w:tc>
          <w:tcPr>
            <w:tcW w:w="1701" w:type="dxa"/>
            <w:tcBorders>
              <w:top w:val="single" w:color="auto" w:sz="4" w:space="0"/>
              <w:left w:val="nil"/>
              <w:bottom w:val="single" w:color="auto" w:sz="4" w:space="0"/>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i/>
                <w:iCs/>
                <w:sz w:val="20"/>
                <w:szCs w:val="20"/>
              </w:rPr>
            </w:pPr>
            <w:r>
              <w:rPr>
                <w:rFonts w:ascii="Times New Roman Regular" w:hAnsi="Times New Roman Regular" w:cs="Times New Roman Regular"/>
                <w:i/>
                <w:iCs/>
                <w:sz w:val="20"/>
                <w:szCs w:val="20"/>
                <w:lang w:bidi="ar"/>
              </w:rPr>
              <w:t>factormarket</w:t>
            </w:r>
          </w:p>
        </w:tc>
      </w:tr>
      <w:tr>
        <w:tc>
          <w:tcPr>
            <w:tcW w:w="1701" w:type="dxa"/>
            <w:tcBorders>
              <w:top w:val="single" w:color="auto" w:sz="4" w:space="0"/>
              <w:left w:val="nil"/>
              <w:bottom w:val="nil"/>
              <w:right w:val="nil"/>
            </w:tcBorders>
            <w:shd w:val="clear" w:color="auto" w:fill="auto"/>
            <w:tcMar>
              <w:left w:w="100" w:type="dxa"/>
              <w:right w:w="100" w:type="dxa"/>
            </w:tcMar>
            <w:vAlign w:val="center"/>
          </w:tcPr>
          <w:p>
            <w:pPr>
              <w:pStyle w:val="20"/>
              <w:widowControl/>
              <w:jc w:val="both"/>
              <w:rPr>
                <w:rFonts w:ascii="Times New Roman Regular" w:hAnsi="Times New Roman Regular" w:cs="Times New Roman Regular"/>
                <w:sz w:val="20"/>
                <w:szCs w:val="20"/>
              </w:rPr>
            </w:pPr>
            <w:r>
              <w:rPr>
                <w:rFonts w:ascii="Times New Roman Regular" w:hAnsi="Times New Roman Regular" w:cs="Times New Roman Regular"/>
                <w:i/>
                <w:iCs/>
                <w:sz w:val="20"/>
                <w:szCs w:val="20"/>
              </w:rPr>
              <w:t>treat*post</w:t>
            </w:r>
          </w:p>
        </w:tc>
        <w:tc>
          <w:tcPr>
            <w:tcW w:w="1701" w:type="dxa"/>
            <w:tcBorders>
              <w:top w:val="single" w:color="auto" w:sz="4" w:space="0"/>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sz w:val="20"/>
                <w:szCs w:val="20"/>
              </w:rPr>
            </w:pPr>
            <w:r>
              <w:rPr>
                <w:rFonts w:hint="default" w:ascii="Times New Roman" w:hAnsi="Times New Roman" w:cs="Times New Roman"/>
                <w:kern w:val="0"/>
                <w:sz w:val="20"/>
                <w:szCs w:val="20"/>
                <w:lang w:val="en-US" w:eastAsia="zh-CN" w:bidi="ar"/>
              </w:rPr>
              <w:t>0.0014</w:t>
            </w:r>
            <w:r>
              <w:rPr>
                <w:rFonts w:hint="default" w:ascii="Times New Roman" w:hAnsi="Times New Roman" w:cs="Times New Roman"/>
                <w:kern w:val="0"/>
                <w:sz w:val="20"/>
                <w:szCs w:val="20"/>
                <w:vertAlign w:val="superscript"/>
                <w:lang w:val="en-US" w:eastAsia="zh-CN" w:bidi="ar"/>
              </w:rPr>
              <w:t>***</w:t>
            </w:r>
          </w:p>
        </w:tc>
        <w:tc>
          <w:tcPr>
            <w:tcW w:w="1701" w:type="dxa"/>
            <w:tcBorders>
              <w:top w:val="single" w:color="auto" w:sz="4" w:space="0"/>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sz w:val="20"/>
                <w:szCs w:val="20"/>
              </w:rPr>
            </w:pPr>
            <w:r>
              <w:rPr>
                <w:rFonts w:hint="default" w:ascii="Times New Roman" w:hAnsi="Times New Roman" w:cs="Times New Roman"/>
                <w:kern w:val="0"/>
                <w:sz w:val="20"/>
                <w:szCs w:val="20"/>
                <w:lang w:val="en-US" w:eastAsia="zh-CN" w:bidi="ar"/>
              </w:rPr>
              <w:t>0.0110</w:t>
            </w:r>
            <w:r>
              <w:rPr>
                <w:rFonts w:hint="default" w:ascii="Times New Roman" w:hAnsi="Times New Roman" w:cs="Times New Roman"/>
                <w:kern w:val="0"/>
                <w:sz w:val="20"/>
                <w:szCs w:val="20"/>
                <w:vertAlign w:val="superscript"/>
                <w:lang w:val="en-US" w:eastAsia="zh-CN" w:bidi="ar"/>
              </w:rPr>
              <w:t>***</w:t>
            </w:r>
          </w:p>
        </w:tc>
        <w:tc>
          <w:tcPr>
            <w:tcW w:w="1701" w:type="dxa"/>
            <w:tcBorders>
              <w:top w:val="single" w:color="auto" w:sz="4" w:space="0"/>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w:hAnsi="Times New Roman"/>
                <w:sz w:val="20"/>
                <w:szCs w:val="20"/>
              </w:rPr>
            </w:pPr>
            <w:r>
              <w:rPr>
                <w:rFonts w:hint="default" w:ascii="Times New Roman" w:hAnsi="Times New Roman" w:cs="Times New Roman"/>
                <w:kern w:val="0"/>
                <w:sz w:val="20"/>
                <w:szCs w:val="20"/>
                <w:lang w:val="en-US" w:eastAsia="zh-CN" w:bidi="ar"/>
              </w:rPr>
              <w:t>0.3334</w:t>
            </w:r>
            <w:r>
              <w:rPr>
                <w:rFonts w:hint="default" w:ascii="Times New Roman" w:hAnsi="Times New Roman" w:cs="Times New Roman"/>
                <w:kern w:val="0"/>
                <w:sz w:val="20"/>
                <w:szCs w:val="20"/>
                <w:vertAlign w:val="superscript"/>
                <w:lang w:val="en-US" w:eastAsia="zh-CN" w:bidi="ar"/>
              </w:rPr>
              <w:t>***</w:t>
            </w:r>
          </w:p>
        </w:tc>
        <w:tc>
          <w:tcPr>
            <w:tcW w:w="1701" w:type="dxa"/>
            <w:tcBorders>
              <w:top w:val="single" w:color="auto" w:sz="4" w:space="0"/>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w:hAnsi="Times New Roman"/>
                <w:sz w:val="20"/>
                <w:szCs w:val="20"/>
              </w:rPr>
            </w:pPr>
            <w:r>
              <w:rPr>
                <w:rFonts w:hint="default" w:ascii="Times New Roman" w:hAnsi="Times New Roman" w:cs="Times New Roman"/>
                <w:kern w:val="0"/>
                <w:sz w:val="20"/>
                <w:szCs w:val="20"/>
                <w:lang w:val="en-US" w:eastAsia="zh-CN" w:bidi="ar"/>
              </w:rPr>
              <w:t>0.2339</w:t>
            </w:r>
            <w:r>
              <w:rPr>
                <w:rFonts w:hint="default" w:ascii="Times New Roman" w:hAnsi="Times New Roman" w:cs="Times New Roman"/>
                <w:kern w:val="0"/>
                <w:sz w:val="20"/>
                <w:szCs w:val="20"/>
                <w:vertAlign w:val="superscript"/>
                <w:lang w:val="en-US" w:eastAsia="zh-CN" w:bidi="ar"/>
              </w:rPr>
              <w:t>***</w:t>
            </w:r>
          </w:p>
        </w:tc>
      </w:tr>
      <w:tr>
        <w:tc>
          <w:tcPr>
            <w:tcW w:w="1701" w:type="dxa"/>
            <w:tcBorders>
              <w:top w:val="nil"/>
              <w:left w:val="nil"/>
              <w:bottom w:val="nil"/>
              <w:right w:val="nil"/>
            </w:tcBorders>
            <w:shd w:val="clear" w:color="auto" w:fill="auto"/>
            <w:tcMar>
              <w:left w:w="100" w:type="dxa"/>
              <w:right w:w="100" w:type="dxa"/>
            </w:tcMar>
            <w:vAlign w:val="center"/>
          </w:tcPr>
          <w:p>
            <w:pPr>
              <w:pStyle w:val="18"/>
              <w:widowControl/>
              <w:jc w:val="both"/>
              <w:rPr>
                <w:rFonts w:ascii="Times New Roman Regular" w:hAnsi="Times New Roman Regular" w:cs="Times New Roman Regular"/>
                <w:sz w:val="20"/>
                <w:szCs w:val="20"/>
              </w:rPr>
            </w:pPr>
          </w:p>
        </w:tc>
        <w:tc>
          <w:tcPr>
            <w:tcW w:w="17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sz w:val="20"/>
                <w:szCs w:val="20"/>
              </w:rPr>
            </w:pPr>
            <w:r>
              <w:rPr>
                <w:rFonts w:hint="default" w:ascii="Times New Roman" w:hAnsi="Times New Roman" w:cs="Times New Roman"/>
                <w:kern w:val="0"/>
                <w:sz w:val="20"/>
                <w:szCs w:val="20"/>
                <w:lang w:val="en-US" w:eastAsia="zh-CN" w:bidi="ar"/>
              </w:rPr>
              <w:t>(0.0003)</w:t>
            </w:r>
          </w:p>
        </w:tc>
        <w:tc>
          <w:tcPr>
            <w:tcW w:w="17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sz w:val="20"/>
                <w:szCs w:val="20"/>
              </w:rPr>
            </w:pPr>
            <w:r>
              <w:rPr>
                <w:rFonts w:hint="default" w:ascii="Times New Roman" w:hAnsi="Times New Roman" w:cs="Times New Roman"/>
                <w:kern w:val="0"/>
                <w:sz w:val="20"/>
                <w:szCs w:val="20"/>
                <w:lang w:val="en-US" w:eastAsia="zh-CN" w:bidi="ar"/>
              </w:rPr>
              <w:t>(0.0021)</w:t>
            </w:r>
          </w:p>
        </w:tc>
        <w:tc>
          <w:tcPr>
            <w:tcW w:w="17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w:hAnsi="Times New Roman"/>
                <w:sz w:val="20"/>
                <w:szCs w:val="20"/>
              </w:rPr>
            </w:pPr>
            <w:r>
              <w:rPr>
                <w:rFonts w:hint="default" w:ascii="Times New Roman" w:hAnsi="Times New Roman" w:cs="Times New Roman"/>
                <w:kern w:val="0"/>
                <w:sz w:val="20"/>
                <w:szCs w:val="20"/>
                <w:lang w:val="en-US" w:eastAsia="zh-CN" w:bidi="ar"/>
              </w:rPr>
              <w:t>(0.0516)</w:t>
            </w:r>
          </w:p>
        </w:tc>
        <w:tc>
          <w:tcPr>
            <w:tcW w:w="17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w:hAnsi="Times New Roman"/>
                <w:sz w:val="20"/>
                <w:szCs w:val="20"/>
              </w:rPr>
            </w:pPr>
            <w:r>
              <w:rPr>
                <w:rFonts w:hint="default" w:ascii="Times New Roman" w:hAnsi="Times New Roman" w:cs="Times New Roman"/>
                <w:kern w:val="0"/>
                <w:sz w:val="20"/>
                <w:szCs w:val="20"/>
                <w:lang w:val="en-US" w:eastAsia="zh-CN" w:bidi="ar"/>
              </w:rPr>
              <w:t>(0.0649)</w:t>
            </w:r>
          </w:p>
        </w:tc>
      </w:tr>
      <w:tr>
        <w:tc>
          <w:tcPr>
            <w:tcW w:w="1701" w:type="dxa"/>
            <w:tcBorders>
              <w:top w:val="nil"/>
              <w:left w:val="nil"/>
              <w:bottom w:val="nil"/>
              <w:right w:val="nil"/>
            </w:tcBorders>
            <w:shd w:val="clear" w:color="auto" w:fill="auto"/>
            <w:tcMar>
              <w:left w:w="100" w:type="dxa"/>
              <w:right w:w="100" w:type="dxa"/>
            </w:tcMar>
            <w:vAlign w:val="center"/>
          </w:tcPr>
          <w:p>
            <w:pPr>
              <w:pStyle w:val="20"/>
              <w:widowControl/>
              <w:jc w:val="both"/>
              <w:rPr>
                <w:rFonts w:ascii="Times New Roman Regular" w:hAnsi="Times New Roman Regular" w:cs="Times New Roman Regular"/>
                <w:sz w:val="20"/>
                <w:szCs w:val="20"/>
              </w:rPr>
            </w:pPr>
            <w:r>
              <w:rPr>
                <w:rFonts w:ascii="Times New Roman Regular" w:hAnsi="Times New Roman Regular" w:cs="Times New Roman Regular"/>
                <w:sz w:val="20"/>
                <w:szCs w:val="20"/>
              </w:rPr>
              <w:t>_cons</w:t>
            </w:r>
          </w:p>
        </w:tc>
        <w:tc>
          <w:tcPr>
            <w:tcW w:w="17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0.0088</w:t>
            </w:r>
            <w:r>
              <w:rPr>
                <w:rFonts w:hint="default" w:ascii="Times New Roman" w:hAnsi="Times New Roman" w:cs="Times New Roman"/>
                <w:kern w:val="0"/>
                <w:sz w:val="20"/>
                <w:szCs w:val="20"/>
                <w:vertAlign w:val="superscript"/>
                <w:lang w:val="en-US" w:eastAsia="zh-CN" w:bidi="ar"/>
              </w:rPr>
              <w:t>***</w:t>
            </w:r>
          </w:p>
        </w:tc>
        <w:tc>
          <w:tcPr>
            <w:tcW w:w="17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0.0582</w:t>
            </w:r>
            <w:r>
              <w:rPr>
                <w:rFonts w:hint="default" w:ascii="Times New Roman" w:hAnsi="Times New Roman" w:cs="Times New Roman"/>
                <w:kern w:val="0"/>
                <w:sz w:val="20"/>
                <w:szCs w:val="20"/>
                <w:vertAlign w:val="superscript"/>
                <w:lang w:val="en-US" w:eastAsia="zh-CN" w:bidi="ar"/>
              </w:rPr>
              <w:t>***</w:t>
            </w:r>
          </w:p>
        </w:tc>
        <w:tc>
          <w:tcPr>
            <w:tcW w:w="17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8.6553</w:t>
            </w:r>
            <w:r>
              <w:rPr>
                <w:rFonts w:hint="default" w:ascii="Times New Roman" w:hAnsi="Times New Roman" w:cs="Times New Roman"/>
                <w:kern w:val="0"/>
                <w:sz w:val="20"/>
                <w:szCs w:val="20"/>
                <w:vertAlign w:val="superscript"/>
                <w:lang w:val="en-US" w:eastAsia="zh-CN" w:bidi="ar"/>
              </w:rPr>
              <w:t>***</w:t>
            </w:r>
          </w:p>
        </w:tc>
        <w:tc>
          <w:tcPr>
            <w:tcW w:w="17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8.0086</w:t>
            </w:r>
            <w:r>
              <w:rPr>
                <w:rFonts w:hint="default" w:ascii="Times New Roman" w:hAnsi="Times New Roman" w:cs="Times New Roman"/>
                <w:kern w:val="0"/>
                <w:sz w:val="20"/>
                <w:szCs w:val="20"/>
                <w:vertAlign w:val="superscript"/>
                <w:lang w:val="en-US" w:eastAsia="zh-CN" w:bidi="ar"/>
              </w:rPr>
              <w:t>***</w:t>
            </w:r>
          </w:p>
        </w:tc>
      </w:tr>
      <w:tr>
        <w:tc>
          <w:tcPr>
            <w:tcW w:w="1701" w:type="dxa"/>
            <w:tcBorders>
              <w:top w:val="nil"/>
              <w:left w:val="nil"/>
              <w:bottom w:val="nil"/>
              <w:right w:val="nil"/>
            </w:tcBorders>
            <w:shd w:val="clear" w:color="auto" w:fill="auto"/>
            <w:tcMar>
              <w:left w:w="100" w:type="dxa"/>
              <w:right w:w="100" w:type="dxa"/>
            </w:tcMar>
            <w:vAlign w:val="center"/>
          </w:tcPr>
          <w:p>
            <w:pPr>
              <w:pStyle w:val="18"/>
              <w:widowControl/>
              <w:jc w:val="both"/>
              <w:rPr>
                <w:rFonts w:ascii="Times New Roman Regular" w:hAnsi="Times New Roman Regular" w:cs="Times New Roman Regular"/>
                <w:sz w:val="20"/>
                <w:szCs w:val="20"/>
              </w:rPr>
            </w:pPr>
          </w:p>
        </w:tc>
        <w:tc>
          <w:tcPr>
            <w:tcW w:w="17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(0.0016)</w:t>
            </w:r>
          </w:p>
        </w:tc>
        <w:tc>
          <w:tcPr>
            <w:tcW w:w="17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(0.0104)</w:t>
            </w:r>
          </w:p>
        </w:tc>
        <w:tc>
          <w:tcPr>
            <w:tcW w:w="17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(0.2948)</w:t>
            </w:r>
          </w:p>
        </w:tc>
        <w:tc>
          <w:tcPr>
            <w:tcW w:w="17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(0.2070)</w:t>
            </w:r>
          </w:p>
        </w:tc>
      </w:tr>
      <w:tr>
        <w:tc>
          <w:tcPr>
            <w:tcW w:w="1701" w:type="dxa"/>
            <w:tcBorders>
              <w:top w:val="nil"/>
              <w:left w:val="nil"/>
              <w:bottom w:val="nil"/>
              <w:right w:val="nil"/>
            </w:tcBorders>
            <w:shd w:val="clear" w:color="auto" w:fill="auto"/>
            <w:tcMar>
              <w:left w:w="100" w:type="dxa"/>
              <w:right w:w="100" w:type="dxa"/>
            </w:tcMar>
            <w:vAlign w:val="center"/>
          </w:tcPr>
          <w:p>
            <w:pPr>
              <w:pStyle w:val="20"/>
              <w:widowControl/>
              <w:jc w:val="both"/>
              <w:rPr>
                <w:rFonts w:ascii="Times New Roman Regular" w:hAnsi="Times New Roman Regular" w:cs="Times New Roman Regular"/>
                <w:sz w:val="20"/>
                <w:szCs w:val="20"/>
              </w:rPr>
            </w:pPr>
            <w:r>
              <w:rPr>
                <w:rFonts w:ascii="Times New Roman Regular" w:hAnsi="Times New Roman Regular" w:cs="Times New Roman Regular"/>
                <w:sz w:val="20"/>
                <w:szCs w:val="20"/>
              </w:rPr>
              <w:t>Controls </w:t>
            </w:r>
          </w:p>
        </w:tc>
        <w:tc>
          <w:tcPr>
            <w:tcW w:w="17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Yes</w:t>
            </w:r>
          </w:p>
        </w:tc>
        <w:tc>
          <w:tcPr>
            <w:tcW w:w="17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Yes</w:t>
            </w:r>
          </w:p>
        </w:tc>
        <w:tc>
          <w:tcPr>
            <w:tcW w:w="17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Yes</w:t>
            </w:r>
          </w:p>
        </w:tc>
        <w:tc>
          <w:tcPr>
            <w:tcW w:w="17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Yes</w:t>
            </w:r>
          </w:p>
        </w:tc>
      </w:tr>
      <w:tr>
        <w:trPr>
          <w:trHeight w:val="90" w:hRule="atLeast"/>
        </w:trPr>
        <w:tc>
          <w:tcPr>
            <w:tcW w:w="1701" w:type="dxa"/>
            <w:tcBorders>
              <w:top w:val="nil"/>
              <w:left w:val="nil"/>
              <w:bottom w:val="nil"/>
              <w:right w:val="nil"/>
            </w:tcBorders>
            <w:shd w:val="clear" w:color="auto" w:fill="auto"/>
            <w:tcMar>
              <w:left w:w="100" w:type="dxa"/>
              <w:right w:w="100" w:type="dxa"/>
            </w:tcMar>
            <w:vAlign w:val="center"/>
          </w:tcPr>
          <w:p>
            <w:pPr>
              <w:pStyle w:val="20"/>
              <w:widowControl/>
              <w:jc w:val="both"/>
              <w:rPr>
                <w:rFonts w:ascii="Times New Roman Regular" w:hAnsi="Times New Roman Regular" w:cs="Times New Roman Regular"/>
                <w:sz w:val="20"/>
                <w:szCs w:val="20"/>
              </w:rPr>
            </w:pPr>
            <w:r>
              <w:rPr>
                <w:rFonts w:ascii="Times New Roman Regular" w:hAnsi="Times New Roman Regular" w:cs="Times New Roman Regular"/>
                <w:sz w:val="20"/>
                <w:szCs w:val="20"/>
              </w:rPr>
              <w:t>CITY </w:t>
            </w:r>
          </w:p>
        </w:tc>
        <w:tc>
          <w:tcPr>
            <w:tcW w:w="17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Yes</w:t>
            </w:r>
          </w:p>
        </w:tc>
        <w:tc>
          <w:tcPr>
            <w:tcW w:w="17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Yes</w:t>
            </w:r>
          </w:p>
        </w:tc>
        <w:tc>
          <w:tcPr>
            <w:tcW w:w="17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Yes</w:t>
            </w:r>
          </w:p>
        </w:tc>
        <w:tc>
          <w:tcPr>
            <w:tcW w:w="17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Yes</w:t>
            </w:r>
          </w:p>
        </w:tc>
      </w:tr>
      <w:tr>
        <w:tc>
          <w:tcPr>
            <w:tcW w:w="1701" w:type="dxa"/>
            <w:tcBorders>
              <w:top w:val="nil"/>
              <w:left w:val="nil"/>
              <w:bottom w:val="nil"/>
              <w:right w:val="nil"/>
            </w:tcBorders>
            <w:shd w:val="clear" w:color="auto" w:fill="auto"/>
            <w:tcMar>
              <w:left w:w="100" w:type="dxa"/>
              <w:right w:w="100" w:type="dxa"/>
            </w:tcMar>
            <w:vAlign w:val="center"/>
          </w:tcPr>
          <w:p>
            <w:pPr>
              <w:pStyle w:val="20"/>
              <w:widowControl/>
              <w:jc w:val="both"/>
              <w:rPr>
                <w:rFonts w:ascii="Times New Roman Regular" w:hAnsi="Times New Roman Regular" w:cs="Times New Roman Regular"/>
                <w:sz w:val="20"/>
                <w:szCs w:val="20"/>
              </w:rPr>
            </w:pPr>
            <w:r>
              <w:rPr>
                <w:rFonts w:ascii="Times New Roman Regular" w:hAnsi="Times New Roman Regular" w:cs="Times New Roman Regular"/>
                <w:sz w:val="20"/>
                <w:szCs w:val="20"/>
              </w:rPr>
              <w:t>YEAR</w:t>
            </w:r>
          </w:p>
        </w:tc>
        <w:tc>
          <w:tcPr>
            <w:tcW w:w="17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Yes</w:t>
            </w:r>
          </w:p>
        </w:tc>
        <w:tc>
          <w:tcPr>
            <w:tcW w:w="17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Yes</w:t>
            </w:r>
          </w:p>
        </w:tc>
        <w:tc>
          <w:tcPr>
            <w:tcW w:w="17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Yes</w:t>
            </w:r>
          </w:p>
        </w:tc>
        <w:tc>
          <w:tcPr>
            <w:tcW w:w="17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Yes</w:t>
            </w:r>
          </w:p>
        </w:tc>
      </w:tr>
      <w:tr>
        <w:tc>
          <w:tcPr>
            <w:tcW w:w="1701" w:type="dxa"/>
            <w:tcBorders>
              <w:top w:val="nil"/>
              <w:left w:val="nil"/>
              <w:bottom w:val="nil"/>
              <w:right w:val="nil"/>
            </w:tcBorders>
            <w:shd w:val="clear" w:color="auto" w:fill="auto"/>
            <w:tcMar>
              <w:left w:w="100" w:type="dxa"/>
              <w:right w:w="100" w:type="dxa"/>
            </w:tcMar>
            <w:vAlign w:val="center"/>
          </w:tcPr>
          <w:p>
            <w:pPr>
              <w:pStyle w:val="20"/>
              <w:widowControl/>
              <w:jc w:val="both"/>
              <w:rPr>
                <w:rFonts w:ascii="Times New Roman Regular" w:hAnsi="Times New Roman Regular" w:cs="Times New Roman Regular"/>
                <w:sz w:val="20"/>
                <w:szCs w:val="20"/>
              </w:rPr>
            </w:pPr>
            <w:r>
              <w:rPr>
                <w:rFonts w:ascii="Times New Roman Regular" w:hAnsi="Times New Roman Regular" w:cs="Times New Roman Regular"/>
                <w:i/>
                <w:iCs/>
                <w:sz w:val="20"/>
                <w:szCs w:val="20"/>
              </w:rPr>
              <w:t>N</w:t>
            </w:r>
          </w:p>
        </w:tc>
        <w:tc>
          <w:tcPr>
            <w:tcW w:w="17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4152</w:t>
            </w:r>
          </w:p>
        </w:tc>
        <w:tc>
          <w:tcPr>
            <w:tcW w:w="17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4152</w:t>
            </w:r>
          </w:p>
        </w:tc>
        <w:tc>
          <w:tcPr>
            <w:tcW w:w="17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4152</w:t>
            </w:r>
          </w:p>
        </w:tc>
        <w:tc>
          <w:tcPr>
            <w:tcW w:w="17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4152</w:t>
            </w:r>
          </w:p>
        </w:tc>
      </w:tr>
      <w:tr>
        <w:tc>
          <w:tcPr>
            <w:tcW w:w="1701" w:type="dxa"/>
            <w:tcBorders>
              <w:top w:val="nil"/>
              <w:left w:val="nil"/>
              <w:bottom w:val="double" w:color="auto" w:sz="4" w:space="0"/>
              <w:right w:val="nil"/>
            </w:tcBorders>
            <w:shd w:val="clear" w:color="auto" w:fill="auto"/>
            <w:tcMar>
              <w:left w:w="100" w:type="dxa"/>
              <w:right w:w="100" w:type="dxa"/>
            </w:tcMar>
            <w:vAlign w:val="center"/>
          </w:tcPr>
          <w:p>
            <w:pPr>
              <w:pStyle w:val="20"/>
              <w:widowControl/>
              <w:jc w:val="both"/>
              <w:rPr>
                <w:rFonts w:hint="default" w:ascii="Times New Roman Regular" w:hAnsi="Times New Roman Regular" w:cs="Times New Roman Regular"/>
                <w:sz w:val="20"/>
                <w:szCs w:val="20"/>
                <w:lang w:val="en-US"/>
              </w:rPr>
            </w:pPr>
            <w:r>
              <w:rPr>
                <w:rFonts w:ascii="Times New Roman Regular" w:hAnsi="Times New Roman Regular" w:cs="Times New Roman Regular"/>
                <w:sz w:val="20"/>
                <w:szCs w:val="20"/>
                <w:lang w:val="en-US"/>
              </w:rPr>
              <w:t>r2_within</w:t>
            </w:r>
          </w:p>
        </w:tc>
        <w:tc>
          <w:tcPr>
            <w:tcW w:w="1701" w:type="dxa"/>
            <w:tcBorders>
              <w:top w:val="nil"/>
              <w:left w:val="nil"/>
              <w:bottom w:val="double" w:color="auto" w:sz="4" w:space="0"/>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0.1605</w:t>
            </w:r>
          </w:p>
        </w:tc>
        <w:tc>
          <w:tcPr>
            <w:tcW w:w="1701" w:type="dxa"/>
            <w:tcBorders>
              <w:top w:val="nil"/>
              <w:left w:val="nil"/>
              <w:bottom w:val="double" w:color="auto" w:sz="4" w:space="0"/>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0.1426</w:t>
            </w:r>
          </w:p>
        </w:tc>
        <w:tc>
          <w:tcPr>
            <w:tcW w:w="1701" w:type="dxa"/>
            <w:tcBorders>
              <w:top w:val="nil"/>
              <w:left w:val="nil"/>
              <w:bottom w:val="double" w:color="auto" w:sz="4" w:space="0"/>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0.1016</w:t>
            </w:r>
          </w:p>
        </w:tc>
        <w:tc>
          <w:tcPr>
            <w:tcW w:w="1701" w:type="dxa"/>
            <w:tcBorders>
              <w:top w:val="nil"/>
              <w:left w:val="nil"/>
              <w:bottom w:val="double" w:color="auto" w:sz="4" w:space="0"/>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0.0214</w:t>
            </w:r>
          </w:p>
        </w:tc>
      </w:tr>
    </w:tbl>
    <w:p>
      <w:pPr>
        <w:pStyle w:val="22"/>
        <w:widowControl/>
        <w:jc w:val="both"/>
        <w:rPr>
          <w:rFonts w:ascii="Times New Roman Regular" w:hAnsi="Times New Roman Regular" w:cs="Times New Roman Regular"/>
          <w:sz w:val="20"/>
          <w:szCs w:val="20"/>
        </w:rPr>
      </w:pPr>
      <w:r>
        <w:rPr>
          <w:rFonts w:ascii="Times New Roman Regular" w:hAnsi="Times New Roman Regular" w:cs="Times New Roman Regular"/>
          <w:sz w:val="20"/>
          <w:szCs w:val="20"/>
        </w:rPr>
        <w:t>Standard errors in parentheses</w:t>
      </w:r>
    </w:p>
    <w:p>
      <w:pPr>
        <w:pStyle w:val="22"/>
        <w:widowControl/>
        <w:spacing w:after="157" w:afterLines="50"/>
        <w:jc w:val="both"/>
        <w:rPr>
          <w:rFonts w:ascii="Times New Roman Regular" w:hAnsi="Times New Roman Regular" w:cs="Times New Roman Regular"/>
          <w:sz w:val="20"/>
          <w:szCs w:val="20"/>
        </w:rPr>
      </w:pPr>
      <w:r>
        <w:rPr>
          <w:rFonts w:ascii="Times New Roman Regular" w:hAnsi="Times New Roman Regular" w:cs="Times New Roman Regular"/>
          <w:sz w:val="20"/>
          <w:szCs w:val="20"/>
          <w:vertAlign w:val="superscript"/>
        </w:rPr>
        <w:t>*</w:t>
      </w:r>
      <w:r>
        <w:rPr>
          <w:rFonts w:ascii="Times New Roman Regular" w:hAnsi="Times New Roman Regular" w:cs="Times New Roman Regular"/>
          <w:sz w:val="20"/>
          <w:szCs w:val="20"/>
        </w:rPr>
        <w:t xml:space="preserve"> </w:t>
      </w:r>
      <w:r>
        <w:rPr>
          <w:rFonts w:ascii="Times New Roman Regular" w:hAnsi="Times New Roman Regular" w:cs="Times New Roman Regular"/>
          <w:i/>
          <w:iCs/>
          <w:sz w:val="20"/>
          <w:szCs w:val="20"/>
        </w:rPr>
        <w:t>p</w:t>
      </w:r>
      <w:r>
        <w:rPr>
          <w:rFonts w:ascii="Times New Roman Regular" w:hAnsi="Times New Roman Regular" w:cs="Times New Roman Regular"/>
          <w:sz w:val="20"/>
          <w:szCs w:val="20"/>
        </w:rPr>
        <w:t xml:space="preserve"> &lt; 0.10, </w:t>
      </w:r>
      <w:r>
        <w:rPr>
          <w:rFonts w:ascii="Times New Roman Regular" w:hAnsi="Times New Roman Regular" w:cs="Times New Roman Regular"/>
          <w:sz w:val="20"/>
          <w:szCs w:val="20"/>
          <w:vertAlign w:val="superscript"/>
        </w:rPr>
        <w:t>**</w:t>
      </w:r>
      <w:r>
        <w:rPr>
          <w:rFonts w:ascii="Times New Roman Regular" w:hAnsi="Times New Roman Regular" w:cs="Times New Roman Regular"/>
          <w:sz w:val="20"/>
          <w:szCs w:val="20"/>
        </w:rPr>
        <w:t xml:space="preserve"> </w:t>
      </w:r>
      <w:r>
        <w:rPr>
          <w:rFonts w:ascii="Times New Roman Regular" w:hAnsi="Times New Roman Regular" w:cs="Times New Roman Regular"/>
          <w:i/>
          <w:iCs/>
          <w:sz w:val="20"/>
          <w:szCs w:val="20"/>
        </w:rPr>
        <w:t>p</w:t>
      </w:r>
      <w:r>
        <w:rPr>
          <w:rFonts w:ascii="Times New Roman Regular" w:hAnsi="Times New Roman Regular" w:cs="Times New Roman Regular"/>
          <w:sz w:val="20"/>
          <w:szCs w:val="20"/>
        </w:rPr>
        <w:t xml:space="preserve"> &lt; 0.05, </w:t>
      </w:r>
      <w:r>
        <w:rPr>
          <w:rFonts w:ascii="Times New Roman Regular" w:hAnsi="Times New Roman Regular" w:cs="Times New Roman Regular"/>
          <w:sz w:val="20"/>
          <w:szCs w:val="20"/>
          <w:vertAlign w:val="superscript"/>
        </w:rPr>
        <w:t>***</w:t>
      </w:r>
      <w:r>
        <w:rPr>
          <w:rFonts w:ascii="Times New Roman Regular" w:hAnsi="Times New Roman Regular" w:cs="Times New Roman Regular"/>
          <w:sz w:val="20"/>
          <w:szCs w:val="20"/>
        </w:rPr>
        <w:t xml:space="preserve"> </w:t>
      </w:r>
      <w:r>
        <w:rPr>
          <w:rFonts w:ascii="Times New Roman Regular" w:hAnsi="Times New Roman Regular" w:cs="Times New Roman Regular"/>
          <w:i/>
          <w:iCs/>
          <w:sz w:val="20"/>
          <w:szCs w:val="20"/>
        </w:rPr>
        <w:t>p</w:t>
      </w:r>
      <w:r>
        <w:rPr>
          <w:rFonts w:ascii="Times New Roman Regular" w:hAnsi="Times New Roman Regular" w:cs="Times New Roman Regular"/>
          <w:sz w:val="20"/>
          <w:szCs w:val="20"/>
        </w:rPr>
        <w:t xml:space="preserve"> &lt; 0.01</w:t>
      </w:r>
    </w:p>
    <w:p>
      <w:pPr>
        <w:spacing w:before="0" w:beforeLines="0" w:after="157" w:afterLines="50"/>
        <w:rPr>
          <w:rFonts w:ascii="Times New Roman Bold" w:hAnsi="Times New Roman Bold" w:cs="Times New Roman Bold"/>
          <w:b/>
          <w:bCs/>
          <w:sz w:val="24"/>
        </w:rPr>
      </w:pPr>
      <w:r>
        <w:rPr>
          <w:rFonts w:hint="eastAsia" w:ascii="Times New Roman Bold" w:hAnsi="Times New Roman Bold" w:cs="Times New Roman Bold"/>
          <w:b/>
          <w:bCs/>
          <w:sz w:val="24"/>
          <w:lang w:val="en-US" w:eastAsia="zh-CN"/>
        </w:rPr>
        <w:t>4.5</w:t>
      </w:r>
      <w:r>
        <w:rPr>
          <w:rFonts w:ascii="Times New Roman Bold" w:hAnsi="Times New Roman Bold" w:cs="Times New Roman Bold"/>
          <w:b/>
          <w:bCs/>
          <w:sz w:val="24"/>
        </w:rPr>
        <w:t xml:space="preserve"> Heterogeneity </w:t>
      </w:r>
      <w:r>
        <w:rPr>
          <w:rFonts w:hint="eastAsia" w:ascii="Times New Roman Bold" w:hAnsi="Times New Roman Bold" w:cs="Times New Roman Bold"/>
          <w:b/>
          <w:bCs/>
          <w:sz w:val="24"/>
          <w:lang w:val="en-US" w:eastAsia="zh-CN"/>
        </w:rPr>
        <w:t>a</w:t>
      </w:r>
      <w:r>
        <w:rPr>
          <w:rFonts w:ascii="Times New Roman Bold" w:hAnsi="Times New Roman Bold" w:cs="Times New Roman Bold"/>
          <w:b/>
          <w:bCs/>
          <w:sz w:val="24"/>
        </w:rPr>
        <w:t>nalysis</w:t>
      </w:r>
    </w:p>
    <w:p>
      <w:pPr>
        <w:spacing w:after="157" w:afterLines="50"/>
        <w:ind w:firstLine="240" w:firstLineChars="100"/>
        <w:rPr>
          <w:rFonts w:ascii="Times New Roman Regular" w:hAnsi="Times New Roman Regular" w:cs="Times New Roman Regular"/>
          <w:sz w:val="24"/>
        </w:rPr>
      </w:pPr>
      <w:r>
        <w:rPr>
          <w:rFonts w:ascii="Times New Roman Regular" w:hAnsi="Times New Roman Regular" w:cs="Times New Roman Regular"/>
          <w:sz w:val="24"/>
        </w:rPr>
        <w:t>To further explore whether the impact of the new-type urbanization policy on employment quality varies across cities with different characteristics, we introduce</w:t>
      </w:r>
      <w:r>
        <w:rPr>
          <w:rFonts w:hint="default" w:ascii="Times New Roman Regular" w:hAnsi="Times New Roman Regular" w:cs="Times New Roman Regular"/>
          <w:sz w:val="24"/>
          <w:lang w:val="en-US"/>
        </w:rPr>
        <w:t>d</w:t>
      </w:r>
      <w:r>
        <w:rPr>
          <w:rFonts w:ascii="Times New Roman Regular" w:hAnsi="Times New Roman Regular" w:cs="Times New Roman Regular"/>
          <w:sz w:val="24"/>
        </w:rPr>
        <w:t xml:space="preserve"> heterogeneity variables and employ a Difference-in-Difference-in-Differences (DDD) approach. Specifically, building upon the baseline </w:t>
      </w:r>
      <w:r>
        <w:rPr>
          <w:rFonts w:hint="eastAsia" w:ascii="Times New Roman Regular" w:hAnsi="Times New Roman Regular" w:cs="Times New Roman Regular"/>
          <w:sz w:val="24"/>
          <w:lang w:val="en-US" w:eastAsia="zh-CN"/>
        </w:rPr>
        <w:t xml:space="preserve">DID </w:t>
      </w:r>
      <w:r>
        <w:rPr>
          <w:rFonts w:ascii="Times New Roman Regular" w:hAnsi="Times New Roman Regular" w:cs="Times New Roman Regular"/>
          <w:sz w:val="24"/>
        </w:rPr>
        <w:t>model, we incorporate a triple interaction term between the policy variable and the heterogeneity indicator, in order to capture the marginal policy effects within specific subgroups of cities. The model is specified as follows:</w:t>
      </w:r>
    </w:p>
    <w:p>
      <w:pPr>
        <w:rPr>
          <w:rFonts w:ascii="Times New Roman Regular" w:hAnsi="Times New Roman Regular" w:cs="Times New Roman Regular"/>
          <w:sz w:val="20"/>
          <w:szCs w:val="20"/>
        </w:rPr>
      </w:pPr>
      <m:oMath>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EMP</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it</m:t>
            </m:r>
            <m:ctrlPr>
              <w:rPr>
                <w:rFonts w:ascii="DejaVu Math TeX Gyre" w:hAnsi="DejaVu Math TeX Gyre" w:cs="Times New Roman Regular"/>
                <w:i/>
                <w:iCs/>
                <w:sz w:val="20"/>
                <w:szCs w:val="20"/>
              </w:rPr>
            </m:ctrlPr>
          </m:sub>
        </m:sSub>
        <m:r>
          <m:rPr>
            <m:sty m:val="p"/>
          </m:rPr>
          <w:rPr>
            <w:rFonts w:ascii="DejaVu Math TeX Gyre" w:hAnsi="DejaVu Math TeX Gyre" w:cs="Times New Roman Regular"/>
            <w:sz w:val="20"/>
            <w:szCs w:val="20"/>
          </w:rPr>
          <m:t>=</m:t>
        </m:r>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β</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0</m:t>
            </m:r>
            <m:ctrlPr>
              <w:rPr>
                <w:rFonts w:ascii="DejaVu Math TeX Gyre" w:hAnsi="DejaVu Math TeX Gyre" w:cs="Times New Roman Regular"/>
                <w:i/>
                <w:iCs/>
                <w:sz w:val="20"/>
                <w:szCs w:val="20"/>
              </w:rPr>
            </m:ctrlPr>
          </m:sub>
        </m:sSub>
      </m:oMath>
      <w:r>
        <w:rPr>
          <w:rFonts w:ascii="Times New Roman Regular" w:hAnsi="Times New Roman Regular" w:cs="Times New Roman Regular"/>
          <w:sz w:val="20"/>
          <w:szCs w:val="20"/>
        </w:rPr>
        <w:t>+</w:t>
      </w:r>
      <m:oMath>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β</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1</m:t>
            </m:r>
            <m:ctrlPr>
              <w:rPr>
                <w:rFonts w:ascii="DejaVu Math TeX Gyre" w:hAnsi="DejaVu Math TeX Gyre" w:cs="Times New Roman Regular"/>
                <w:i/>
                <w:iCs/>
                <w:sz w:val="20"/>
                <w:szCs w:val="20"/>
              </w:rPr>
            </m:ctrlPr>
          </m:sub>
        </m:sSub>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treat</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it</m:t>
            </m:r>
            <m:ctrlPr>
              <w:rPr>
                <w:rFonts w:ascii="DejaVu Math TeX Gyre" w:hAnsi="DejaVu Math TeX Gyre" w:cs="Times New Roman Regular"/>
                <w:i/>
                <w:iCs/>
                <w:sz w:val="20"/>
                <w:szCs w:val="20"/>
              </w:rPr>
            </m:ctrlPr>
          </m:sub>
        </m:sSub>
        <m:r>
          <m:rPr>
            <m:sty m:val="p"/>
          </m:rPr>
          <w:rPr>
            <w:rFonts w:ascii="DejaVu Math TeX Gyre" w:hAnsi="DejaVu Math TeX Gyre" w:cs="Times New Roman Regular"/>
            <w:sz w:val="20"/>
            <w:szCs w:val="20"/>
          </w:rPr>
          <m:t>∗</m:t>
        </m:r>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post</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it</m:t>
            </m:r>
            <m:ctrlPr>
              <w:rPr>
                <w:rFonts w:ascii="DejaVu Math TeX Gyre" w:hAnsi="DejaVu Math TeX Gyre" w:cs="Times New Roman Regular"/>
                <w:i/>
                <w:iCs/>
                <w:sz w:val="20"/>
                <w:szCs w:val="20"/>
              </w:rPr>
            </m:ctrlPr>
          </m:sub>
        </m:sSub>
      </m:oMath>
      <w:r>
        <w:rPr>
          <w:rFonts w:ascii="Times New Roman Regular" w:hAnsi="Times New Roman Regular" w:cs="Times New Roman Regular"/>
          <w:iCs/>
          <w:sz w:val="20"/>
          <w:szCs w:val="20"/>
        </w:rPr>
        <w:t>*</w:t>
      </w:r>
      <m:oMath>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ℎetro</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it</m:t>
            </m:r>
            <m:ctrlPr>
              <w:rPr>
                <w:rFonts w:ascii="DejaVu Math TeX Gyre" w:hAnsi="DejaVu Math TeX Gyre" w:cs="Times New Roman Regular"/>
                <w:i/>
                <w:iCs/>
                <w:sz w:val="20"/>
                <w:szCs w:val="20"/>
              </w:rPr>
            </m:ctrlPr>
          </m:sub>
        </m:sSub>
      </m:oMath>
      <w:r>
        <w:rPr>
          <w:rFonts w:ascii="Times New Roman Regular" w:hAnsi="Times New Roman Regular" w:cs="Times New Roman Regular"/>
          <w:sz w:val="20"/>
          <w:szCs w:val="20"/>
        </w:rPr>
        <w:t>+</w:t>
      </w:r>
      <m:oMath>
        <m:nary>
          <m:naryPr>
            <m:chr m:val="∑"/>
            <m:limLoc m:val="undOvr"/>
            <m:ctrlPr>
              <w:rPr>
                <w:rFonts w:ascii="DejaVu Math TeX Gyre" w:hAnsi="DejaVu Math TeX Gyre" w:cs="Times New Roman Regular"/>
                <w:sz w:val="20"/>
                <w:szCs w:val="20"/>
              </w:rPr>
            </m:ctrlPr>
          </m:naryPr>
          <m:sub>
            <m:r>
              <m:rPr>
                <m:sty m:val="p"/>
              </m:rPr>
              <w:rPr>
                <w:rFonts w:ascii="DejaVu Math TeX Gyre" w:hAnsi="DejaVu Math TeX Gyre" w:cs="Times New Roman Regular"/>
                <w:sz w:val="20"/>
                <w:szCs w:val="20"/>
              </w:rPr>
              <m:t>j=1</m:t>
            </m:r>
            <m:ctrlPr>
              <w:rPr>
                <w:rFonts w:ascii="DejaVu Math TeX Gyre" w:hAnsi="DejaVu Math TeX Gyre" w:cs="Times New Roman Regular"/>
                <w:sz w:val="20"/>
                <w:szCs w:val="20"/>
              </w:rPr>
            </m:ctrlPr>
          </m:sub>
          <m:sup>
            <m:r>
              <m:rPr>
                <m:sty m:val="p"/>
              </m:rPr>
              <w:rPr>
                <w:rFonts w:ascii="DejaVu Math TeX Gyre" w:hAnsi="DejaVu Math TeX Gyre" w:cs="Times New Roman Regular"/>
                <w:sz w:val="20"/>
                <w:szCs w:val="20"/>
              </w:rPr>
              <m:t>J</m:t>
            </m:r>
            <m:ctrlPr>
              <w:rPr>
                <w:rFonts w:ascii="DejaVu Math TeX Gyre" w:hAnsi="DejaVu Math TeX Gyre" w:cs="Times New Roman Regular"/>
                <w:sz w:val="20"/>
                <w:szCs w:val="20"/>
              </w:rPr>
            </m:ctrlPr>
          </m:sup>
          <m:e>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φ</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it</m:t>
                </m:r>
                <m:ctrlPr>
                  <w:rPr>
                    <w:rFonts w:ascii="DejaVu Math TeX Gyre" w:hAnsi="DejaVu Math TeX Gyre" w:cs="Times New Roman Regular"/>
                    <w:i/>
                    <w:iCs/>
                    <w:sz w:val="20"/>
                    <w:szCs w:val="20"/>
                  </w:rPr>
                </m:ctrlPr>
              </m:sub>
            </m:sSub>
            <m:sSubSup>
              <m:sSubSupPr>
                <m:ctrlPr>
                  <w:rPr>
                    <w:rFonts w:ascii="DejaVu Math TeX Gyre" w:hAnsi="DejaVu Math TeX Gyre" w:cs="Times New Roman Regular"/>
                    <w:i/>
                    <w:iCs/>
                    <w:sz w:val="20"/>
                    <w:szCs w:val="20"/>
                  </w:rPr>
                </m:ctrlPr>
              </m:sSubSupPr>
              <m:e>
                <m:r>
                  <m:rPr/>
                  <w:rPr>
                    <w:rFonts w:hint="eastAsia" w:ascii="DejaVu Math TeX Gyre" w:hAnsi="DejaVu Math TeX Gyre" w:cs="Times New Roman Regular"/>
                    <w:sz w:val="20"/>
                    <w:szCs w:val="20"/>
                    <w:lang w:val="en-US" w:eastAsia="zh-CN"/>
                  </w:rPr>
                  <m:t>Controls</m:t>
                </m:r>
                <m:ctrlPr>
                  <w:rPr>
                    <w:rFonts w:ascii="DejaVu Math TeX Gyre" w:hAnsi="DejaVu Math TeX Gyre" w:cs="Times New Roman Regular"/>
                    <w:i/>
                    <w:iCs/>
                    <w:sz w:val="20"/>
                    <w:szCs w:val="20"/>
                  </w:rPr>
                </m:ctrlPr>
              </m:e>
              <m:sub>
                <m:r>
                  <m:rPr/>
                  <w:rPr>
                    <w:rFonts w:hint="eastAsia" w:ascii="DejaVu Math TeX Gyre" w:hAnsi="DejaVu Math TeX Gyre" w:cs="Times New Roman Regular"/>
                    <w:sz w:val="20"/>
                    <w:szCs w:val="20"/>
                    <w:lang w:val="en-US" w:eastAsia="zh-CN"/>
                  </w:rPr>
                  <m:t>it</m:t>
                </m:r>
                <m:ctrlPr>
                  <w:rPr>
                    <w:rFonts w:ascii="DejaVu Math TeX Gyre" w:hAnsi="DejaVu Math TeX Gyre" w:cs="Times New Roman Regular"/>
                    <w:i/>
                    <w:iCs/>
                    <w:sz w:val="20"/>
                    <w:szCs w:val="20"/>
                  </w:rPr>
                </m:ctrlPr>
              </m:sub>
              <m:sup>
                <m:r>
                  <m:rPr/>
                  <w:rPr>
                    <w:rFonts w:hint="eastAsia" w:ascii="DejaVu Math TeX Gyre" w:hAnsi="DejaVu Math TeX Gyre" w:cs="Times New Roman Regular"/>
                    <w:sz w:val="20"/>
                    <w:szCs w:val="20"/>
                    <w:lang w:val="en-US" w:eastAsia="zh-CN"/>
                  </w:rPr>
                  <m:t>j</m:t>
                </m:r>
                <m:ctrlPr>
                  <w:rPr>
                    <w:rFonts w:ascii="DejaVu Math TeX Gyre" w:hAnsi="DejaVu Math TeX Gyre" w:cs="Times New Roman Regular"/>
                    <w:i/>
                    <w:iCs/>
                    <w:sz w:val="20"/>
                    <w:szCs w:val="20"/>
                  </w:rPr>
                </m:ctrlPr>
              </m:sup>
            </m:sSubSup>
            <m:ctrlPr>
              <w:rPr>
                <w:rFonts w:ascii="DejaVu Math TeX Gyre" w:hAnsi="DejaVu Math TeX Gyre" w:cs="Times New Roman Regular"/>
                <w:sz w:val="20"/>
                <w:szCs w:val="20"/>
              </w:rPr>
            </m:ctrlPr>
          </m:e>
        </m:nary>
        <m:r>
          <m:rPr>
            <m:sty m:val="p"/>
          </m:rPr>
          <w:rPr>
            <w:rFonts w:ascii="DejaVu Math TeX Gyre" w:hAnsi="DejaVu Math TeX Gyre" w:cs="Times New Roman Regular"/>
            <w:sz w:val="20"/>
            <w:szCs w:val="20"/>
          </w:rPr>
          <m:t>+</m:t>
        </m:r>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μ</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t</m:t>
            </m:r>
            <m:ctrlPr>
              <w:rPr>
                <w:rFonts w:ascii="DejaVu Math TeX Gyre" w:hAnsi="DejaVu Math TeX Gyre" w:cs="Times New Roman Regular"/>
                <w:i/>
                <w:iCs/>
                <w:sz w:val="20"/>
                <w:szCs w:val="20"/>
              </w:rPr>
            </m:ctrlPr>
          </m:sub>
        </m:sSub>
        <m:r>
          <m:rPr>
            <m:sty m:val="p"/>
          </m:rPr>
          <w:rPr>
            <w:rFonts w:ascii="DejaVu Math TeX Gyre" w:hAnsi="DejaVu Math TeX Gyre" w:cs="Times New Roman Regular"/>
            <w:sz w:val="20"/>
            <w:szCs w:val="20"/>
          </w:rPr>
          <m:t>+</m:t>
        </m:r>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α</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i</m:t>
            </m:r>
            <m:ctrlPr>
              <w:rPr>
                <w:rFonts w:ascii="DejaVu Math TeX Gyre" w:hAnsi="DejaVu Math TeX Gyre" w:cs="Times New Roman Regular"/>
                <w:i/>
                <w:iCs/>
                <w:sz w:val="20"/>
                <w:szCs w:val="20"/>
              </w:rPr>
            </m:ctrlPr>
          </m:sub>
        </m:sSub>
        <m:r>
          <m:rPr>
            <m:sty m:val="p"/>
          </m:rPr>
          <w:rPr>
            <w:rFonts w:ascii="DejaVu Math TeX Gyre" w:hAnsi="DejaVu Math TeX Gyre" w:cs="Times New Roman Regular"/>
            <w:sz w:val="20"/>
            <w:szCs w:val="20"/>
          </w:rPr>
          <m:t>+</m:t>
        </m:r>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ε</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it</m:t>
            </m:r>
            <m:ctrlPr>
              <w:rPr>
                <w:rFonts w:ascii="DejaVu Math TeX Gyre" w:hAnsi="DejaVu Math TeX Gyre" w:cs="Times New Roman Regular"/>
                <w:i/>
                <w:iCs/>
                <w:sz w:val="20"/>
                <w:szCs w:val="20"/>
              </w:rPr>
            </m:ctrlPr>
          </m:sub>
        </m:sSub>
      </m:oMath>
      <w:r>
        <w:rPr>
          <w:rFonts w:ascii="Times New Roman Regular" w:hAnsi="Times New Roman Regular" w:cs="Times New Roman Regular"/>
          <w:iCs/>
          <w:sz w:val="20"/>
          <w:szCs w:val="20"/>
        </w:rPr>
        <w:t xml:space="preserve">     (</w:t>
      </w:r>
      <w:r>
        <w:rPr>
          <w:rFonts w:hint="eastAsia" w:ascii="Times New Roman Regular" w:hAnsi="Times New Roman Regular" w:cs="Times New Roman Regular"/>
          <w:iCs/>
          <w:sz w:val="20"/>
          <w:szCs w:val="20"/>
          <w:lang w:val="en-US" w:eastAsia="zh-CN"/>
        </w:rPr>
        <w:t>6</w:t>
      </w:r>
      <w:r>
        <w:rPr>
          <w:rFonts w:ascii="Times New Roman Regular" w:hAnsi="Times New Roman Regular" w:cs="Times New Roman Regular"/>
          <w:iCs/>
          <w:sz w:val="20"/>
          <w:szCs w:val="20"/>
        </w:rPr>
        <w:t>)</w:t>
      </w:r>
    </w:p>
    <w:p>
      <w:pPr>
        <w:ind w:firstLine="240" w:firstLineChars="100"/>
        <w:rPr>
          <w:rFonts w:ascii="Times New Roman Regular" w:hAnsi="Times New Roman Regular" w:cs="Times New Roman Regular"/>
          <w:b/>
          <w:bCs/>
          <w:sz w:val="24"/>
        </w:rPr>
      </w:pPr>
      <w:r>
        <w:rPr>
          <w:rFonts w:ascii="Times New Roman Regular" w:hAnsi="Times New Roman Regular" w:cs="Times New Roman Regular"/>
          <w:sz w:val="24"/>
        </w:rPr>
        <w:t xml:space="preserve">Here, </w:t>
      </w:r>
      <w:r>
        <w:rPr>
          <w:rFonts w:hint="default" w:ascii="Times New Roman Italic" w:hAnsi="Times New Roman Italic" w:cs="Times New Roman Italic"/>
          <w:i/>
          <w:iCs/>
          <w:sz w:val="24"/>
        </w:rPr>
        <w:t>hetero</w:t>
      </w:r>
      <w:r>
        <w:rPr>
          <w:rFonts w:ascii="Times New Roman Regular" w:hAnsi="Times New Roman Regular" w:cs="Times New Roman Regular"/>
          <w:sz w:val="24"/>
        </w:rPr>
        <w:t xml:space="preserve"> denotes a set of dummy variables capturing city-level heterogeneities, including geographical location, city size, and economic characteristics. Other model specifications remain consistent with the baseline DID model.</w:t>
      </w:r>
    </w:p>
    <w:p>
      <w:pPr>
        <w:spacing w:before="157" w:beforeLines="50" w:after="157" w:afterLines="50"/>
        <w:jc w:val="both"/>
        <w:rPr>
          <w:rFonts w:ascii="Times New Roman Bold Italic" w:hAnsi="Times New Roman Bold Italic" w:cs="Times New Roman Bold Italic"/>
          <w:b/>
          <w:bCs w:val="0"/>
          <w:i/>
          <w:iCs/>
          <w:sz w:val="24"/>
        </w:rPr>
      </w:pPr>
      <w:r>
        <w:rPr>
          <w:rFonts w:hint="default" w:ascii="Times New Roman Bold Italic" w:hAnsi="Times New Roman Bold Italic" w:cs="Times New Roman Bold Italic"/>
          <w:b/>
          <w:bCs w:val="0"/>
          <w:i/>
          <w:iCs/>
          <w:sz w:val="24"/>
          <w:lang w:val="en-US" w:eastAsia="zh-CN"/>
        </w:rPr>
        <w:t>4.5</w:t>
      </w:r>
      <w:r>
        <w:rPr>
          <w:rFonts w:ascii="Times New Roman Bold Italic" w:hAnsi="Times New Roman Bold Italic" w:cs="Times New Roman Bold Italic"/>
          <w:b/>
          <w:bCs w:val="0"/>
          <w:i/>
          <w:iCs/>
          <w:sz w:val="24"/>
        </w:rPr>
        <w:t>.1Geographical location heterogeneity of cities</w:t>
      </w:r>
    </w:p>
    <w:p>
      <w:pPr>
        <w:widowControl/>
        <w:spacing w:before="0" w:beforeLines="0" w:after="0" w:afterLines="0"/>
        <w:ind w:firstLine="240" w:firstLineChars="100"/>
        <w:rPr>
          <w:rFonts w:ascii="Times New Roman Regular" w:hAnsi="Times New Roman Regular" w:eastAsia="宋体" w:cs="Times New Roman Regular"/>
          <w:kern w:val="0"/>
          <w:sz w:val="24"/>
          <w:szCs w:val="24"/>
          <w:lang w:val="en-US" w:eastAsia="zh-CN" w:bidi="ar"/>
        </w:rPr>
      </w:pPr>
      <w:r>
        <w:rPr>
          <w:rFonts w:ascii="Times New Roman Regular" w:hAnsi="Times New Roman Regular" w:eastAsia="宋体" w:cs="Times New Roman Regular"/>
          <w:kern w:val="0"/>
          <w:sz w:val="24"/>
          <w:szCs w:val="24"/>
          <w:lang w:val="en-US" w:eastAsia="zh-CN" w:bidi="ar"/>
        </w:rPr>
        <w:t>To further explore spatial heterogeneity, we examine</w:t>
      </w:r>
      <w:r>
        <w:rPr>
          <w:rFonts w:hint="default" w:ascii="Times New Roman Regular" w:hAnsi="Times New Roman Regular" w:eastAsia="宋体" w:cs="Times New Roman Regular"/>
          <w:kern w:val="0"/>
          <w:sz w:val="24"/>
          <w:szCs w:val="24"/>
          <w:lang w:val="en-US" w:eastAsia="zh-CN" w:bidi="ar"/>
        </w:rPr>
        <w:t>d</w:t>
      </w:r>
      <w:r>
        <w:rPr>
          <w:rFonts w:ascii="Times New Roman Regular" w:hAnsi="Times New Roman Regular" w:eastAsia="宋体" w:cs="Times New Roman Regular"/>
          <w:kern w:val="0"/>
          <w:sz w:val="24"/>
          <w:szCs w:val="24"/>
          <w:lang w:val="en-US" w:eastAsia="zh-CN" w:bidi="ar"/>
        </w:rPr>
        <w:t xml:space="preserve"> whether the effects of the NTUPP differ across cities with distinct geographical characteristics. </w:t>
      </w:r>
      <w:r>
        <w:rPr>
          <w:rFonts w:hint="eastAsia" w:ascii="Times New Roman Regular" w:hAnsi="Times New Roman Regular" w:eastAsia="宋体" w:cs="Times New Roman Regular"/>
          <w:kern w:val="0"/>
          <w:sz w:val="24"/>
          <w:szCs w:val="24"/>
          <w:lang w:val="en-US" w:eastAsia="zh-CN" w:bidi="ar"/>
        </w:rPr>
        <w:t>T</w:t>
      </w:r>
      <w:r>
        <w:rPr>
          <w:rFonts w:ascii="Times New Roman Regular" w:hAnsi="Times New Roman Regular" w:eastAsia="宋体" w:cs="Times New Roman Regular"/>
          <w:kern w:val="0"/>
          <w:sz w:val="24"/>
          <w:szCs w:val="24"/>
          <w:lang w:val="en-US" w:eastAsia="zh-CN" w:bidi="ar"/>
        </w:rPr>
        <w:t>he interaction term between the policy dummy and the eastern city indicator is positive and significant at the 1% level, indicating that the policy ha</w:t>
      </w:r>
      <w:r>
        <w:rPr>
          <w:rFonts w:hint="default" w:ascii="Times New Roman Regular" w:hAnsi="Times New Roman Regular" w:eastAsia="宋体" w:cs="Times New Roman Regular"/>
          <w:kern w:val="0"/>
          <w:sz w:val="24"/>
          <w:szCs w:val="24"/>
          <w:lang w:val="en-US" w:eastAsia="zh-CN" w:bidi="ar"/>
        </w:rPr>
        <w:t>d</w:t>
      </w:r>
      <w:r>
        <w:rPr>
          <w:rFonts w:ascii="Times New Roman Regular" w:hAnsi="Times New Roman Regular" w:eastAsia="宋体" w:cs="Times New Roman Regular"/>
          <w:kern w:val="0"/>
          <w:sz w:val="24"/>
          <w:szCs w:val="24"/>
          <w:lang w:val="en-US" w:eastAsia="zh-CN" w:bidi="ar"/>
        </w:rPr>
        <w:t xml:space="preserve"> a stronger impact on improving employment quality in eastern cities. Similarly, the coefficient on the interaction term for southern cities </w:t>
      </w:r>
      <w:r>
        <w:rPr>
          <w:rFonts w:hint="default" w:ascii="Times New Roman Regular" w:hAnsi="Times New Roman Regular" w:eastAsia="宋体" w:cs="Times New Roman Regular"/>
          <w:kern w:val="0"/>
          <w:sz w:val="24"/>
          <w:szCs w:val="24"/>
          <w:lang w:val="en-US" w:eastAsia="zh-CN" w:bidi="ar"/>
        </w:rPr>
        <w:t xml:space="preserve">was also </w:t>
      </w:r>
      <w:r>
        <w:rPr>
          <w:rFonts w:ascii="Times New Roman Regular" w:hAnsi="Times New Roman Regular" w:eastAsia="宋体" w:cs="Times New Roman Regular"/>
          <w:kern w:val="0"/>
          <w:sz w:val="24"/>
          <w:szCs w:val="24"/>
          <w:lang w:val="en-US" w:eastAsia="zh-CN" w:bidi="ar"/>
        </w:rPr>
        <w:t xml:space="preserve">significant at the 1% level, suggesting that the policy effect </w:t>
      </w:r>
      <w:r>
        <w:rPr>
          <w:rFonts w:hint="default" w:ascii="Times New Roman Regular" w:hAnsi="Times New Roman Regular" w:eastAsia="宋体" w:cs="Times New Roman Regular"/>
          <w:kern w:val="0"/>
          <w:sz w:val="24"/>
          <w:szCs w:val="24"/>
          <w:lang w:val="en-US" w:eastAsia="zh-CN" w:bidi="ar"/>
        </w:rPr>
        <w:t>was</w:t>
      </w:r>
      <w:r>
        <w:rPr>
          <w:rFonts w:ascii="Times New Roman Regular" w:hAnsi="Times New Roman Regular" w:eastAsia="宋体" w:cs="Times New Roman Regular"/>
          <w:kern w:val="0"/>
          <w:sz w:val="24"/>
          <w:szCs w:val="24"/>
          <w:lang w:val="en-US" w:eastAsia="zh-CN" w:bidi="ar"/>
        </w:rPr>
        <w:t xml:space="preserve"> more pronounced in the south. These patterns likely reflect the fact that eastern and southern cities—particularly those in the Yangtze River Delta and Pearl River Delta—possess more advanced infrastructure, higher marketization, and more dynamic private sectors, which enhance their responsiveness to policy incentives. In contrast, cities in the central, western, and northern regions may face structural rigidities and institutional constraints that weaken policy transmission. The results for coastal versus inland cities reveal</w:t>
      </w:r>
      <w:r>
        <w:rPr>
          <w:rFonts w:hint="default" w:ascii="Times New Roman Regular" w:hAnsi="Times New Roman Regular" w:eastAsia="宋体" w:cs="Times New Roman Regular"/>
          <w:kern w:val="0"/>
          <w:sz w:val="24"/>
          <w:szCs w:val="24"/>
          <w:lang w:val="en-US" w:eastAsia="zh-CN" w:bidi="ar"/>
        </w:rPr>
        <w:t>ed</w:t>
      </w:r>
      <w:r>
        <w:rPr>
          <w:rFonts w:ascii="Times New Roman Regular" w:hAnsi="Times New Roman Regular" w:eastAsia="宋体" w:cs="Times New Roman Regular"/>
          <w:kern w:val="0"/>
          <w:sz w:val="24"/>
          <w:szCs w:val="24"/>
          <w:lang w:val="en-US" w:eastAsia="zh-CN" w:bidi="ar"/>
        </w:rPr>
        <w:t xml:space="preserve"> a smaller yet still significant positive coefficient, impl</w:t>
      </w:r>
      <w:r>
        <w:rPr>
          <w:rFonts w:hint="default" w:ascii="Times New Roman Regular" w:hAnsi="Times New Roman Regular" w:eastAsia="宋体" w:cs="Times New Roman Regular"/>
          <w:kern w:val="0"/>
          <w:sz w:val="24"/>
          <w:szCs w:val="24"/>
          <w:lang w:val="en-US" w:eastAsia="zh-CN" w:bidi="ar"/>
        </w:rPr>
        <w:t>ied</w:t>
      </w:r>
      <w:r>
        <w:rPr>
          <w:rFonts w:ascii="Times New Roman Regular" w:hAnsi="Times New Roman Regular" w:eastAsia="宋体" w:cs="Times New Roman Regular"/>
          <w:kern w:val="0"/>
          <w:sz w:val="24"/>
          <w:szCs w:val="24"/>
          <w:lang w:val="en-US" w:eastAsia="zh-CN" w:bidi="ar"/>
        </w:rPr>
        <w:t xml:space="preserve"> that while coastal cities benefit from superior openness and agglomeration economies, the marginal gains from additional policy support may be limited by a “ceiling effect.” Overall, the evidence underscore</w:t>
      </w:r>
      <w:r>
        <w:rPr>
          <w:rFonts w:hint="default" w:ascii="Times New Roman Regular" w:hAnsi="Times New Roman Regular" w:eastAsia="宋体" w:cs="Times New Roman Regular"/>
          <w:kern w:val="0"/>
          <w:sz w:val="24"/>
          <w:szCs w:val="24"/>
          <w:lang w:val="en-US" w:eastAsia="zh-CN" w:bidi="ar"/>
        </w:rPr>
        <w:t>d</w:t>
      </w:r>
      <w:r>
        <w:rPr>
          <w:rFonts w:ascii="Times New Roman Regular" w:hAnsi="Times New Roman Regular" w:eastAsia="宋体" w:cs="Times New Roman Regular"/>
          <w:kern w:val="0"/>
          <w:sz w:val="24"/>
          <w:szCs w:val="24"/>
          <w:lang w:val="en-US" w:eastAsia="zh-CN" w:bidi="ar"/>
        </w:rPr>
        <w:t xml:space="preserve"> that the policy’s effectiveness </w:t>
      </w:r>
      <w:r>
        <w:rPr>
          <w:rFonts w:hint="default" w:ascii="Times New Roman Regular" w:hAnsi="Times New Roman Regular" w:eastAsia="宋体" w:cs="Times New Roman Regular"/>
          <w:kern w:val="0"/>
          <w:sz w:val="24"/>
          <w:szCs w:val="24"/>
          <w:lang w:val="en-US" w:eastAsia="zh-CN" w:bidi="ar"/>
        </w:rPr>
        <w:t>was</w:t>
      </w:r>
      <w:r>
        <w:rPr>
          <w:rFonts w:ascii="Times New Roman Regular" w:hAnsi="Times New Roman Regular" w:eastAsia="宋体" w:cs="Times New Roman Regular"/>
          <w:kern w:val="0"/>
          <w:sz w:val="24"/>
          <w:szCs w:val="24"/>
          <w:lang w:val="en-US" w:eastAsia="zh-CN" w:bidi="ar"/>
        </w:rPr>
        <w:t xml:space="preserve"> spatially heterogeneous, favoring regions with stronger economic foundations and institutional adaptability.</w:t>
      </w:r>
    </w:p>
    <w:p>
      <w:pPr>
        <w:spacing w:after="157" w:afterLines="50"/>
        <w:jc w:val="center"/>
        <w:rPr>
          <w:rFonts w:ascii="Times New Roman Regular" w:hAnsi="Times New Roman Regular" w:eastAsia="宋体" w:cs="Times New Roman Regular"/>
          <w:kern w:val="0"/>
          <w:sz w:val="24"/>
          <w:szCs w:val="24"/>
          <w:lang w:val="en-US" w:eastAsia="zh-CN" w:bidi="ar"/>
        </w:rPr>
      </w:pPr>
      <w:r>
        <w:rPr>
          <w:rFonts w:ascii="Times New Roman Regular" w:hAnsi="Times New Roman Regular" w:eastAsia="宋体" w:cs="Times New Roman Regular"/>
          <w:kern w:val="0"/>
          <w:sz w:val="24"/>
          <w:szCs w:val="24"/>
          <w:lang w:val="en-US" w:eastAsia="zh-CN" w:bidi="ar"/>
        </w:rPr>
        <w:drawing>
          <wp:inline distT="0" distB="0" distL="114300" distR="114300">
            <wp:extent cx="5029200" cy="3657600"/>
            <wp:effectExtent l="0" t="0" r="0" b="0"/>
            <wp:docPr id="7" name="图片 7" descr="Geographical_inter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Geographical_interactions"/>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5029200" cy="3657600"/>
                    </a:xfrm>
                    <a:prstGeom prst="rect">
                      <a:avLst/>
                    </a:prstGeom>
                  </pic:spPr>
                </pic:pic>
              </a:graphicData>
            </a:graphic>
          </wp:inline>
        </w:drawing>
      </w:r>
    </w:p>
    <w:p>
      <w:pPr>
        <w:widowControl/>
        <w:spacing w:before="0" w:beforeLines="-2147483648" w:after="0" w:afterLines="-2147483648"/>
        <w:ind w:firstLine="0" w:firstLineChars="0"/>
        <w:jc w:val="center"/>
        <w:rPr>
          <w:rFonts w:ascii="Times New Roman Regular" w:hAnsi="Times New Roman Regular" w:eastAsia="宋体" w:cs="Times New Roman Regular"/>
          <w:kern w:val="0"/>
          <w:sz w:val="24"/>
          <w:szCs w:val="24"/>
          <w:lang w:val="en-US" w:eastAsia="zh-CN" w:bidi="ar"/>
        </w:rPr>
      </w:pPr>
      <w:r>
        <w:rPr>
          <w:rFonts w:ascii="Times New Roman Bold" w:hAnsi="Times New Roman Bold" w:cs="Times New Roman Bold"/>
          <w:b/>
          <w:bCs/>
          <w:sz w:val="20"/>
          <w:szCs w:val="20"/>
        </w:rPr>
        <w:t>Fig.</w:t>
      </w:r>
      <w:r>
        <w:rPr>
          <w:rFonts w:hint="default" w:ascii="Times New Roman Bold" w:hAnsi="Times New Roman Bold" w:cs="Times New Roman Bold"/>
          <w:b/>
          <w:bCs/>
          <w:sz w:val="20"/>
          <w:szCs w:val="20"/>
          <w:lang w:val="en-US" w:eastAsia="zh-CN"/>
        </w:rPr>
        <w:t xml:space="preserve"> </w:t>
      </w:r>
      <w:r>
        <w:rPr>
          <w:rFonts w:hint="default" w:ascii="Times New Roman Bold" w:hAnsi="Times New Roman Bold" w:cs="Times New Roman Bold"/>
          <w:b/>
          <w:bCs/>
          <w:sz w:val="20"/>
          <w:szCs w:val="20"/>
        </w:rPr>
        <w:t>5.</w:t>
      </w:r>
      <w:r>
        <w:rPr>
          <w:rFonts w:hint="default" w:ascii="Times New Roman Regular" w:hAnsi="Times New Roman Regular" w:cs="Times New Roman Regular"/>
          <w:b/>
          <w:bCs/>
          <w:sz w:val="20"/>
          <w:szCs w:val="20"/>
        </w:rPr>
        <w:t xml:space="preserve"> </w:t>
      </w:r>
      <w:r>
        <w:rPr>
          <w:rFonts w:ascii="Times New Roman Regular" w:hAnsi="Times New Roman Regular" w:eastAsia="宋体" w:cs="Times New Roman Regular"/>
          <w:kern w:val="0"/>
          <w:sz w:val="20"/>
          <w:szCs w:val="20"/>
          <w:lang w:val="en-US" w:eastAsia="zh-CN" w:bidi="ar"/>
        </w:rPr>
        <w:t xml:space="preserve">Heterogeneous </w:t>
      </w:r>
      <w:r>
        <w:rPr>
          <w:rFonts w:hint="eastAsia" w:ascii="Times New Roman Regular" w:hAnsi="Times New Roman Regular" w:eastAsia="宋体" w:cs="Times New Roman Regular"/>
          <w:kern w:val="0"/>
          <w:sz w:val="20"/>
          <w:szCs w:val="20"/>
          <w:lang w:val="en-US" w:eastAsia="zh-CN" w:bidi="ar"/>
        </w:rPr>
        <w:t>p</w:t>
      </w:r>
      <w:r>
        <w:rPr>
          <w:rFonts w:ascii="Times New Roman Regular" w:hAnsi="Times New Roman Regular" w:eastAsia="宋体" w:cs="Times New Roman Regular"/>
          <w:kern w:val="0"/>
          <w:sz w:val="20"/>
          <w:szCs w:val="20"/>
          <w:lang w:val="en-US" w:eastAsia="zh-CN" w:bidi="ar"/>
        </w:rPr>
        <w:t xml:space="preserve">olicy </w:t>
      </w:r>
      <w:r>
        <w:rPr>
          <w:rFonts w:hint="eastAsia" w:ascii="Times New Roman Regular" w:hAnsi="Times New Roman Regular" w:eastAsia="宋体" w:cs="Times New Roman Regular"/>
          <w:kern w:val="0"/>
          <w:sz w:val="20"/>
          <w:szCs w:val="20"/>
          <w:lang w:val="en-US" w:eastAsia="zh-CN" w:bidi="ar"/>
        </w:rPr>
        <w:t>e</w:t>
      </w:r>
      <w:r>
        <w:rPr>
          <w:rFonts w:ascii="Times New Roman Regular" w:hAnsi="Times New Roman Regular" w:eastAsia="宋体" w:cs="Times New Roman Regular"/>
          <w:kern w:val="0"/>
          <w:sz w:val="20"/>
          <w:szCs w:val="20"/>
          <w:lang w:val="en-US" w:eastAsia="zh-CN" w:bidi="ar"/>
        </w:rPr>
        <w:t xml:space="preserve">ffects </w:t>
      </w:r>
      <w:r>
        <w:rPr>
          <w:rFonts w:hint="eastAsia" w:ascii="Times New Roman Regular" w:hAnsi="Times New Roman Regular" w:eastAsia="宋体" w:cs="Times New Roman Regular"/>
          <w:kern w:val="0"/>
          <w:sz w:val="20"/>
          <w:szCs w:val="20"/>
          <w:lang w:val="en-US" w:eastAsia="zh-CN" w:bidi="ar"/>
        </w:rPr>
        <w:t>a</w:t>
      </w:r>
      <w:r>
        <w:rPr>
          <w:rFonts w:ascii="Times New Roman Regular" w:hAnsi="Times New Roman Regular" w:eastAsia="宋体" w:cs="Times New Roman Regular"/>
          <w:kern w:val="0"/>
          <w:sz w:val="20"/>
          <w:szCs w:val="20"/>
          <w:lang w:val="en-US" w:eastAsia="zh-CN" w:bidi="ar"/>
        </w:rPr>
        <w:t xml:space="preserve">cross </w:t>
      </w:r>
      <w:r>
        <w:rPr>
          <w:rFonts w:hint="eastAsia" w:ascii="Times New Roman Regular" w:hAnsi="Times New Roman Regular" w:eastAsia="宋体" w:cs="Times New Roman Regular"/>
          <w:kern w:val="0"/>
          <w:sz w:val="20"/>
          <w:szCs w:val="20"/>
          <w:lang w:val="en-US" w:eastAsia="zh-CN" w:bidi="ar"/>
        </w:rPr>
        <w:t>r</w:t>
      </w:r>
      <w:r>
        <w:rPr>
          <w:rFonts w:ascii="Times New Roman Regular" w:hAnsi="Times New Roman Regular" w:eastAsia="宋体" w:cs="Times New Roman Regular"/>
          <w:kern w:val="0"/>
          <w:sz w:val="20"/>
          <w:szCs w:val="20"/>
          <w:lang w:val="en-US" w:eastAsia="zh-CN" w:bidi="ar"/>
        </w:rPr>
        <w:t>egions</w:t>
      </w:r>
    </w:p>
    <w:p>
      <w:pPr>
        <w:spacing w:before="157" w:beforeLines="50" w:after="157" w:afterLines="50"/>
        <w:ind w:firstLine="0" w:firstLineChars="0"/>
        <w:rPr>
          <w:rFonts w:ascii="Times New Roman Regular" w:hAnsi="Times New Roman Regular" w:cs="Times New Roman Regular"/>
          <w:sz w:val="24"/>
        </w:rPr>
      </w:pPr>
      <w:r>
        <w:rPr>
          <w:rFonts w:hint="default" w:ascii="Times New Roman Bold Italic" w:hAnsi="Times New Roman Bold Italic" w:cs="Times New Roman Bold Italic"/>
          <w:b/>
          <w:i/>
          <w:iCs/>
          <w:sz w:val="24"/>
          <w:lang w:val="en-US" w:eastAsia="zh-CN"/>
        </w:rPr>
        <w:t>4.5</w:t>
      </w:r>
      <w:r>
        <w:rPr>
          <w:rFonts w:ascii="Times New Roman Bold Italic" w:hAnsi="Times New Roman Bold Italic" w:cs="Times New Roman Bold Italic"/>
          <w:b/>
          <w:i/>
          <w:iCs/>
          <w:sz w:val="24"/>
        </w:rPr>
        <w:t>.2 City size heterogeneity</w:t>
      </w:r>
    </w:p>
    <w:p>
      <w:pPr>
        <w:spacing w:before="0" w:beforeLines="0" w:after="0" w:afterLines="0"/>
        <w:ind w:firstLine="240" w:firstLineChars="100"/>
        <w:rPr>
          <w:rFonts w:ascii="Times New Roman Regular" w:hAnsi="Times New Roman Regular" w:cs="Times New Roman Regular" w:eastAsiaTheme="minorEastAsia"/>
          <w:kern w:val="2"/>
          <w:sz w:val="24"/>
          <w:szCs w:val="24"/>
          <w:lang w:val="en-US" w:eastAsia="zh-CN" w:bidi="ar"/>
        </w:rPr>
      </w:pPr>
      <w:r>
        <w:rPr>
          <w:rFonts w:ascii="Times New Roman Regular" w:hAnsi="Times New Roman Regular" w:cs="Times New Roman Regular" w:eastAsiaTheme="minorEastAsia"/>
          <w:kern w:val="2"/>
          <w:sz w:val="24"/>
          <w:szCs w:val="24"/>
          <w:lang w:val="en-US" w:eastAsia="zh-CN" w:bidi="ar"/>
        </w:rPr>
        <w:t>To examine whether the effects of the NTUPP vary by city size and administrative status, we further test</w:t>
      </w:r>
      <w:r>
        <w:rPr>
          <w:rFonts w:hint="default" w:ascii="Times New Roman Regular" w:hAnsi="Times New Roman Regular" w:cs="Times New Roman Regular"/>
          <w:kern w:val="2"/>
          <w:sz w:val="24"/>
          <w:szCs w:val="24"/>
          <w:lang w:val="en-US" w:eastAsia="zh-CN" w:bidi="ar"/>
        </w:rPr>
        <w:t>ed</w:t>
      </w:r>
      <w:r>
        <w:rPr>
          <w:rFonts w:ascii="Times New Roman Regular" w:hAnsi="Times New Roman Regular" w:cs="Times New Roman Regular" w:eastAsiaTheme="minorEastAsia"/>
          <w:kern w:val="2"/>
          <w:sz w:val="24"/>
          <w:szCs w:val="24"/>
          <w:lang w:val="en-US" w:eastAsia="zh-CN" w:bidi="ar"/>
        </w:rPr>
        <w:t xml:space="preserve"> heterogeneity across regional central cities, large-sized cities, and provincial capitals. The interaction term between the policy dummy and the regional center indicator </w:t>
      </w:r>
      <w:r>
        <w:rPr>
          <w:rFonts w:hint="default" w:ascii="Times New Roman Regular" w:hAnsi="Times New Roman Regular" w:cs="Times New Roman Regular"/>
          <w:kern w:val="2"/>
          <w:sz w:val="24"/>
          <w:szCs w:val="24"/>
          <w:lang w:val="en-US" w:eastAsia="zh-CN" w:bidi="ar"/>
        </w:rPr>
        <w:t>was</w:t>
      </w:r>
      <w:r>
        <w:rPr>
          <w:rFonts w:ascii="Times New Roman Regular" w:hAnsi="Times New Roman Regular" w:cs="Times New Roman Regular" w:eastAsiaTheme="minorEastAsia"/>
          <w:kern w:val="2"/>
          <w:sz w:val="24"/>
          <w:szCs w:val="24"/>
          <w:lang w:val="en-US" w:eastAsia="zh-CN" w:bidi="ar"/>
        </w:rPr>
        <w:t xml:space="preserve"> significantly negative, suggesting that the policy exert</w:t>
      </w:r>
      <w:r>
        <w:rPr>
          <w:rFonts w:hint="eastAsia" w:ascii="Times New Roman Regular" w:hAnsi="Times New Roman Regular" w:cs="Times New Roman Regular"/>
          <w:kern w:val="2"/>
          <w:sz w:val="24"/>
          <w:szCs w:val="24"/>
          <w:lang w:val="en-US" w:eastAsia="zh-CN" w:bidi="ar"/>
        </w:rPr>
        <w:t>ed</w:t>
      </w:r>
      <w:r>
        <w:rPr>
          <w:rFonts w:ascii="Times New Roman Regular" w:hAnsi="Times New Roman Regular" w:cs="Times New Roman Regular" w:eastAsiaTheme="minorEastAsia"/>
          <w:kern w:val="2"/>
          <w:sz w:val="24"/>
          <w:szCs w:val="24"/>
          <w:lang w:val="en-US" w:eastAsia="zh-CN" w:bidi="ar"/>
        </w:rPr>
        <w:t xml:space="preserve"> a weaker—or even adverse—effect on employment quality in regional hubs. These cities often face</w:t>
      </w:r>
      <w:r>
        <w:rPr>
          <w:rFonts w:hint="default" w:ascii="Times New Roman Regular" w:hAnsi="Times New Roman Regular" w:cs="Times New Roman Regular"/>
          <w:kern w:val="2"/>
          <w:sz w:val="24"/>
          <w:szCs w:val="24"/>
          <w:lang w:val="en-US" w:eastAsia="zh-CN" w:bidi="ar"/>
        </w:rPr>
        <w:t>d</w:t>
      </w:r>
      <w:r>
        <w:rPr>
          <w:rFonts w:ascii="Times New Roman Regular" w:hAnsi="Times New Roman Regular" w:cs="Times New Roman Regular" w:eastAsiaTheme="minorEastAsia"/>
          <w:kern w:val="2"/>
          <w:sz w:val="24"/>
          <w:szCs w:val="24"/>
          <w:lang w:val="en-US" w:eastAsia="zh-CN" w:bidi="ar"/>
        </w:rPr>
        <w:t xml:space="preserve"> saturated labor markets, higher congestion costs, and strong growth pressures, leaving limited marginal gains from additional policy interventions. Similarly, the estimated coefficient for large-sized cities </w:t>
      </w:r>
      <w:r>
        <w:rPr>
          <w:rFonts w:hint="eastAsia" w:ascii="Times New Roman Regular" w:hAnsi="Times New Roman Regular" w:cs="Times New Roman Regular"/>
          <w:kern w:val="2"/>
          <w:sz w:val="24"/>
          <w:szCs w:val="24"/>
          <w:lang w:val="en-US" w:eastAsia="zh-CN" w:bidi="ar"/>
        </w:rPr>
        <w:t>was</w:t>
      </w:r>
      <w:r>
        <w:rPr>
          <w:rFonts w:ascii="Times New Roman Regular" w:hAnsi="Times New Roman Regular" w:cs="Times New Roman Regular" w:eastAsiaTheme="minorEastAsia"/>
          <w:kern w:val="2"/>
          <w:sz w:val="24"/>
          <w:szCs w:val="24"/>
          <w:lang w:val="en-US" w:eastAsia="zh-CN" w:bidi="ar"/>
        </w:rPr>
        <w:t xml:space="preserve"> negative and significant, reflecting a marginal saturation effect: highly developed cities already possess</w:t>
      </w:r>
      <w:r>
        <w:rPr>
          <w:rFonts w:hint="eastAsia" w:ascii="Times New Roman Regular" w:hAnsi="Times New Roman Regular" w:cs="Times New Roman Regular"/>
          <w:kern w:val="2"/>
          <w:sz w:val="24"/>
          <w:szCs w:val="24"/>
          <w:lang w:val="en-US" w:eastAsia="zh-CN" w:bidi="ar"/>
        </w:rPr>
        <w:t>ed</w:t>
      </w:r>
      <w:r>
        <w:rPr>
          <w:rFonts w:ascii="Times New Roman Regular" w:hAnsi="Times New Roman Regular" w:cs="Times New Roman Regular" w:eastAsiaTheme="minorEastAsia"/>
          <w:kern w:val="2"/>
          <w:sz w:val="24"/>
          <w:szCs w:val="24"/>
          <w:lang w:val="en-US" w:eastAsia="zh-CN" w:bidi="ar"/>
        </w:rPr>
        <w:t xml:space="preserve"> strong industrial bases and employment capacity, while rising living costs and migration pressures may </w:t>
      </w:r>
      <w:r>
        <w:rPr>
          <w:rFonts w:hint="eastAsia" w:ascii="Times New Roman Regular" w:hAnsi="Times New Roman Regular" w:cs="Times New Roman Regular"/>
          <w:kern w:val="2"/>
          <w:sz w:val="24"/>
          <w:szCs w:val="24"/>
          <w:lang w:val="en-US" w:eastAsia="zh-CN" w:bidi="ar"/>
        </w:rPr>
        <w:t xml:space="preserve">have </w:t>
      </w:r>
      <w:r>
        <w:rPr>
          <w:rFonts w:ascii="Times New Roman Regular" w:hAnsi="Times New Roman Regular" w:cs="Times New Roman Regular" w:eastAsiaTheme="minorEastAsia"/>
          <w:kern w:val="2"/>
          <w:sz w:val="24"/>
          <w:szCs w:val="24"/>
          <w:lang w:val="en-US" w:eastAsia="zh-CN" w:bidi="ar"/>
        </w:rPr>
        <w:t>offset potential policy benefits. Provincial capital cities show</w:t>
      </w:r>
      <w:r>
        <w:rPr>
          <w:rFonts w:hint="default" w:ascii="Times New Roman Regular" w:hAnsi="Times New Roman Regular" w:cs="Times New Roman Regular"/>
          <w:kern w:val="2"/>
          <w:sz w:val="24"/>
          <w:szCs w:val="24"/>
          <w:lang w:val="en-US" w:eastAsia="zh-CN" w:bidi="ar"/>
        </w:rPr>
        <w:t>ed</w:t>
      </w:r>
      <w:r>
        <w:rPr>
          <w:rFonts w:ascii="Times New Roman Regular" w:hAnsi="Times New Roman Regular" w:cs="Times New Roman Regular" w:eastAsiaTheme="minorEastAsia"/>
          <w:kern w:val="2"/>
          <w:sz w:val="24"/>
          <w:szCs w:val="24"/>
          <w:lang w:val="en-US" w:eastAsia="zh-CN" w:bidi="ar"/>
        </w:rPr>
        <w:t xml:space="preserve"> a comparable pattern, implying that their administrative advantages and abundant policy resources may actually </w:t>
      </w:r>
      <w:r>
        <w:rPr>
          <w:rFonts w:hint="eastAsia" w:ascii="Times New Roman Regular" w:hAnsi="Times New Roman Regular" w:cs="Times New Roman Regular"/>
          <w:kern w:val="2"/>
          <w:sz w:val="24"/>
          <w:szCs w:val="24"/>
          <w:lang w:val="en-US" w:eastAsia="zh-CN" w:bidi="ar"/>
        </w:rPr>
        <w:t xml:space="preserve">have </w:t>
      </w:r>
      <w:r>
        <w:rPr>
          <w:rFonts w:ascii="Times New Roman Regular" w:hAnsi="Times New Roman Regular" w:cs="Times New Roman Regular" w:eastAsiaTheme="minorEastAsia"/>
          <w:kern w:val="2"/>
          <w:sz w:val="24"/>
          <w:szCs w:val="24"/>
          <w:lang w:val="en-US" w:eastAsia="zh-CN" w:bidi="ar"/>
        </w:rPr>
        <w:t>constrain</w:t>
      </w:r>
      <w:r>
        <w:rPr>
          <w:rFonts w:hint="eastAsia" w:ascii="Times New Roman Regular" w:hAnsi="Times New Roman Regular" w:cs="Times New Roman Regular"/>
          <w:kern w:val="2"/>
          <w:sz w:val="24"/>
          <w:szCs w:val="24"/>
          <w:lang w:val="en-US" w:eastAsia="zh-CN" w:bidi="ar"/>
        </w:rPr>
        <w:t>ed</w:t>
      </w:r>
      <w:r>
        <w:rPr>
          <w:rFonts w:ascii="Times New Roman Regular" w:hAnsi="Times New Roman Regular" w:cs="Times New Roman Regular" w:eastAsiaTheme="minorEastAsia"/>
          <w:kern w:val="2"/>
          <w:sz w:val="24"/>
          <w:szCs w:val="24"/>
          <w:lang w:val="en-US" w:eastAsia="zh-CN" w:bidi="ar"/>
        </w:rPr>
        <w:t xml:space="preserve"> the incremental impact of the NTUPP through crowding-out effects or policy coordination frictions. In contrast, smaller and non-central cities—with weaker development foundations and greater institutional flexibility—tend</w:t>
      </w:r>
      <w:r>
        <w:rPr>
          <w:rFonts w:hint="eastAsia" w:ascii="Times New Roman Regular" w:hAnsi="Times New Roman Regular" w:cs="Times New Roman Regular"/>
          <w:kern w:val="2"/>
          <w:sz w:val="24"/>
          <w:szCs w:val="24"/>
          <w:lang w:val="en-US" w:eastAsia="zh-CN" w:bidi="ar"/>
        </w:rPr>
        <w:t>ed</w:t>
      </w:r>
      <w:r>
        <w:rPr>
          <w:rFonts w:ascii="Times New Roman Regular" w:hAnsi="Times New Roman Regular" w:cs="Times New Roman Regular" w:eastAsiaTheme="minorEastAsia"/>
          <w:kern w:val="2"/>
          <w:sz w:val="24"/>
          <w:szCs w:val="24"/>
          <w:lang w:val="en-US" w:eastAsia="zh-CN" w:bidi="ar"/>
        </w:rPr>
        <w:t xml:space="preserve"> to benefit more from the policy, as infrastructure upgrades, improved public services, and new industrial inflows translate</w:t>
      </w:r>
      <w:r>
        <w:rPr>
          <w:rFonts w:hint="eastAsia" w:ascii="Times New Roman Regular" w:hAnsi="Times New Roman Regular" w:cs="Times New Roman Regular"/>
          <w:kern w:val="2"/>
          <w:sz w:val="24"/>
          <w:szCs w:val="24"/>
          <w:lang w:val="en-US" w:eastAsia="zh-CN" w:bidi="ar"/>
        </w:rPr>
        <w:t>d</w:t>
      </w:r>
      <w:r>
        <w:rPr>
          <w:rFonts w:ascii="Times New Roman Regular" w:hAnsi="Times New Roman Regular" w:cs="Times New Roman Regular" w:eastAsiaTheme="minorEastAsia"/>
          <w:kern w:val="2"/>
          <w:sz w:val="24"/>
          <w:szCs w:val="24"/>
          <w:lang w:val="en-US" w:eastAsia="zh-CN" w:bidi="ar"/>
        </w:rPr>
        <w:t xml:space="preserve"> more directly into enhanced employment quality.</w:t>
      </w:r>
    </w:p>
    <w:p>
      <w:pPr>
        <w:spacing w:before="0" w:beforeLines="0" w:after="0" w:afterLines="0"/>
        <w:ind w:firstLine="240" w:firstLineChars="100"/>
        <w:rPr>
          <w:rFonts w:ascii="Times New Roman Regular" w:hAnsi="Times New Roman Regular" w:cs="Times New Roman Regular" w:eastAsiaTheme="minorEastAsia"/>
          <w:kern w:val="2"/>
          <w:sz w:val="24"/>
          <w:szCs w:val="24"/>
          <w:lang w:val="en-US" w:eastAsia="zh-CN" w:bidi="ar"/>
        </w:rPr>
      </w:pPr>
      <w:r>
        <w:rPr>
          <w:rFonts w:ascii="Times New Roman Regular" w:hAnsi="Times New Roman Regular" w:cs="Times New Roman Regular" w:eastAsiaTheme="minorEastAsia"/>
          <w:kern w:val="2"/>
          <w:sz w:val="24"/>
          <w:szCs w:val="24"/>
          <w:lang w:val="en-US" w:eastAsia="zh-CN" w:bidi="ar"/>
        </w:rPr>
        <w:drawing>
          <wp:inline distT="0" distB="0" distL="114300" distR="114300">
            <wp:extent cx="5029200" cy="3657600"/>
            <wp:effectExtent l="0" t="0" r="0" b="0"/>
            <wp:docPr id="9" name="图片 9" descr="CityLevel_inter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ityLevel_interactions"/>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0" y="0"/>
                      <a:ext cx="5029200" cy="3657600"/>
                    </a:xfrm>
                    <a:prstGeom prst="rect">
                      <a:avLst/>
                    </a:prstGeom>
                  </pic:spPr>
                </pic:pic>
              </a:graphicData>
            </a:graphic>
          </wp:inline>
        </w:drawing>
      </w:r>
    </w:p>
    <w:p>
      <w:pPr>
        <w:widowControl/>
        <w:spacing w:before="0" w:beforeLines="-2147483648" w:after="0" w:afterLines="-2147483648"/>
        <w:ind w:firstLine="0" w:firstLineChars="0"/>
        <w:jc w:val="center"/>
        <w:rPr>
          <w:rFonts w:ascii="Times New Roman Regular" w:hAnsi="Times New Roman Regular" w:cs="Times New Roman Regular" w:eastAsiaTheme="minorEastAsia"/>
          <w:kern w:val="2"/>
          <w:sz w:val="24"/>
          <w:szCs w:val="24"/>
          <w:lang w:val="en-US" w:eastAsia="zh-CN" w:bidi="ar"/>
        </w:rPr>
      </w:pPr>
      <w:r>
        <w:rPr>
          <w:rFonts w:ascii="Times New Roman Bold" w:hAnsi="Times New Roman Bold" w:cs="Times New Roman Bold"/>
          <w:b/>
          <w:bCs/>
          <w:sz w:val="20"/>
          <w:szCs w:val="20"/>
        </w:rPr>
        <w:t>Fig.</w:t>
      </w:r>
      <w:r>
        <w:rPr>
          <w:rFonts w:hint="default" w:ascii="Times New Roman Bold" w:hAnsi="Times New Roman Bold" w:cs="Times New Roman Bold"/>
          <w:b/>
          <w:bCs/>
          <w:sz w:val="20"/>
          <w:szCs w:val="20"/>
          <w:lang w:val="en-US" w:eastAsia="zh-CN"/>
        </w:rPr>
        <w:t xml:space="preserve"> </w:t>
      </w:r>
      <w:r>
        <w:rPr>
          <w:rFonts w:hint="eastAsia" w:ascii="Times New Roman Bold" w:hAnsi="Times New Roman Bold" w:cs="Times New Roman Bold"/>
          <w:b/>
          <w:bCs/>
          <w:sz w:val="20"/>
          <w:szCs w:val="20"/>
          <w:lang w:val="en-US" w:eastAsia="zh-CN"/>
        </w:rPr>
        <w:t>6</w:t>
      </w:r>
      <w:r>
        <w:rPr>
          <w:rFonts w:hint="default" w:ascii="Times New Roman Bold" w:hAnsi="Times New Roman Bold" w:cs="Times New Roman Bold"/>
          <w:b/>
          <w:bCs/>
          <w:sz w:val="20"/>
          <w:szCs w:val="20"/>
        </w:rPr>
        <w:t>.</w:t>
      </w:r>
      <w:r>
        <w:rPr>
          <w:rFonts w:hint="default" w:ascii="Times New Roman Regular" w:hAnsi="Times New Roman Regular" w:cs="Times New Roman Regular"/>
          <w:b/>
          <w:bCs/>
          <w:sz w:val="20"/>
          <w:szCs w:val="20"/>
        </w:rPr>
        <w:t xml:space="preserve"> </w:t>
      </w:r>
      <w:r>
        <w:rPr>
          <w:rFonts w:ascii="Times New Roman Regular" w:hAnsi="Times New Roman Regular" w:eastAsia="宋体" w:cs="Times New Roman Regular"/>
          <w:kern w:val="0"/>
          <w:sz w:val="20"/>
          <w:szCs w:val="20"/>
          <w:lang w:val="en-US" w:eastAsia="zh-CN" w:bidi="ar"/>
        </w:rPr>
        <w:t xml:space="preserve">Heterogeneous </w:t>
      </w:r>
      <w:r>
        <w:rPr>
          <w:rFonts w:hint="eastAsia" w:ascii="Times New Roman Regular" w:hAnsi="Times New Roman Regular" w:eastAsia="宋体" w:cs="Times New Roman Regular"/>
          <w:kern w:val="0"/>
          <w:sz w:val="20"/>
          <w:szCs w:val="20"/>
          <w:lang w:val="en-US" w:eastAsia="zh-CN" w:bidi="ar"/>
        </w:rPr>
        <w:t>p</w:t>
      </w:r>
      <w:r>
        <w:rPr>
          <w:rFonts w:ascii="Times New Roman Regular" w:hAnsi="Times New Roman Regular" w:eastAsia="宋体" w:cs="Times New Roman Regular"/>
          <w:kern w:val="0"/>
          <w:sz w:val="20"/>
          <w:szCs w:val="20"/>
          <w:lang w:val="en-US" w:eastAsia="zh-CN" w:bidi="ar"/>
        </w:rPr>
        <w:t xml:space="preserve">olicy </w:t>
      </w:r>
      <w:r>
        <w:rPr>
          <w:rFonts w:hint="eastAsia" w:ascii="Times New Roman Regular" w:hAnsi="Times New Roman Regular" w:eastAsia="宋体" w:cs="Times New Roman Regular"/>
          <w:kern w:val="0"/>
          <w:sz w:val="20"/>
          <w:szCs w:val="20"/>
          <w:lang w:val="en-US" w:eastAsia="zh-CN" w:bidi="ar"/>
        </w:rPr>
        <w:t>e</w:t>
      </w:r>
      <w:r>
        <w:rPr>
          <w:rFonts w:ascii="Times New Roman Regular" w:hAnsi="Times New Roman Regular" w:eastAsia="宋体" w:cs="Times New Roman Regular"/>
          <w:kern w:val="0"/>
          <w:sz w:val="20"/>
          <w:szCs w:val="20"/>
          <w:lang w:val="en-US" w:eastAsia="zh-CN" w:bidi="ar"/>
        </w:rPr>
        <w:t xml:space="preserve">ffects </w:t>
      </w:r>
      <w:r>
        <w:rPr>
          <w:rFonts w:hint="eastAsia" w:ascii="Times New Roman Regular" w:hAnsi="Times New Roman Regular" w:eastAsia="宋体" w:cs="Times New Roman Regular"/>
          <w:kern w:val="0"/>
          <w:sz w:val="20"/>
          <w:szCs w:val="20"/>
          <w:lang w:val="en-US" w:eastAsia="zh-CN" w:bidi="ar"/>
        </w:rPr>
        <w:t>of different city size</w:t>
      </w:r>
    </w:p>
    <w:p>
      <w:pPr>
        <w:spacing w:before="157" w:beforeLines="50" w:after="157" w:afterLines="50"/>
        <w:rPr>
          <w:rFonts w:ascii="Times New Roman Bold Italic" w:hAnsi="Times New Roman Bold Italic" w:cs="Times New Roman Bold Italic"/>
          <w:b/>
          <w:bCs/>
          <w:i/>
          <w:iCs/>
          <w:sz w:val="24"/>
        </w:rPr>
      </w:pPr>
      <w:r>
        <w:rPr>
          <w:rFonts w:hint="default" w:ascii="Times New Roman Bold Italic" w:hAnsi="Times New Roman Bold Italic" w:cs="Times New Roman Bold Italic"/>
          <w:b/>
          <w:bCs/>
          <w:i/>
          <w:iCs/>
          <w:sz w:val="24"/>
          <w:lang w:val="en-US" w:eastAsia="zh-CN"/>
        </w:rPr>
        <w:t>4.5</w:t>
      </w:r>
      <w:r>
        <w:rPr>
          <w:rFonts w:ascii="Times New Roman Bold Italic" w:hAnsi="Times New Roman Bold Italic" w:cs="Times New Roman Bold Italic"/>
          <w:b/>
          <w:bCs/>
          <w:i/>
          <w:iCs/>
          <w:sz w:val="24"/>
        </w:rPr>
        <w:t>.3 Economic-structure-based heterogeneity of cities</w:t>
      </w:r>
    </w:p>
    <w:p>
      <w:pPr>
        <w:spacing w:before="0" w:beforeLines="0" w:after="0" w:afterLines="0"/>
        <w:ind w:firstLine="240" w:firstLineChars="100"/>
        <w:rPr>
          <w:rFonts w:ascii="Times New Roman Regular" w:hAnsi="Times New Roman Regular" w:cs="Times New Roman Regular"/>
          <w:sz w:val="24"/>
        </w:rPr>
      </w:pPr>
      <w:r>
        <w:rPr>
          <w:rFonts w:ascii="Times New Roman Regular" w:hAnsi="Times New Roman Regular" w:cs="Times New Roman Regular"/>
          <w:sz w:val="24"/>
        </w:rPr>
        <w:t>To assess whether local economic structures influence</w:t>
      </w:r>
      <w:r>
        <w:rPr>
          <w:rFonts w:hint="eastAsia" w:ascii="Times New Roman Regular" w:hAnsi="Times New Roman Regular" w:cs="Times New Roman Regular"/>
          <w:sz w:val="24"/>
          <w:lang w:val="en-US" w:eastAsia="zh-CN"/>
        </w:rPr>
        <w:t>d</w:t>
      </w:r>
      <w:r>
        <w:rPr>
          <w:rFonts w:ascii="Times New Roman Regular" w:hAnsi="Times New Roman Regular" w:cs="Times New Roman Regular"/>
          <w:sz w:val="24"/>
        </w:rPr>
        <w:t xml:space="preserve"> the effectiveness of the NTUPP, we further examine</w:t>
      </w:r>
      <w:r>
        <w:rPr>
          <w:rFonts w:hint="eastAsia" w:ascii="Times New Roman Regular" w:hAnsi="Times New Roman Regular" w:cs="Times New Roman Regular"/>
          <w:sz w:val="24"/>
          <w:lang w:val="en-US" w:eastAsia="zh-CN"/>
        </w:rPr>
        <w:t>d</w:t>
      </w:r>
      <w:r>
        <w:rPr>
          <w:rFonts w:ascii="Times New Roman Regular" w:hAnsi="Times New Roman Regular" w:cs="Times New Roman Regular"/>
          <w:sz w:val="24"/>
        </w:rPr>
        <w:t xml:space="preserve"> heterogeneity across </w:t>
      </w:r>
      <w:r>
        <w:rPr>
          <w:rStyle w:val="13"/>
          <w:rFonts w:ascii="Times New Roman Regular" w:hAnsi="Times New Roman Regular" w:cs="Times New Roman Regular"/>
          <w:b w:val="0"/>
          <w:sz w:val="24"/>
        </w:rPr>
        <w:t>old industrial base cities</w:t>
      </w:r>
      <w:r>
        <w:rPr>
          <w:rFonts w:ascii="Times New Roman Regular" w:hAnsi="Times New Roman Regular" w:cs="Times New Roman Regular"/>
          <w:sz w:val="24"/>
        </w:rPr>
        <w:t xml:space="preserve">, </w:t>
      </w:r>
      <w:r>
        <w:rPr>
          <w:rStyle w:val="13"/>
          <w:rFonts w:ascii="Times New Roman Regular" w:hAnsi="Times New Roman Regular" w:cs="Times New Roman Regular"/>
          <w:b w:val="0"/>
          <w:sz w:val="24"/>
        </w:rPr>
        <w:t>transportation hubs</w:t>
      </w:r>
      <w:r>
        <w:rPr>
          <w:rFonts w:ascii="Times New Roman Regular" w:hAnsi="Times New Roman Regular" w:cs="Times New Roman Regular"/>
          <w:sz w:val="24"/>
        </w:rPr>
        <w:t xml:space="preserve">, and </w:t>
      </w:r>
      <w:r>
        <w:rPr>
          <w:rStyle w:val="13"/>
          <w:rFonts w:ascii="Times New Roman Regular" w:hAnsi="Times New Roman Regular" w:cs="Times New Roman Regular"/>
          <w:b w:val="0"/>
          <w:sz w:val="24"/>
        </w:rPr>
        <w:t>resource-based cities</w:t>
      </w:r>
      <w:r>
        <w:rPr>
          <w:rFonts w:ascii="Times New Roman Regular" w:hAnsi="Times New Roman Regular" w:cs="Times New Roman Regular"/>
          <w:sz w:val="24"/>
        </w:rPr>
        <w:t xml:space="preserve">. The coefficient on the interaction term for old industrial base cities is significantly negative, indicating that the policy </w:t>
      </w:r>
      <w:r>
        <w:rPr>
          <w:rFonts w:hint="eastAsia" w:ascii="Times New Roman Regular" w:hAnsi="Times New Roman Regular" w:cs="Times New Roman Regular"/>
          <w:sz w:val="24"/>
          <w:lang w:val="en-US" w:eastAsia="zh-CN"/>
        </w:rPr>
        <w:t>was</w:t>
      </w:r>
      <w:r>
        <w:rPr>
          <w:rFonts w:ascii="Times New Roman Regular" w:hAnsi="Times New Roman Regular" w:cs="Times New Roman Regular"/>
          <w:sz w:val="24"/>
        </w:rPr>
        <w:t xml:space="preserve"> less effective—or even counterproductive—in these areas, where structural rigidity, outdated industrial systems, and overstaffed state-owned enterprises weaken</w:t>
      </w:r>
      <w:r>
        <w:rPr>
          <w:rFonts w:hint="eastAsia" w:ascii="Times New Roman Regular" w:hAnsi="Times New Roman Regular" w:cs="Times New Roman Regular"/>
          <w:sz w:val="24"/>
          <w:lang w:val="en-US" w:eastAsia="zh-CN"/>
        </w:rPr>
        <w:t>ed</w:t>
      </w:r>
      <w:r>
        <w:rPr>
          <w:rFonts w:ascii="Times New Roman Regular" w:hAnsi="Times New Roman Regular" w:cs="Times New Roman Regular"/>
          <w:sz w:val="24"/>
        </w:rPr>
        <w:t xml:space="preserve"> labor-market responsiveness. By contrast, transportation hub cities exhibit</w:t>
      </w:r>
      <w:r>
        <w:rPr>
          <w:rFonts w:hint="eastAsia" w:ascii="Times New Roman Regular" w:hAnsi="Times New Roman Regular" w:cs="Times New Roman Regular"/>
          <w:sz w:val="24"/>
          <w:lang w:val="en-US" w:eastAsia="zh-CN"/>
        </w:rPr>
        <w:t>ed</w:t>
      </w:r>
      <w:r>
        <w:rPr>
          <w:rFonts w:ascii="Times New Roman Regular" w:hAnsi="Times New Roman Regular" w:cs="Times New Roman Regular"/>
          <w:sz w:val="24"/>
        </w:rPr>
        <w:t xml:space="preserve"> a strong and positive moderating effect, suggesting that superior connectivity, dynamic factor flows, and regional integration enhance the efficiency of policy transmission and stimulate</w:t>
      </w:r>
      <w:r>
        <w:rPr>
          <w:rFonts w:hint="eastAsia" w:ascii="Times New Roman Regular" w:hAnsi="Times New Roman Regular" w:cs="Times New Roman Regular"/>
          <w:sz w:val="24"/>
          <w:lang w:val="en-US" w:eastAsia="zh-CN"/>
        </w:rPr>
        <w:t>d</w:t>
      </w:r>
      <w:r>
        <w:rPr>
          <w:rFonts w:ascii="Times New Roman Regular" w:hAnsi="Times New Roman Regular" w:cs="Times New Roman Regular"/>
          <w:sz w:val="24"/>
        </w:rPr>
        <w:t xml:space="preserve"> high-quality job creation, particularly in logistics and advanced services. In resource-based cities, however, the coefficient </w:t>
      </w:r>
      <w:r>
        <w:rPr>
          <w:rFonts w:hint="eastAsia" w:ascii="Times New Roman Regular" w:hAnsi="Times New Roman Regular" w:cs="Times New Roman Regular"/>
          <w:sz w:val="24"/>
          <w:lang w:val="en-US" w:eastAsia="zh-CN"/>
        </w:rPr>
        <w:t>was</w:t>
      </w:r>
      <w:r>
        <w:rPr>
          <w:rFonts w:ascii="Times New Roman Regular" w:hAnsi="Times New Roman Regular" w:cs="Times New Roman Regular"/>
          <w:sz w:val="24"/>
        </w:rPr>
        <w:t xml:space="preserve"> negative and significant, implying that dependence on extractive industries, limited diversification, and environmental vulnerability constrain the policy’s effectiveness. Overall, these findings reveal</w:t>
      </w:r>
      <w:r>
        <w:rPr>
          <w:rFonts w:hint="eastAsia" w:ascii="Times New Roman Regular" w:hAnsi="Times New Roman Regular" w:cs="Times New Roman Regular"/>
          <w:sz w:val="24"/>
          <w:lang w:val="en-US" w:eastAsia="zh-CN"/>
        </w:rPr>
        <w:t>ed</w:t>
      </w:r>
      <w:r>
        <w:rPr>
          <w:rFonts w:ascii="Times New Roman Regular" w:hAnsi="Times New Roman Regular" w:cs="Times New Roman Regular"/>
          <w:sz w:val="24"/>
        </w:rPr>
        <w:t xml:space="preserve"> that the NTUPP perform</w:t>
      </w:r>
      <w:r>
        <w:rPr>
          <w:rFonts w:hint="eastAsia" w:ascii="Times New Roman Regular" w:hAnsi="Times New Roman Regular" w:cs="Times New Roman Regular"/>
          <w:sz w:val="24"/>
          <w:lang w:val="en-US" w:eastAsia="zh-CN"/>
        </w:rPr>
        <w:t>ed</w:t>
      </w:r>
      <w:r>
        <w:rPr>
          <w:rFonts w:ascii="Times New Roman Regular" w:hAnsi="Times New Roman Regular" w:cs="Times New Roman Regular"/>
          <w:sz w:val="24"/>
        </w:rPr>
        <w:t xml:space="preserve"> best in cities with diversified and open economic structures, whereas traditional or resource-dependent economies face</w:t>
      </w:r>
      <w:r>
        <w:rPr>
          <w:rFonts w:hint="eastAsia" w:ascii="Times New Roman Regular" w:hAnsi="Times New Roman Regular" w:cs="Times New Roman Regular"/>
          <w:sz w:val="24"/>
          <w:lang w:val="en-US" w:eastAsia="zh-CN"/>
        </w:rPr>
        <w:t>d</w:t>
      </w:r>
      <w:r>
        <w:rPr>
          <w:rFonts w:ascii="Times New Roman Regular" w:hAnsi="Times New Roman Regular" w:cs="Times New Roman Regular"/>
          <w:sz w:val="24"/>
        </w:rPr>
        <w:t xml:space="preserve"> institutional and structural barriers that weaken</w:t>
      </w:r>
      <w:r>
        <w:rPr>
          <w:rFonts w:hint="eastAsia" w:ascii="Times New Roman Regular" w:hAnsi="Times New Roman Regular" w:cs="Times New Roman Regular"/>
          <w:sz w:val="24"/>
          <w:lang w:val="en-US" w:eastAsia="zh-CN"/>
        </w:rPr>
        <w:t>ed</w:t>
      </w:r>
      <w:r>
        <w:rPr>
          <w:rFonts w:ascii="Times New Roman Regular" w:hAnsi="Times New Roman Regular" w:cs="Times New Roman Regular"/>
          <w:sz w:val="24"/>
        </w:rPr>
        <w:t xml:space="preserve"> policy impacts on employment quality.</w:t>
      </w:r>
    </w:p>
    <w:p>
      <w:pPr>
        <w:spacing w:before="0" w:beforeLines="0" w:after="0" w:afterLines="0"/>
        <w:ind w:firstLine="240" w:firstLineChars="100"/>
        <w:rPr>
          <w:rFonts w:hint="eastAsia" w:ascii="Times New Roman Regular" w:hAnsi="Times New Roman Regular" w:cs="Times New Roman Regular" w:eastAsiaTheme="minorEastAsia"/>
          <w:sz w:val="24"/>
          <w:lang w:eastAsia="zh-CN"/>
        </w:rPr>
      </w:pPr>
      <w:r>
        <w:rPr>
          <w:rFonts w:hint="eastAsia" w:ascii="Times New Roman Regular" w:hAnsi="Times New Roman Regular" w:cs="Times New Roman Regular" w:eastAsiaTheme="minorEastAsia"/>
          <w:sz w:val="24"/>
          <w:lang w:eastAsia="zh-CN"/>
        </w:rPr>
        <w:drawing>
          <wp:inline distT="0" distB="0" distL="114300" distR="114300">
            <wp:extent cx="5029200" cy="3657600"/>
            <wp:effectExtent l="0" t="0" r="0" b="0"/>
            <wp:docPr id="10" name="图片 10" descr="City_ECON_inter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ity_ECON_interactions"/>
                    <pic:cNvPicPr>
                      <a:picLocks noChangeAspect="1"/>
                    </pic:cNvPicPr>
                  </pic:nvPicPr>
                  <pic:blipFill>
                    <a:blip r:embed="rId18">
                      <a:extLst>
                        <a:ext uri="{96DAC541-7B7A-43D3-8B79-37D633B846F1}">
                          <asvg:svgBlip xmlns:asvg="http://schemas.microsoft.com/office/drawing/2016/SVG/main" r:embed="rId19"/>
                        </a:ext>
                      </a:extLst>
                    </a:blip>
                    <a:stretch>
                      <a:fillRect/>
                    </a:stretch>
                  </pic:blipFill>
                  <pic:spPr>
                    <a:xfrm>
                      <a:off x="0" y="0"/>
                      <a:ext cx="5029200" cy="3657600"/>
                    </a:xfrm>
                    <a:prstGeom prst="rect">
                      <a:avLst/>
                    </a:prstGeom>
                  </pic:spPr>
                </pic:pic>
              </a:graphicData>
            </a:graphic>
          </wp:inline>
        </w:drawing>
      </w:r>
    </w:p>
    <w:p>
      <w:pPr>
        <w:widowControl/>
        <w:spacing w:before="0" w:beforeLines="-2147483648" w:after="0" w:afterLines="-2147483648"/>
        <w:ind w:firstLine="0" w:firstLineChars="0"/>
        <w:jc w:val="center"/>
        <w:rPr>
          <w:rFonts w:hint="eastAsia" w:ascii="Times New Roman Regular" w:hAnsi="Times New Roman Regular" w:cs="Times New Roman Regular" w:eastAsiaTheme="minorEastAsia"/>
          <w:sz w:val="24"/>
          <w:lang w:eastAsia="zh-CN"/>
        </w:rPr>
      </w:pPr>
      <w:r>
        <w:rPr>
          <w:rFonts w:ascii="Times New Roman Bold" w:hAnsi="Times New Roman Bold" w:cs="Times New Roman Bold"/>
          <w:b/>
          <w:bCs/>
          <w:sz w:val="20"/>
          <w:szCs w:val="20"/>
        </w:rPr>
        <w:t>Fig.</w:t>
      </w:r>
      <w:r>
        <w:rPr>
          <w:rFonts w:hint="default" w:ascii="Times New Roman Bold" w:hAnsi="Times New Roman Bold" w:cs="Times New Roman Bold"/>
          <w:b/>
          <w:bCs/>
          <w:sz w:val="20"/>
          <w:szCs w:val="20"/>
          <w:lang w:val="en-US" w:eastAsia="zh-CN"/>
        </w:rPr>
        <w:t xml:space="preserve"> </w:t>
      </w:r>
      <w:r>
        <w:rPr>
          <w:rFonts w:hint="eastAsia" w:ascii="Times New Roman Bold" w:hAnsi="Times New Roman Bold" w:cs="Times New Roman Bold"/>
          <w:b/>
          <w:bCs/>
          <w:sz w:val="20"/>
          <w:szCs w:val="20"/>
          <w:lang w:val="en-US" w:eastAsia="zh-CN"/>
        </w:rPr>
        <w:t>7</w:t>
      </w:r>
      <w:r>
        <w:rPr>
          <w:rFonts w:hint="default" w:ascii="Times New Roman Bold" w:hAnsi="Times New Roman Bold" w:cs="Times New Roman Bold"/>
          <w:b/>
          <w:bCs/>
          <w:sz w:val="20"/>
          <w:szCs w:val="20"/>
        </w:rPr>
        <w:t>.</w:t>
      </w:r>
      <w:r>
        <w:rPr>
          <w:rFonts w:hint="default" w:ascii="Times New Roman Regular" w:hAnsi="Times New Roman Regular" w:cs="Times New Roman Regular"/>
          <w:b/>
          <w:bCs/>
          <w:sz w:val="20"/>
          <w:szCs w:val="20"/>
        </w:rPr>
        <w:t xml:space="preserve"> </w:t>
      </w:r>
      <w:r>
        <w:rPr>
          <w:rFonts w:ascii="Times New Roman Regular" w:hAnsi="Times New Roman Regular" w:eastAsia="宋体" w:cs="Times New Roman Regular"/>
          <w:kern w:val="0"/>
          <w:sz w:val="20"/>
          <w:szCs w:val="20"/>
          <w:lang w:val="en-US" w:eastAsia="zh-CN" w:bidi="ar"/>
        </w:rPr>
        <w:t xml:space="preserve">Heterogeneous </w:t>
      </w:r>
      <w:r>
        <w:rPr>
          <w:rFonts w:hint="eastAsia" w:ascii="Times New Roman Regular" w:hAnsi="Times New Roman Regular" w:eastAsia="宋体" w:cs="Times New Roman Regular"/>
          <w:kern w:val="0"/>
          <w:sz w:val="20"/>
          <w:szCs w:val="20"/>
          <w:lang w:val="en-US" w:eastAsia="zh-CN" w:bidi="ar"/>
        </w:rPr>
        <w:t>p</w:t>
      </w:r>
      <w:r>
        <w:rPr>
          <w:rFonts w:ascii="Times New Roman Regular" w:hAnsi="Times New Roman Regular" w:eastAsia="宋体" w:cs="Times New Roman Regular"/>
          <w:kern w:val="0"/>
          <w:sz w:val="20"/>
          <w:szCs w:val="20"/>
          <w:lang w:val="en-US" w:eastAsia="zh-CN" w:bidi="ar"/>
        </w:rPr>
        <w:t xml:space="preserve">olicy </w:t>
      </w:r>
      <w:r>
        <w:rPr>
          <w:rFonts w:hint="eastAsia" w:ascii="Times New Roman Regular" w:hAnsi="Times New Roman Regular" w:eastAsia="宋体" w:cs="Times New Roman Regular"/>
          <w:kern w:val="0"/>
          <w:sz w:val="20"/>
          <w:szCs w:val="20"/>
          <w:lang w:val="en-US" w:eastAsia="zh-CN" w:bidi="ar"/>
        </w:rPr>
        <w:t>e</w:t>
      </w:r>
      <w:r>
        <w:rPr>
          <w:rFonts w:ascii="Times New Roman Regular" w:hAnsi="Times New Roman Regular" w:eastAsia="宋体" w:cs="Times New Roman Regular"/>
          <w:kern w:val="0"/>
          <w:sz w:val="20"/>
          <w:szCs w:val="20"/>
          <w:lang w:val="en-US" w:eastAsia="zh-CN" w:bidi="ar"/>
        </w:rPr>
        <w:t xml:space="preserve">ffects </w:t>
      </w:r>
      <w:r>
        <w:rPr>
          <w:rFonts w:hint="eastAsia" w:ascii="Times New Roman Regular" w:hAnsi="Times New Roman Regular" w:eastAsia="宋体" w:cs="Times New Roman Regular"/>
          <w:kern w:val="0"/>
          <w:sz w:val="20"/>
          <w:szCs w:val="20"/>
          <w:lang w:val="en-US" w:eastAsia="zh-CN" w:bidi="ar"/>
        </w:rPr>
        <w:t>of different economic type</w:t>
      </w:r>
    </w:p>
    <w:p>
      <w:pPr>
        <w:spacing w:before="157" w:beforeLines="50" w:after="157" w:afterLines="50"/>
        <w:rPr>
          <w:rFonts w:ascii="Times New Roman Bold" w:hAnsi="Times New Roman Bold" w:cs="Times New Roman Bold"/>
          <w:b/>
          <w:bCs/>
          <w:sz w:val="24"/>
          <w:szCs w:val="24"/>
        </w:rPr>
      </w:pPr>
      <w:r>
        <w:rPr>
          <w:rFonts w:hint="default" w:ascii="Times New Roman Bold" w:hAnsi="Times New Roman Bold" w:cs="Times New Roman Bold"/>
          <w:b/>
          <w:bCs/>
          <w:sz w:val="24"/>
          <w:szCs w:val="24"/>
          <w:lang w:val="en-US" w:eastAsia="zh-CN"/>
        </w:rPr>
        <w:t>4.6</w:t>
      </w:r>
      <w:r>
        <w:rPr>
          <w:rFonts w:ascii="Times New Roman Bold" w:hAnsi="Times New Roman Bold" w:cs="Times New Roman Bold"/>
          <w:b/>
          <w:bCs/>
          <w:sz w:val="24"/>
          <w:szCs w:val="24"/>
        </w:rPr>
        <w:t xml:space="preserve"> Further </w:t>
      </w:r>
      <w:r>
        <w:rPr>
          <w:rFonts w:hint="eastAsia" w:ascii="Times New Roman Bold" w:hAnsi="Times New Roman Bold" w:cs="Times New Roman Bold"/>
          <w:b/>
          <w:bCs/>
          <w:sz w:val="24"/>
          <w:szCs w:val="24"/>
          <w:lang w:val="en-US" w:eastAsia="zh-CN"/>
        </w:rPr>
        <w:t>a</w:t>
      </w:r>
      <w:r>
        <w:rPr>
          <w:rFonts w:ascii="Times New Roman Bold" w:hAnsi="Times New Roman Bold" w:cs="Times New Roman Bold"/>
          <w:b/>
          <w:bCs/>
          <w:sz w:val="24"/>
          <w:szCs w:val="24"/>
        </w:rPr>
        <w:t xml:space="preserve">nalysis: </w:t>
      </w:r>
      <w:r>
        <w:rPr>
          <w:rFonts w:hint="eastAsia" w:ascii="Times New Roman Bold" w:hAnsi="Times New Roman Bold" w:cs="Times New Roman Bold"/>
          <w:b/>
          <w:bCs/>
          <w:sz w:val="24"/>
          <w:szCs w:val="24"/>
          <w:lang w:val="en-US" w:eastAsia="zh-CN"/>
        </w:rPr>
        <w:t>s</w:t>
      </w:r>
      <w:r>
        <w:rPr>
          <w:rFonts w:ascii="Times New Roman Bold" w:hAnsi="Times New Roman Bold" w:cs="Times New Roman Bold"/>
          <w:b/>
          <w:bCs/>
          <w:sz w:val="24"/>
          <w:szCs w:val="24"/>
        </w:rPr>
        <w:t xml:space="preserve">patial </w:t>
      </w:r>
      <w:r>
        <w:rPr>
          <w:rFonts w:hint="eastAsia" w:ascii="Times New Roman Bold" w:hAnsi="Times New Roman Bold" w:cs="Times New Roman Bold"/>
          <w:b/>
          <w:bCs/>
          <w:sz w:val="24"/>
          <w:szCs w:val="24"/>
          <w:lang w:val="en-US" w:eastAsia="zh-CN"/>
        </w:rPr>
        <w:t>s</w:t>
      </w:r>
      <w:r>
        <w:rPr>
          <w:rFonts w:ascii="Times New Roman Bold" w:hAnsi="Times New Roman Bold" w:cs="Times New Roman Bold"/>
          <w:b/>
          <w:bCs/>
          <w:sz w:val="24"/>
        </w:rPr>
        <w:t xml:space="preserve">pillover </w:t>
      </w:r>
      <w:r>
        <w:rPr>
          <w:rFonts w:hint="eastAsia" w:ascii="Times New Roman Bold" w:hAnsi="Times New Roman Bold" w:cs="Times New Roman Bold"/>
          <w:b/>
          <w:bCs/>
          <w:sz w:val="24"/>
          <w:lang w:val="en-US" w:eastAsia="zh-CN"/>
        </w:rPr>
        <w:t>e</w:t>
      </w:r>
      <w:r>
        <w:rPr>
          <w:rFonts w:ascii="Times New Roman Bold" w:hAnsi="Times New Roman Bold" w:cs="Times New Roman Bold"/>
          <w:b/>
          <w:bCs/>
          <w:sz w:val="24"/>
          <w:szCs w:val="24"/>
        </w:rPr>
        <w:t xml:space="preserve">ffects of the </w:t>
      </w:r>
      <w:r>
        <w:rPr>
          <w:rFonts w:hint="eastAsia" w:ascii="Times New Roman Bold" w:hAnsi="Times New Roman Bold" w:cs="Times New Roman Bold"/>
          <w:b/>
          <w:bCs/>
          <w:sz w:val="24"/>
          <w:szCs w:val="24"/>
          <w:lang w:val="en-US" w:eastAsia="zh-CN"/>
        </w:rPr>
        <w:t>p</w:t>
      </w:r>
      <w:r>
        <w:rPr>
          <w:rFonts w:ascii="Times New Roman Bold" w:hAnsi="Times New Roman Bold" w:cs="Times New Roman Bold"/>
          <w:b/>
          <w:bCs/>
          <w:sz w:val="24"/>
          <w:szCs w:val="24"/>
        </w:rPr>
        <w:t>olicy</w:t>
      </w:r>
    </w:p>
    <w:p>
      <w:pPr>
        <w:spacing w:after="157" w:afterLines="50"/>
        <w:ind w:firstLine="240" w:firstLineChars="100"/>
        <w:rPr>
          <w:rFonts w:ascii="Times New Roman Regular" w:hAnsi="Times New Roman Regular" w:eastAsia="宋体" w:cs="Times New Roman Regular"/>
          <w:sz w:val="24"/>
          <w:szCs w:val="24"/>
        </w:rPr>
      </w:pPr>
      <w:r>
        <w:rPr>
          <w:rFonts w:ascii="Times New Roman Regular" w:hAnsi="Times New Roman Regular" w:cs="Times New Roman Regular"/>
          <w:sz w:val="24"/>
          <w:szCs w:val="24"/>
        </w:rPr>
        <w:t>The preceding sections ha</w:t>
      </w:r>
      <w:r>
        <w:rPr>
          <w:rFonts w:hint="eastAsia" w:ascii="Times New Roman Regular" w:hAnsi="Times New Roman Regular" w:cs="Times New Roman Regular"/>
          <w:sz w:val="24"/>
          <w:szCs w:val="24"/>
          <w:lang w:val="en-US" w:eastAsia="zh-CN"/>
        </w:rPr>
        <w:t>d</w:t>
      </w:r>
      <w:r>
        <w:rPr>
          <w:rFonts w:ascii="Times New Roman Regular" w:hAnsi="Times New Roman Regular" w:cs="Times New Roman Regular"/>
          <w:sz w:val="24"/>
          <w:szCs w:val="24"/>
        </w:rPr>
        <w:t xml:space="preserve"> examined the effects and mechanisms by which the New Urbanization Pilot Policy enhance</w:t>
      </w:r>
      <w:r>
        <w:rPr>
          <w:rFonts w:hint="default" w:ascii="Times New Roman Regular" w:hAnsi="Times New Roman Regular" w:cs="Times New Roman Regular"/>
          <w:sz w:val="24"/>
          <w:szCs w:val="24"/>
          <w:lang w:val="en-US"/>
        </w:rPr>
        <w:t>d</w:t>
      </w:r>
      <w:r>
        <w:rPr>
          <w:rFonts w:ascii="Times New Roman Regular" w:hAnsi="Times New Roman Regular" w:cs="Times New Roman Regular"/>
          <w:sz w:val="24"/>
          <w:szCs w:val="24"/>
        </w:rPr>
        <w:t xml:space="preserve"> urban employment quality. Existing literature suggest</w:t>
      </w:r>
      <w:r>
        <w:rPr>
          <w:rFonts w:hint="default" w:ascii="Times New Roman Regular" w:hAnsi="Times New Roman Regular" w:cs="Times New Roman Regular"/>
          <w:sz w:val="24"/>
          <w:szCs w:val="24"/>
          <w:lang w:val="en-US"/>
        </w:rPr>
        <w:t>ed</w:t>
      </w:r>
      <w:r>
        <w:rPr>
          <w:rFonts w:ascii="Times New Roman Regular" w:hAnsi="Times New Roman Regular" w:cs="Times New Roman Regular"/>
          <w:sz w:val="24"/>
          <w:szCs w:val="24"/>
        </w:rPr>
        <w:t xml:space="preserve"> that location-based policies </w:t>
      </w:r>
      <w:r>
        <w:rPr>
          <w:rFonts w:hint="default" w:ascii="Times New Roman Regular" w:hAnsi="Times New Roman Regular" w:cs="Times New Roman Regular"/>
          <w:sz w:val="24"/>
          <w:szCs w:val="24"/>
          <w:lang w:val="en-US"/>
        </w:rPr>
        <w:t>might</w:t>
      </w:r>
      <w:r>
        <w:rPr>
          <w:rFonts w:ascii="Times New Roman Regular" w:hAnsi="Times New Roman Regular" w:cs="Times New Roman Regular"/>
          <w:sz w:val="24"/>
          <w:szCs w:val="24"/>
        </w:rPr>
        <w:t xml:space="preserve"> generate positive externalities for neighboring areas, implying that the impact of institutional policy interventions </w:t>
      </w:r>
      <w:r>
        <w:rPr>
          <w:rFonts w:hint="default" w:ascii="Times New Roman Regular" w:hAnsi="Times New Roman Regular" w:cs="Times New Roman Regular"/>
          <w:sz w:val="24"/>
          <w:szCs w:val="24"/>
          <w:lang w:val="en-US"/>
        </w:rPr>
        <w:t xml:space="preserve">was </w:t>
      </w:r>
      <w:r>
        <w:rPr>
          <w:rFonts w:ascii="Times New Roman Regular" w:hAnsi="Times New Roman Regular" w:cs="Times New Roman Regular"/>
          <w:sz w:val="24"/>
          <w:szCs w:val="24"/>
        </w:rPr>
        <w:t xml:space="preserve">not confined to the targeted regions but </w:t>
      </w:r>
      <w:r>
        <w:rPr>
          <w:rFonts w:hint="default" w:ascii="Times New Roman Regular" w:hAnsi="Times New Roman Regular" w:cs="Times New Roman Regular"/>
          <w:sz w:val="24"/>
          <w:szCs w:val="24"/>
          <w:lang w:val="en-US"/>
        </w:rPr>
        <w:t>might</w:t>
      </w:r>
      <w:r>
        <w:rPr>
          <w:rFonts w:ascii="Times New Roman Regular" w:hAnsi="Times New Roman Regular" w:cs="Times New Roman Regular"/>
          <w:sz w:val="24"/>
          <w:szCs w:val="24"/>
        </w:rPr>
        <w:t xml:space="preserve"> also radiate</w:t>
      </w:r>
      <w:r>
        <w:rPr>
          <w:rFonts w:hint="default" w:ascii="Times New Roman Regular" w:hAnsi="Times New Roman Regular" w:cs="Times New Roman Regular"/>
          <w:sz w:val="24"/>
          <w:szCs w:val="24"/>
          <w:lang w:val="en-US"/>
        </w:rPr>
        <w:t>d</w:t>
      </w:r>
      <w:r>
        <w:rPr>
          <w:rFonts w:ascii="Times New Roman Regular" w:hAnsi="Times New Roman Regular" w:cs="Times New Roman Regular"/>
          <w:sz w:val="24"/>
          <w:szCs w:val="24"/>
        </w:rPr>
        <w:t xml:space="preserve"> to surrounding cities—this </w:t>
      </w:r>
      <w:r>
        <w:rPr>
          <w:rFonts w:hint="default" w:ascii="Times New Roman Regular" w:hAnsi="Times New Roman Regular" w:cs="Times New Roman Regular"/>
          <w:sz w:val="24"/>
          <w:szCs w:val="24"/>
          <w:lang w:val="en-US"/>
        </w:rPr>
        <w:t>was</w:t>
      </w:r>
      <w:r>
        <w:rPr>
          <w:rFonts w:ascii="Times New Roman Regular" w:hAnsi="Times New Roman Regular" w:cs="Times New Roman Regular"/>
          <w:sz w:val="24"/>
          <w:szCs w:val="24"/>
        </w:rPr>
        <w:t xml:space="preserve"> known as the </w:t>
      </w:r>
      <w:r>
        <w:rPr>
          <w:rStyle w:val="13"/>
          <w:rFonts w:ascii="Times New Roman Regular" w:hAnsi="Times New Roman Regular" w:cs="Times New Roman Regular"/>
          <w:b w:val="0"/>
          <w:bCs/>
          <w:sz w:val="24"/>
          <w:szCs w:val="24"/>
        </w:rPr>
        <w:t>spatial spillover effect</w:t>
      </w:r>
      <w:r>
        <w:rPr>
          <w:rFonts w:ascii="Times New Roman Regular" w:hAnsi="Times New Roman Regular" w:cs="Times New Roman Regular"/>
          <w:bCs/>
          <w:sz w:val="24"/>
          <w:szCs w:val="24"/>
        </w:rPr>
        <w:t xml:space="preserve">. </w:t>
      </w:r>
      <w:r>
        <w:rPr>
          <w:rFonts w:ascii="Times New Roman Regular" w:hAnsi="Times New Roman Regular" w:cs="Times New Roman Regular"/>
          <w:sz w:val="24"/>
          <w:szCs w:val="24"/>
        </w:rPr>
        <w:t>Drawing on the approach proposed by Cao et al.</w:t>
      </w:r>
      <w:r>
        <w:rPr>
          <w:rFonts w:ascii="Times New Roman Regular" w:hAnsi="Times New Roman Regular" w:cs="Times New Roman Regular"/>
          <w:sz w:val="24"/>
          <w:szCs w:val="24"/>
          <w:vertAlign w:val="superscript"/>
        </w:rPr>
        <w:t xml:space="preserve"> </w:t>
      </w:r>
      <w:r>
        <w:rPr>
          <w:rFonts w:hint="default" w:ascii="Times New Roman Regular" w:hAnsi="Times New Roman Regular" w:cs="Times New Roman Regular"/>
          <w:sz w:val="24"/>
          <w:szCs w:val="24"/>
          <w:vertAlign w:val="baseline"/>
          <w:lang w:val="en-US"/>
        </w:rPr>
        <w:t>(2022)</w:t>
      </w:r>
      <w:r>
        <w:rPr>
          <w:rFonts w:ascii="Times New Roman Regular" w:hAnsi="Times New Roman Regular" w:cs="Times New Roman Regular"/>
          <w:sz w:val="24"/>
          <w:szCs w:val="24"/>
        </w:rPr>
        <w:t>, this study construct</w:t>
      </w:r>
      <w:r>
        <w:rPr>
          <w:rFonts w:hint="default" w:ascii="Times New Roman Regular" w:hAnsi="Times New Roman Regular" w:cs="Times New Roman Regular"/>
          <w:sz w:val="24"/>
          <w:szCs w:val="24"/>
          <w:lang w:val="en-US"/>
        </w:rPr>
        <w:t>ed</w:t>
      </w:r>
      <w:r>
        <w:rPr>
          <w:rFonts w:ascii="Times New Roman Regular" w:hAnsi="Times New Roman Regular" w:cs="Times New Roman Regular"/>
          <w:sz w:val="24"/>
          <w:szCs w:val="24"/>
        </w:rPr>
        <w:t xml:space="preserve"> the following model to further investigate whether the implementation of the New Urbanization Pilot Policy led to improvements in employment quality in neighboring prefecture-level cities through spatial spillovers.</w:t>
      </w:r>
    </w:p>
    <w:p>
      <w:pPr>
        <w:jc w:val="center"/>
        <w:rPr>
          <w:rFonts w:ascii="Times New Roman Regular" w:hAnsi="Times New Roman Regular" w:eastAsia="宋体" w:cs="Times New Roman Regular"/>
          <w:sz w:val="20"/>
          <w:szCs w:val="20"/>
        </w:rPr>
      </w:pPr>
      <m:oMath>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EMP</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it</m:t>
            </m:r>
            <m:ctrlPr>
              <w:rPr>
                <w:rFonts w:ascii="DejaVu Math TeX Gyre" w:hAnsi="DejaVu Math TeX Gyre" w:cs="Times New Roman Regular"/>
                <w:i/>
                <w:iCs/>
                <w:sz w:val="20"/>
                <w:szCs w:val="20"/>
              </w:rPr>
            </m:ctrlPr>
          </m:sub>
        </m:sSub>
        <m:r>
          <m:rPr>
            <m:sty m:val="p"/>
          </m:rPr>
          <w:rPr>
            <w:rFonts w:ascii="DejaVu Math TeX Gyre" w:hAnsi="DejaVu Math TeX Gyre" w:cs="Times New Roman Regular"/>
            <w:sz w:val="20"/>
            <w:szCs w:val="20"/>
          </w:rPr>
          <m:t>=</m:t>
        </m:r>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β</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0</m:t>
            </m:r>
            <m:ctrlPr>
              <w:rPr>
                <w:rFonts w:ascii="DejaVu Math TeX Gyre" w:hAnsi="DejaVu Math TeX Gyre" w:cs="Times New Roman Regular"/>
                <w:i/>
                <w:iCs/>
                <w:sz w:val="20"/>
                <w:szCs w:val="20"/>
              </w:rPr>
            </m:ctrlPr>
          </m:sub>
        </m:sSub>
      </m:oMath>
      <w:r>
        <w:rPr>
          <w:rFonts w:ascii="Times New Roman Regular" w:hAnsi="Times New Roman Regular" w:cs="Times New Roman Regular"/>
          <w:sz w:val="20"/>
          <w:szCs w:val="20"/>
        </w:rPr>
        <w:t>+</w:t>
      </w:r>
      <m:oMath>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β</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1</m:t>
            </m:r>
            <m:ctrlPr>
              <w:rPr>
                <w:rFonts w:ascii="DejaVu Math TeX Gyre" w:hAnsi="DejaVu Math TeX Gyre" w:cs="Times New Roman Regular"/>
                <w:i/>
                <w:iCs/>
                <w:sz w:val="20"/>
                <w:szCs w:val="20"/>
              </w:rPr>
            </m:ctrlPr>
          </m:sub>
        </m:sSub>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treat</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it</m:t>
            </m:r>
            <m:ctrlPr>
              <w:rPr>
                <w:rFonts w:ascii="DejaVu Math TeX Gyre" w:hAnsi="DejaVu Math TeX Gyre" w:cs="Times New Roman Regular"/>
                <w:i/>
                <w:iCs/>
                <w:sz w:val="20"/>
                <w:szCs w:val="20"/>
              </w:rPr>
            </m:ctrlPr>
          </m:sub>
        </m:sSub>
        <m:r>
          <m:rPr>
            <m:sty m:val="p"/>
          </m:rPr>
          <w:rPr>
            <w:rFonts w:ascii="DejaVu Math TeX Gyre" w:hAnsi="DejaVu Math TeX Gyre" w:cs="Times New Roman Regular"/>
            <w:sz w:val="20"/>
            <w:szCs w:val="20"/>
          </w:rPr>
          <m:t>∗</m:t>
        </m:r>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post</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it</m:t>
            </m:r>
            <m:ctrlPr>
              <w:rPr>
                <w:rFonts w:ascii="DejaVu Math TeX Gyre" w:hAnsi="DejaVu Math TeX Gyre" w:cs="Times New Roman Regular"/>
                <w:i/>
                <w:iCs/>
                <w:sz w:val="20"/>
                <w:szCs w:val="20"/>
              </w:rPr>
            </m:ctrlPr>
          </m:sub>
        </m:sSub>
      </m:oMath>
      <w:r>
        <w:rPr>
          <w:rFonts w:ascii="Times New Roman Regular" w:hAnsi="Times New Roman Regular" w:cs="Times New Roman Regular"/>
          <w:sz w:val="20"/>
          <w:szCs w:val="20"/>
        </w:rPr>
        <w:t>+</w:t>
      </w:r>
      <m:oMath>
        <m:nary>
          <m:naryPr>
            <m:chr m:val="∑"/>
            <m:limLoc m:val="undOvr"/>
            <m:ctrlPr>
              <w:rPr>
                <w:rFonts w:ascii="DejaVu Math TeX Gyre" w:hAnsi="DejaVu Math TeX Gyre" w:cs="Times New Roman Regular"/>
                <w:sz w:val="20"/>
                <w:szCs w:val="20"/>
              </w:rPr>
            </m:ctrlPr>
          </m:naryPr>
          <m:sub>
            <m:r>
              <m:rPr>
                <m:sty m:val="p"/>
              </m:rPr>
              <w:rPr>
                <w:rFonts w:ascii="DejaVu Math TeX Gyre" w:hAnsi="DejaVu Math TeX Gyre" w:cs="Times New Roman Regular"/>
                <w:sz w:val="20"/>
                <w:szCs w:val="20"/>
              </w:rPr>
              <m:t>j=1</m:t>
            </m:r>
            <m:ctrlPr>
              <w:rPr>
                <w:rFonts w:ascii="DejaVu Math TeX Gyre" w:hAnsi="DejaVu Math TeX Gyre" w:cs="Times New Roman Regular"/>
                <w:sz w:val="20"/>
                <w:szCs w:val="20"/>
              </w:rPr>
            </m:ctrlPr>
          </m:sub>
          <m:sup>
            <m:r>
              <m:rPr>
                <m:sty m:val="p"/>
              </m:rPr>
              <w:rPr>
                <w:rFonts w:ascii="DejaVu Math TeX Gyre" w:hAnsi="DejaVu Math TeX Gyre" w:cs="Times New Roman Regular"/>
                <w:sz w:val="20"/>
                <w:szCs w:val="20"/>
              </w:rPr>
              <m:t>J</m:t>
            </m:r>
            <m:ctrlPr>
              <w:rPr>
                <w:rFonts w:ascii="DejaVu Math TeX Gyre" w:hAnsi="DejaVu Math TeX Gyre" w:cs="Times New Roman Regular"/>
                <w:sz w:val="20"/>
                <w:szCs w:val="20"/>
              </w:rPr>
            </m:ctrlPr>
          </m:sup>
          <m:e>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φ</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it</m:t>
                </m:r>
                <m:ctrlPr>
                  <w:rPr>
                    <w:rFonts w:ascii="DejaVu Math TeX Gyre" w:hAnsi="DejaVu Math TeX Gyre" w:cs="Times New Roman Regular"/>
                    <w:i/>
                    <w:iCs/>
                    <w:sz w:val="20"/>
                    <w:szCs w:val="20"/>
                  </w:rPr>
                </m:ctrlPr>
              </m:sub>
            </m:sSub>
            <m:sSub>
              <m:sSubPr>
                <m:ctrlPr>
                  <w:rPr>
                    <w:rFonts w:ascii="DejaVu Math TeX Gyre" w:hAnsi="DejaVu Math TeX Gyre" w:cs="Times New Roman Regular"/>
                    <w:i/>
                    <w:iCs/>
                    <w:sz w:val="20"/>
                    <w:szCs w:val="20"/>
                  </w:rPr>
                </m:ctrlPr>
              </m:sSubPr>
              <m:e>
                <m:r>
                  <m:rPr/>
                  <w:rPr>
                    <w:rFonts w:hint="default" w:ascii="DejaVu Math TeX Gyre" w:hAnsi="DejaVu Math TeX Gyre" w:cs="Times New Roman Regular"/>
                    <w:sz w:val="20"/>
                    <w:szCs w:val="20"/>
                  </w:rPr>
                  <m:t>Distance</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it</m:t>
                </m:r>
                <m:ctrlPr>
                  <w:rPr>
                    <w:rFonts w:ascii="DejaVu Math TeX Gyre" w:hAnsi="DejaVu Math TeX Gyre" w:cs="Times New Roman Regular"/>
                    <w:i/>
                    <w:iCs/>
                    <w:sz w:val="20"/>
                    <w:szCs w:val="20"/>
                  </w:rPr>
                </m:ctrlPr>
              </m:sub>
            </m:sSub>
            <m:ctrlPr>
              <w:rPr>
                <w:rFonts w:ascii="DejaVu Math TeX Gyre" w:hAnsi="DejaVu Math TeX Gyre" w:cs="Times New Roman Regular"/>
                <w:sz w:val="20"/>
                <w:szCs w:val="20"/>
              </w:rPr>
            </m:ctrlPr>
          </m:e>
        </m:nary>
        <m:nary>
          <m:naryPr>
            <m:chr m:val="∑"/>
            <m:limLoc m:val="undOvr"/>
            <m:ctrlPr>
              <w:rPr>
                <w:rFonts w:ascii="DejaVu Math TeX Gyre" w:hAnsi="DejaVu Math TeX Gyre" w:cs="Times New Roman Regular"/>
                <w:sz w:val="20"/>
                <w:szCs w:val="20"/>
              </w:rPr>
            </m:ctrlPr>
          </m:naryPr>
          <m:sub>
            <m:r>
              <m:rPr>
                <m:sty m:val="p"/>
              </m:rPr>
              <w:rPr>
                <w:rFonts w:ascii="DejaVu Math TeX Gyre" w:hAnsi="DejaVu Math TeX Gyre" w:cs="Times New Roman Regular"/>
                <w:sz w:val="20"/>
                <w:szCs w:val="20"/>
              </w:rPr>
              <m:t>j=1</m:t>
            </m:r>
            <m:ctrlPr>
              <w:rPr>
                <w:rFonts w:ascii="DejaVu Math TeX Gyre" w:hAnsi="DejaVu Math TeX Gyre" w:cs="Times New Roman Regular"/>
                <w:sz w:val="20"/>
                <w:szCs w:val="20"/>
              </w:rPr>
            </m:ctrlPr>
          </m:sub>
          <m:sup>
            <m:r>
              <m:rPr>
                <m:sty m:val="p"/>
              </m:rPr>
              <w:rPr>
                <w:rFonts w:ascii="DejaVu Math TeX Gyre" w:hAnsi="DejaVu Math TeX Gyre" w:cs="Times New Roman Regular"/>
                <w:sz w:val="20"/>
                <w:szCs w:val="20"/>
              </w:rPr>
              <m:t>J</m:t>
            </m:r>
            <m:ctrlPr>
              <w:rPr>
                <w:rFonts w:ascii="DejaVu Math TeX Gyre" w:hAnsi="DejaVu Math TeX Gyre" w:cs="Times New Roman Regular"/>
                <w:sz w:val="20"/>
                <w:szCs w:val="20"/>
              </w:rPr>
            </m:ctrlPr>
          </m:sup>
          <m:e>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φ</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it</m:t>
                </m:r>
                <m:ctrlPr>
                  <w:rPr>
                    <w:rFonts w:ascii="DejaVu Math TeX Gyre" w:hAnsi="DejaVu Math TeX Gyre" w:cs="Times New Roman Regular"/>
                    <w:i/>
                    <w:iCs/>
                    <w:sz w:val="20"/>
                    <w:szCs w:val="20"/>
                  </w:rPr>
                </m:ctrlPr>
              </m:sub>
            </m:sSub>
            <m:sSubSup>
              <m:sSubSupPr>
                <m:ctrlPr>
                  <w:rPr>
                    <w:rFonts w:ascii="DejaVu Math TeX Gyre" w:hAnsi="DejaVu Math TeX Gyre" w:cs="Times New Roman Regular"/>
                    <w:i/>
                    <w:iCs/>
                    <w:sz w:val="20"/>
                    <w:szCs w:val="20"/>
                  </w:rPr>
                </m:ctrlPr>
              </m:sSubSupPr>
              <m:e>
                <m:r>
                  <m:rPr/>
                  <w:rPr>
                    <w:rFonts w:hint="eastAsia" w:ascii="DejaVu Math TeX Gyre" w:hAnsi="DejaVu Math TeX Gyre" w:cs="Times New Roman Regular"/>
                    <w:sz w:val="20"/>
                    <w:szCs w:val="20"/>
                    <w:lang w:val="en-US" w:eastAsia="zh-CN"/>
                  </w:rPr>
                  <m:t>Controls</m:t>
                </m:r>
                <m:ctrlPr>
                  <w:rPr>
                    <w:rFonts w:ascii="DejaVu Math TeX Gyre" w:hAnsi="DejaVu Math TeX Gyre" w:cs="Times New Roman Regular"/>
                    <w:i/>
                    <w:iCs/>
                    <w:sz w:val="20"/>
                    <w:szCs w:val="20"/>
                  </w:rPr>
                </m:ctrlPr>
              </m:e>
              <m:sub>
                <m:r>
                  <m:rPr/>
                  <w:rPr>
                    <w:rFonts w:hint="eastAsia" w:ascii="DejaVu Math TeX Gyre" w:hAnsi="DejaVu Math TeX Gyre" w:cs="Times New Roman Regular"/>
                    <w:sz w:val="20"/>
                    <w:szCs w:val="20"/>
                    <w:lang w:val="en-US" w:eastAsia="zh-CN"/>
                  </w:rPr>
                  <m:t>it</m:t>
                </m:r>
                <m:ctrlPr>
                  <w:rPr>
                    <w:rFonts w:ascii="DejaVu Math TeX Gyre" w:hAnsi="DejaVu Math TeX Gyre" w:cs="Times New Roman Regular"/>
                    <w:i/>
                    <w:iCs/>
                    <w:sz w:val="20"/>
                    <w:szCs w:val="20"/>
                  </w:rPr>
                </m:ctrlPr>
              </m:sub>
              <m:sup>
                <m:r>
                  <m:rPr/>
                  <w:rPr>
                    <w:rFonts w:hint="eastAsia" w:ascii="DejaVu Math TeX Gyre" w:hAnsi="DejaVu Math TeX Gyre" w:cs="Times New Roman Regular"/>
                    <w:sz w:val="20"/>
                    <w:szCs w:val="20"/>
                    <w:lang w:val="en-US" w:eastAsia="zh-CN"/>
                  </w:rPr>
                  <m:t>j</m:t>
                </m:r>
                <m:ctrlPr>
                  <w:rPr>
                    <w:rFonts w:ascii="DejaVu Math TeX Gyre" w:hAnsi="DejaVu Math TeX Gyre" w:cs="Times New Roman Regular"/>
                    <w:i/>
                    <w:iCs/>
                    <w:sz w:val="20"/>
                    <w:szCs w:val="20"/>
                  </w:rPr>
                </m:ctrlPr>
              </m:sup>
            </m:sSubSup>
            <m:ctrlPr>
              <w:rPr>
                <w:rFonts w:ascii="DejaVu Math TeX Gyre" w:hAnsi="DejaVu Math TeX Gyre" w:cs="Times New Roman Regular"/>
                <w:sz w:val="20"/>
                <w:szCs w:val="20"/>
              </w:rPr>
            </m:ctrlPr>
          </m:e>
        </m:nary>
        <m:r>
          <m:rPr>
            <m:sty m:val="p"/>
          </m:rPr>
          <w:rPr>
            <w:rFonts w:ascii="DejaVu Math TeX Gyre" w:hAnsi="DejaVu Math TeX Gyre" w:cs="Times New Roman Regular"/>
            <w:sz w:val="20"/>
            <w:szCs w:val="20"/>
          </w:rPr>
          <m:t>+</m:t>
        </m:r>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μ</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t</m:t>
            </m:r>
            <m:ctrlPr>
              <w:rPr>
                <w:rFonts w:ascii="DejaVu Math TeX Gyre" w:hAnsi="DejaVu Math TeX Gyre" w:cs="Times New Roman Regular"/>
                <w:i/>
                <w:iCs/>
                <w:sz w:val="20"/>
                <w:szCs w:val="20"/>
              </w:rPr>
            </m:ctrlPr>
          </m:sub>
        </m:sSub>
        <m:r>
          <m:rPr>
            <m:sty m:val="p"/>
          </m:rPr>
          <w:rPr>
            <w:rFonts w:ascii="DejaVu Math TeX Gyre" w:hAnsi="DejaVu Math TeX Gyre" w:cs="Times New Roman Regular"/>
            <w:sz w:val="20"/>
            <w:szCs w:val="20"/>
          </w:rPr>
          <m:t>+</m:t>
        </m:r>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α</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i</m:t>
            </m:r>
            <m:ctrlPr>
              <w:rPr>
                <w:rFonts w:ascii="DejaVu Math TeX Gyre" w:hAnsi="DejaVu Math TeX Gyre" w:cs="Times New Roman Regular"/>
                <w:i/>
                <w:iCs/>
                <w:sz w:val="20"/>
                <w:szCs w:val="20"/>
              </w:rPr>
            </m:ctrlPr>
          </m:sub>
        </m:sSub>
        <m:r>
          <m:rPr>
            <m:sty m:val="p"/>
          </m:rPr>
          <w:rPr>
            <w:rFonts w:ascii="DejaVu Math TeX Gyre" w:hAnsi="DejaVu Math TeX Gyre" w:cs="Times New Roman Regular"/>
            <w:sz w:val="20"/>
            <w:szCs w:val="20"/>
          </w:rPr>
          <m:t>+</m:t>
        </m:r>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ε</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it</m:t>
            </m:r>
            <m:ctrlPr>
              <w:rPr>
                <w:rFonts w:ascii="DejaVu Math TeX Gyre" w:hAnsi="DejaVu Math TeX Gyre" w:cs="Times New Roman Regular"/>
                <w:i/>
                <w:iCs/>
                <w:sz w:val="20"/>
                <w:szCs w:val="20"/>
              </w:rPr>
            </m:ctrlPr>
          </m:sub>
        </m:sSub>
      </m:oMath>
      <w:r>
        <w:rPr>
          <w:rFonts w:ascii="Times New Roman Regular" w:hAnsi="Times New Roman Regular" w:cs="Times New Roman Regular"/>
          <w:iCs/>
          <w:sz w:val="20"/>
          <w:szCs w:val="20"/>
        </w:rPr>
        <w:t xml:space="preserve">  (</w:t>
      </w:r>
      <w:r>
        <w:rPr>
          <w:rFonts w:hint="eastAsia" w:ascii="Times New Roman Regular" w:hAnsi="Times New Roman Regular" w:cs="Times New Roman Regular"/>
          <w:iCs/>
          <w:sz w:val="20"/>
          <w:szCs w:val="20"/>
          <w:lang w:val="en-US" w:eastAsia="zh-CN"/>
        </w:rPr>
        <w:t>7</w:t>
      </w:r>
      <w:r>
        <w:rPr>
          <w:rFonts w:ascii="Times New Roman Regular" w:hAnsi="Times New Roman Regular" w:cs="Times New Roman Regular"/>
          <w:iCs/>
          <w:sz w:val="20"/>
          <w:szCs w:val="20"/>
        </w:rPr>
        <w:t>)</w:t>
      </w:r>
    </w:p>
    <w:p>
      <w:pPr>
        <w:pStyle w:val="8"/>
        <w:widowControl/>
        <w:spacing w:before="157" w:beforeLines="50" w:beforeAutospacing="0" w:after="157" w:afterLines="50" w:afterAutospacing="0"/>
        <w:ind w:firstLine="240" w:firstLineChars="100"/>
        <w:jc w:val="both"/>
        <w:rPr>
          <w:rFonts w:ascii="Times New Roman Regular" w:hAnsi="Times New Roman Regular" w:cs="Times New Roman Regular"/>
          <w:sz w:val="24"/>
          <w:szCs w:val="24"/>
          <w:lang w:eastAsia="zh-TW"/>
        </w:rPr>
      </w:pPr>
      <w:r>
        <w:rPr>
          <w:rFonts w:ascii="Times New Roman Regular" w:hAnsi="Times New Roman Regular" w:cs="Times New Roman Regular"/>
          <w:sz w:val="24"/>
          <w:szCs w:val="24"/>
        </w:rPr>
        <w:t xml:space="preserve">In this context, </w:t>
      </w:r>
      <w:r>
        <w:rPr>
          <w:rFonts w:ascii="Times New Roman Regular" w:hAnsi="Times New Roman Regular" w:cs="Times New Roman Regular"/>
          <w:i/>
          <w:iCs/>
          <w:sz w:val="24"/>
          <w:szCs w:val="24"/>
        </w:rPr>
        <w:t>R</w:t>
      </w:r>
      <w:r>
        <w:rPr>
          <w:rFonts w:ascii="Times New Roman Regular" w:hAnsi="Times New Roman Regular" w:cs="Times New Roman Regular"/>
          <w:sz w:val="24"/>
          <w:szCs w:val="24"/>
        </w:rPr>
        <w:t xml:space="preserve"> represent</w:t>
      </w:r>
      <w:r>
        <w:rPr>
          <w:rFonts w:hint="default" w:ascii="Times New Roman Regular" w:hAnsi="Times New Roman Regular" w:cs="Times New Roman Regular"/>
          <w:sz w:val="24"/>
          <w:szCs w:val="24"/>
          <w:lang w:val="en-US"/>
        </w:rPr>
        <w:t>ed</w:t>
      </w:r>
      <w:r>
        <w:rPr>
          <w:rFonts w:ascii="Times New Roman Regular" w:hAnsi="Times New Roman Regular" w:cs="Times New Roman Regular"/>
          <w:sz w:val="24"/>
          <w:szCs w:val="24"/>
        </w:rPr>
        <w:t xml:space="preserve"> geographic distance, segmented into intervals of 50 kilometers to form distance bands of [</w:t>
      </w:r>
      <w:r>
        <w:rPr>
          <w:rFonts w:ascii="Times New Roman Regular" w:hAnsi="Times New Roman Regular" w:cs="Times New Roman Regular"/>
          <w:i/>
          <w:iCs/>
          <w:sz w:val="24"/>
          <w:szCs w:val="24"/>
        </w:rPr>
        <w:t>R</w:t>
      </w:r>
      <w:r>
        <w:rPr>
          <w:rFonts w:ascii="Times New Roman Regular" w:hAnsi="Times New Roman Regular" w:cs="Times New Roman Regular"/>
          <w:sz w:val="24"/>
          <w:szCs w:val="24"/>
        </w:rPr>
        <w:t>−50,R]</w:t>
      </w:r>
      <w:r>
        <w:rPr>
          <w:rFonts w:hint="default" w:ascii="Times New Roman Regular" w:hAnsi="Times New Roman Regular" w:cs="Times New Roman Regular"/>
          <w:sz w:val="24"/>
          <w:szCs w:val="24"/>
          <w:lang w:val="en-US"/>
        </w:rPr>
        <w:t xml:space="preserve">, </w:t>
      </w:r>
      <w:r>
        <w:rPr>
          <w:rFonts w:ascii="Times New Roman Regular" w:hAnsi="Times New Roman Regular" w:cs="Times New Roman Regular"/>
          <w:sz w:val="24"/>
          <w:szCs w:val="24"/>
        </w:rPr>
        <w:t>[</w:t>
      </w:r>
      <w:r>
        <w:rPr>
          <w:rFonts w:ascii="Times New Roman Regular" w:hAnsi="Times New Roman Regular" w:cs="Times New Roman Regular"/>
          <w:i/>
          <w:iCs/>
          <w:sz w:val="24"/>
          <w:szCs w:val="24"/>
        </w:rPr>
        <w:t>R</w:t>
      </w:r>
      <w:r>
        <w:rPr>
          <w:rFonts w:ascii="Times New Roman Regular" w:hAnsi="Times New Roman Regular" w:cs="Times New Roman Regular"/>
          <w:sz w:val="24"/>
          <w:szCs w:val="24"/>
        </w:rPr>
        <w:t xml:space="preserve">-50, </w:t>
      </w:r>
      <w:r>
        <w:rPr>
          <w:rFonts w:ascii="Times New Roman Regular" w:hAnsi="Times New Roman Regular" w:cs="Times New Roman Regular"/>
          <w:i/>
          <w:iCs/>
          <w:sz w:val="24"/>
          <w:szCs w:val="24"/>
        </w:rPr>
        <w:t>R</w:t>
      </w:r>
      <w:r>
        <w:rPr>
          <w:rFonts w:ascii="Times New Roman Regular" w:hAnsi="Times New Roman Regular" w:cs="Times New Roman Regular"/>
          <w:sz w:val="24"/>
          <w:szCs w:val="24"/>
        </w:rPr>
        <w:t>]</w:t>
      </w:r>
      <w:r>
        <w:rPr>
          <w:rFonts w:hint="default" w:ascii="Times New Roman Regular" w:hAnsi="Times New Roman Regular" w:cs="Times New Roman Regular"/>
          <w:sz w:val="24"/>
          <w:szCs w:val="24"/>
          <w:lang w:val="en-US"/>
        </w:rPr>
        <w:t xml:space="preserve">, </w:t>
      </w:r>
      <w:r>
        <w:rPr>
          <w:rFonts w:ascii="Times New Roman Regular" w:hAnsi="Times New Roman Regular" w:cs="Times New Roman Regular"/>
          <w:sz w:val="24"/>
          <w:szCs w:val="24"/>
        </w:rPr>
        <w:t>[</w:t>
      </w:r>
      <w:r>
        <w:rPr>
          <w:rFonts w:ascii="Times New Roman Regular" w:hAnsi="Times New Roman Regular" w:cs="Times New Roman Regular"/>
          <w:i/>
          <w:iCs/>
          <w:sz w:val="24"/>
          <w:szCs w:val="24"/>
        </w:rPr>
        <w:t>R</w:t>
      </w:r>
      <w:r>
        <w:rPr>
          <w:rFonts w:ascii="Times New Roman Regular" w:hAnsi="Times New Roman Regular" w:cs="Times New Roman Regular"/>
          <w:sz w:val="24"/>
          <w:szCs w:val="24"/>
        </w:rPr>
        <w:t>−50,</w:t>
      </w:r>
      <w:r>
        <w:rPr>
          <w:rFonts w:ascii="Times New Roman Regular" w:hAnsi="Times New Roman Regular" w:cs="Times New Roman Regular"/>
          <w:i/>
          <w:iCs/>
          <w:sz w:val="24"/>
          <w:szCs w:val="24"/>
        </w:rPr>
        <w:t>R</w:t>
      </w:r>
      <w:r>
        <w:rPr>
          <w:rFonts w:ascii="Times New Roman Regular" w:hAnsi="Times New Roman Regular" w:cs="Times New Roman Regular"/>
          <w:sz w:val="24"/>
          <w:szCs w:val="24"/>
        </w:rPr>
        <w:t xml:space="preserve">]. The variable </w:t>
      </w:r>
      <w:r>
        <w:rPr>
          <w:rFonts w:ascii="Times New Roman Regular" w:hAnsi="Times New Roman Regular" w:cs="Times New Roman Regular"/>
          <w:i/>
          <w:kern w:val="2"/>
          <w:sz w:val="24"/>
          <w:szCs w:val="24"/>
        </w:rPr>
        <w:t>Distance</w:t>
      </w:r>
      <w:r>
        <w:rPr>
          <w:rFonts w:ascii="Times New Roman Regular" w:hAnsi="Times New Roman Regular" w:cs="Times New Roman Regular"/>
          <w:i/>
          <w:kern w:val="2"/>
          <w:sz w:val="24"/>
          <w:szCs w:val="24"/>
          <w:vertAlign w:val="subscript"/>
        </w:rPr>
        <w:t xml:space="preserve">it </w:t>
      </w:r>
      <w:r>
        <w:rPr>
          <w:rFonts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en-US"/>
        </w:rPr>
        <w:t>was</w:t>
      </w:r>
      <w:r>
        <w:rPr>
          <w:rFonts w:ascii="Times New Roman Regular" w:hAnsi="Times New Roman Regular" w:cs="Times New Roman Regular"/>
          <w:sz w:val="24"/>
          <w:szCs w:val="24"/>
        </w:rPr>
        <w:t xml:space="preserve"> a dummy indicator that capture</w:t>
      </w:r>
      <w:r>
        <w:rPr>
          <w:rFonts w:hint="default" w:ascii="Times New Roman Regular" w:hAnsi="Times New Roman Regular" w:cs="Times New Roman Regular"/>
          <w:sz w:val="24"/>
          <w:szCs w:val="24"/>
          <w:lang w:val="en-US"/>
        </w:rPr>
        <w:t>d</w:t>
      </w:r>
      <w:r>
        <w:rPr>
          <w:rFonts w:ascii="Times New Roman Regular" w:hAnsi="Times New Roman Regular" w:cs="Times New Roman Regular"/>
          <w:sz w:val="24"/>
          <w:szCs w:val="24"/>
        </w:rPr>
        <w:t xml:space="preserve"> whether any other city within a specific distance range ha</w:t>
      </w:r>
      <w:r>
        <w:rPr>
          <w:rFonts w:hint="default" w:ascii="Times New Roman Regular" w:hAnsi="Times New Roman Regular" w:cs="Times New Roman Regular"/>
          <w:sz w:val="24"/>
          <w:szCs w:val="24"/>
          <w:lang w:val="en-US"/>
        </w:rPr>
        <w:t>d</w:t>
      </w:r>
      <w:r>
        <w:rPr>
          <w:rFonts w:ascii="Times New Roman Regular" w:hAnsi="Times New Roman Regular" w:cs="Times New Roman Regular"/>
          <w:sz w:val="24"/>
          <w:szCs w:val="24"/>
        </w:rPr>
        <w:t xml:space="preserve"> been designated as a Green Finance Reform Pilot Zone in year t. Specifically, </w:t>
      </w:r>
      <w:r>
        <w:rPr>
          <w:rFonts w:ascii="Times New Roman Regular" w:hAnsi="Times New Roman Regular" w:cs="Times New Roman Regular"/>
          <w:i/>
          <w:kern w:val="2"/>
          <w:sz w:val="24"/>
          <w:szCs w:val="24"/>
        </w:rPr>
        <w:t>Distance</w:t>
      </w:r>
      <w:r>
        <w:rPr>
          <w:rFonts w:ascii="Times New Roman Regular" w:hAnsi="Times New Roman Regular" w:cs="Times New Roman Regular"/>
          <w:i/>
          <w:kern w:val="2"/>
          <w:sz w:val="24"/>
          <w:szCs w:val="24"/>
          <w:vertAlign w:val="subscript"/>
        </w:rPr>
        <w:t xml:space="preserve">it </w:t>
      </w:r>
      <w:r>
        <w:rPr>
          <w:rFonts w:ascii="Times New Roman Regular" w:hAnsi="Times New Roman Regular" w:cs="Times New Roman Regular"/>
          <w:sz w:val="24"/>
          <w:szCs w:val="24"/>
        </w:rPr>
        <w:t>=1 if there exist</w:t>
      </w:r>
      <w:r>
        <w:rPr>
          <w:rFonts w:hint="default" w:ascii="Times New Roman Regular" w:hAnsi="Times New Roman Regular" w:cs="Times New Roman Regular"/>
          <w:sz w:val="24"/>
          <w:szCs w:val="24"/>
          <w:lang w:val="en-US"/>
        </w:rPr>
        <w:t>ed</w:t>
      </w:r>
      <w:r>
        <w:rPr>
          <w:rFonts w:ascii="Times New Roman Regular" w:hAnsi="Times New Roman Regular" w:cs="Times New Roman Regular"/>
          <w:sz w:val="24"/>
          <w:szCs w:val="24"/>
        </w:rPr>
        <w:t xml:space="preserve"> at least one prefecture-level city within the [50, 100], [100, 150], ..., or [300, 350] kilometer range that was selected as a pilot zone in year t; otherwise, the variable t</w:t>
      </w:r>
      <w:r>
        <w:rPr>
          <w:rFonts w:hint="default" w:ascii="Times New Roman Regular" w:hAnsi="Times New Roman Regular" w:cs="Times New Roman Regular"/>
          <w:sz w:val="24"/>
          <w:szCs w:val="24"/>
          <w:lang w:val="en-US"/>
        </w:rPr>
        <w:t>ook</w:t>
      </w:r>
      <w:r>
        <w:rPr>
          <w:rFonts w:ascii="Times New Roman Regular" w:hAnsi="Times New Roman Regular" w:cs="Times New Roman Regular"/>
          <w:sz w:val="24"/>
          <w:szCs w:val="24"/>
        </w:rPr>
        <w:t xml:space="preserve"> the value 0.</w:t>
      </w:r>
    </w:p>
    <w:p>
      <w:pPr>
        <w:rPr>
          <w:rFonts w:hint="eastAsia" w:ascii="Times New Roman Regular" w:hAnsi="Times New Roman Regular" w:cs="Times New Roman Regular" w:eastAsiaTheme="minorEastAsia"/>
          <w:sz w:val="24"/>
          <w:szCs w:val="24"/>
          <w:lang w:eastAsia="zh-CN"/>
        </w:rPr>
      </w:pPr>
      <w:r>
        <w:rPr>
          <w:rFonts w:hint="eastAsia" w:ascii="Times New Roman Regular" w:hAnsi="Times New Roman Regular" w:cs="Times New Roman Regular" w:eastAsiaTheme="minorEastAsia"/>
          <w:sz w:val="24"/>
          <w:szCs w:val="24"/>
          <w:lang w:eastAsia="zh-CN"/>
        </w:rPr>
        <w:drawing>
          <wp:inline distT="0" distB="0" distL="114300" distR="114300">
            <wp:extent cx="5267325" cy="3513455"/>
            <wp:effectExtent l="0" t="0" r="15875" b="17145"/>
            <wp:docPr id="11" name="图片 11" descr="spillover_effects_paper_bordered_itali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spillover_effects_paper_bordered_italicx"/>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5267325" cy="3513455"/>
                    </a:xfrm>
                    <a:prstGeom prst="rect">
                      <a:avLst/>
                    </a:prstGeom>
                  </pic:spPr>
                </pic:pic>
              </a:graphicData>
            </a:graphic>
          </wp:inline>
        </w:drawing>
      </w:r>
    </w:p>
    <w:p>
      <w:pPr>
        <w:spacing w:after="157" w:afterLines="50"/>
        <w:jc w:val="center"/>
        <w:rPr>
          <w:rFonts w:ascii="Times New Roman Regular" w:hAnsi="Times New Roman Regular" w:cs="Times New Roman Regular"/>
          <w:sz w:val="20"/>
          <w:szCs w:val="20"/>
        </w:rPr>
      </w:pPr>
      <w:r>
        <w:rPr>
          <w:rFonts w:ascii="Times New Roman Bold" w:hAnsi="Times New Roman Bold" w:cs="Times New Roman Bold"/>
          <w:b/>
          <w:bCs/>
          <w:sz w:val="20"/>
          <w:szCs w:val="20"/>
        </w:rPr>
        <w:t>Fig.</w:t>
      </w:r>
      <w:r>
        <w:rPr>
          <w:rFonts w:hint="eastAsia" w:ascii="Times New Roman Bold" w:hAnsi="Times New Roman Bold" w:cs="Times New Roman Bold"/>
          <w:b/>
          <w:bCs/>
          <w:sz w:val="20"/>
          <w:szCs w:val="20"/>
          <w:lang w:val="en-US" w:eastAsia="zh-CN"/>
        </w:rPr>
        <w:t xml:space="preserve"> 8</w:t>
      </w:r>
      <w:r>
        <w:rPr>
          <w:rFonts w:ascii="Times New Roman Regular" w:hAnsi="Times New Roman Regular" w:cs="Times New Roman Regular"/>
          <w:b/>
          <w:bCs/>
          <w:sz w:val="20"/>
          <w:szCs w:val="20"/>
        </w:rPr>
        <w:t xml:space="preserve"> </w:t>
      </w:r>
      <w:r>
        <w:rPr>
          <w:rFonts w:ascii="Times New Roman Regular" w:hAnsi="Times New Roman Regular" w:cs="Times New Roman Regular"/>
          <w:sz w:val="20"/>
          <w:szCs w:val="20"/>
        </w:rPr>
        <w:t>Spatial Spillover</w:t>
      </w:r>
      <w:r>
        <w:rPr>
          <w:rFonts w:hint="eastAsia" w:ascii="Times New Roman Regular" w:hAnsi="Times New Roman Regular" w:cs="Times New Roman Regular"/>
          <w:sz w:val="20"/>
          <w:szCs w:val="20"/>
        </w:rPr>
        <w:t xml:space="preserve"> Estimators</w:t>
      </w:r>
    </w:p>
    <w:p>
      <w:pPr>
        <w:widowControl/>
        <w:spacing w:before="157" w:beforeLines="50" w:beforeAutospacing="0" w:after="157" w:afterLines="50" w:afterAutospacing="0"/>
        <w:ind w:firstLine="240" w:firstLineChars="100"/>
        <w:jc w:val="both"/>
        <w:rPr>
          <w:rFonts w:ascii="Times New Roman Regular" w:hAnsi="Times New Roman Regular" w:cs="Times New Roman Regular"/>
          <w:sz w:val="22"/>
          <w:szCs w:val="22"/>
        </w:rPr>
      </w:pPr>
      <w:r>
        <w:rPr>
          <w:rFonts w:ascii="Times New Roman Regular" w:hAnsi="Times New Roman Regular" w:eastAsia="宋体" w:cs="Times New Roman Regular"/>
          <w:kern w:val="0"/>
          <w:sz w:val="24"/>
          <w:szCs w:val="24"/>
          <w:lang w:bidi="ar"/>
        </w:rPr>
        <w:t>As shown in the figure, the impact of policy pilot cities on the employment quality of surrounding non-pilot cities exhibit</w:t>
      </w:r>
      <w:r>
        <w:rPr>
          <w:rFonts w:hint="default" w:ascii="Times New Roman Regular" w:hAnsi="Times New Roman Regular" w:eastAsia="宋体" w:cs="Times New Roman Regular"/>
          <w:kern w:val="0"/>
          <w:sz w:val="24"/>
          <w:szCs w:val="24"/>
          <w:lang w:val="en-US" w:bidi="ar"/>
        </w:rPr>
        <w:t>ed</w:t>
      </w:r>
      <w:r>
        <w:rPr>
          <w:rFonts w:ascii="Times New Roman Regular" w:hAnsi="Times New Roman Regular" w:eastAsia="宋体" w:cs="Times New Roman Regular"/>
          <w:kern w:val="0"/>
          <w:sz w:val="24"/>
          <w:szCs w:val="24"/>
          <w:lang w:bidi="ar"/>
        </w:rPr>
        <w:t xml:space="preserve"> significant spatial heterogeneity. Specifically, non-pilot cities located within 100–200 kilometers of pilot cities show</w:t>
      </w:r>
      <w:r>
        <w:rPr>
          <w:rFonts w:hint="default" w:ascii="Times New Roman Regular" w:hAnsi="Times New Roman Regular" w:eastAsia="宋体" w:cs="Times New Roman Regular"/>
          <w:kern w:val="0"/>
          <w:sz w:val="24"/>
          <w:szCs w:val="24"/>
          <w:lang w:val="en-US" w:bidi="ar"/>
        </w:rPr>
        <w:t>ed</w:t>
      </w:r>
      <w:r>
        <w:rPr>
          <w:rFonts w:ascii="Times New Roman Regular" w:hAnsi="Times New Roman Regular" w:eastAsia="宋体" w:cs="Times New Roman Regular"/>
          <w:kern w:val="0"/>
          <w:sz w:val="24"/>
          <w:szCs w:val="24"/>
          <w:lang w:bidi="ar"/>
        </w:rPr>
        <w:t xml:space="preserve"> significantly positive coefficients, indicating the presence of notable spatial spillover effects. In contrast, within the 0–50 km range, the estimated coefficient </w:t>
      </w:r>
      <w:r>
        <w:rPr>
          <w:rFonts w:hint="default" w:ascii="Times New Roman Regular" w:hAnsi="Times New Roman Regular" w:eastAsia="宋体" w:cs="Times New Roman Regular"/>
          <w:kern w:val="0"/>
          <w:sz w:val="24"/>
          <w:szCs w:val="24"/>
          <w:lang w:val="en-US" w:bidi="ar"/>
        </w:rPr>
        <w:t>was</w:t>
      </w:r>
      <w:r>
        <w:rPr>
          <w:rFonts w:ascii="Times New Roman Regular" w:hAnsi="Times New Roman Regular" w:eastAsia="宋体" w:cs="Times New Roman Regular"/>
          <w:kern w:val="0"/>
          <w:sz w:val="24"/>
          <w:szCs w:val="24"/>
          <w:lang w:bidi="ar"/>
        </w:rPr>
        <w:t xml:space="preserve"> significantly negative, and beyond 250 km, the spillover effect gradually weaken</w:t>
      </w:r>
      <w:r>
        <w:rPr>
          <w:rFonts w:hint="default" w:ascii="Times New Roman Regular" w:hAnsi="Times New Roman Regular" w:eastAsia="宋体" w:cs="Times New Roman Regular"/>
          <w:kern w:val="0"/>
          <w:sz w:val="24"/>
          <w:szCs w:val="24"/>
          <w:lang w:val="en-US" w:bidi="ar"/>
        </w:rPr>
        <w:t>ed</w:t>
      </w:r>
      <w:r>
        <w:rPr>
          <w:rFonts w:ascii="Times New Roman Regular" w:hAnsi="Times New Roman Regular" w:eastAsia="宋体" w:cs="Times New Roman Regular"/>
          <w:kern w:val="0"/>
          <w:sz w:val="24"/>
          <w:szCs w:val="24"/>
          <w:lang w:bidi="ar"/>
        </w:rPr>
        <w:t xml:space="preserve"> and bec</w:t>
      </w:r>
      <w:r>
        <w:rPr>
          <w:rFonts w:hint="default" w:ascii="Times New Roman Regular" w:hAnsi="Times New Roman Regular" w:eastAsia="宋体" w:cs="Times New Roman Regular"/>
          <w:kern w:val="0"/>
          <w:sz w:val="24"/>
          <w:szCs w:val="24"/>
          <w:lang w:val="en-US" w:bidi="ar"/>
        </w:rPr>
        <w:t>ame</w:t>
      </w:r>
      <w:r>
        <w:rPr>
          <w:rFonts w:ascii="Times New Roman Regular" w:hAnsi="Times New Roman Regular" w:eastAsia="宋体" w:cs="Times New Roman Regular"/>
          <w:kern w:val="0"/>
          <w:sz w:val="24"/>
          <w:szCs w:val="24"/>
          <w:lang w:bidi="ar"/>
        </w:rPr>
        <w:t xml:space="preserve"> statistically insignificant.</w:t>
      </w:r>
      <w:r>
        <w:rPr>
          <w:rFonts w:hint="default" w:ascii="Times New Roman Regular" w:hAnsi="Times New Roman Regular" w:eastAsia="宋体" w:cs="Times New Roman Regular"/>
          <w:kern w:val="0"/>
          <w:sz w:val="24"/>
          <w:szCs w:val="24"/>
          <w:lang w:val="en-US" w:bidi="ar"/>
        </w:rPr>
        <w:t xml:space="preserve"> </w:t>
      </w:r>
      <w:r>
        <w:rPr>
          <w:rFonts w:ascii="Times New Roman Regular" w:hAnsi="Times New Roman Regular" w:cs="Times New Roman Regular"/>
          <w:sz w:val="24"/>
          <w:szCs w:val="24"/>
        </w:rPr>
        <w:t>As an institutional policy intervention, the urban pilot policy initially promote</w:t>
      </w:r>
      <w:r>
        <w:rPr>
          <w:rFonts w:hint="default" w:ascii="Times New Roman Regular" w:hAnsi="Times New Roman Regular" w:cs="Times New Roman Regular"/>
          <w:sz w:val="24"/>
          <w:szCs w:val="24"/>
          <w:lang w:val="en-US"/>
        </w:rPr>
        <w:t>d</w:t>
      </w:r>
      <w:r>
        <w:rPr>
          <w:rFonts w:ascii="Times New Roman Regular" w:hAnsi="Times New Roman Regular" w:cs="Times New Roman Regular"/>
          <w:sz w:val="24"/>
          <w:szCs w:val="24"/>
        </w:rPr>
        <w:t xml:space="preserve"> local development through resource concentration, infrastructure investment, and optimized factor allocation. However, its spatial spillover effect </w:t>
      </w:r>
      <w:r>
        <w:rPr>
          <w:rFonts w:hint="default" w:ascii="Times New Roman Regular" w:hAnsi="Times New Roman Regular" w:cs="Times New Roman Regular"/>
          <w:sz w:val="24"/>
          <w:szCs w:val="24"/>
          <w:lang w:val="en-US"/>
        </w:rPr>
        <w:t xml:space="preserve">did </w:t>
      </w:r>
      <w:r>
        <w:rPr>
          <w:rFonts w:ascii="Times New Roman Regular" w:hAnsi="Times New Roman Regular" w:cs="Times New Roman Regular"/>
          <w:sz w:val="24"/>
          <w:szCs w:val="24"/>
        </w:rPr>
        <w:t>not decline monotonically with distance, but rather follow</w:t>
      </w:r>
      <w:r>
        <w:rPr>
          <w:rFonts w:hint="default" w:ascii="Times New Roman Regular" w:hAnsi="Times New Roman Regular" w:cs="Times New Roman Regular"/>
          <w:sz w:val="24"/>
          <w:szCs w:val="24"/>
          <w:lang w:val="en-US"/>
        </w:rPr>
        <w:t>ed</w:t>
      </w:r>
      <w:r>
        <w:rPr>
          <w:rFonts w:ascii="Times New Roman Regular" w:hAnsi="Times New Roman Regular" w:cs="Times New Roman Regular"/>
          <w:sz w:val="24"/>
          <w:szCs w:val="24"/>
        </w:rPr>
        <w:t xml:space="preserve"> an inverted U-shaped distribution. This suggest</w:t>
      </w:r>
      <w:r>
        <w:rPr>
          <w:rFonts w:hint="default" w:ascii="Times New Roman Regular" w:hAnsi="Times New Roman Regular" w:cs="Times New Roman Regular"/>
          <w:sz w:val="24"/>
          <w:szCs w:val="24"/>
          <w:lang w:val="en-US"/>
        </w:rPr>
        <w:t>ed</w:t>
      </w:r>
      <w:r>
        <w:rPr>
          <w:rFonts w:ascii="Times New Roman Regular" w:hAnsi="Times New Roman Regular" w:cs="Times New Roman Regular"/>
          <w:sz w:val="24"/>
          <w:szCs w:val="24"/>
        </w:rPr>
        <w:t xml:space="preserve"> that cities in the immediate vicinity of pilot cities </w:t>
      </w:r>
      <w:r>
        <w:rPr>
          <w:rFonts w:hint="default" w:ascii="Times New Roman Regular" w:hAnsi="Times New Roman Regular" w:cs="Times New Roman Regular"/>
          <w:sz w:val="24"/>
          <w:szCs w:val="24"/>
          <w:lang w:val="en-US"/>
        </w:rPr>
        <w:t>might have</w:t>
      </w:r>
      <w:r>
        <w:rPr>
          <w:rFonts w:ascii="Times New Roman Regular" w:hAnsi="Times New Roman Regular" w:cs="Times New Roman Regular"/>
          <w:sz w:val="24"/>
          <w:szCs w:val="24"/>
        </w:rPr>
        <w:t xml:space="preserve"> experience adverse effects due to resource siphoning, talent outflow, and institutional disadvantages, which hinder</w:t>
      </w:r>
      <w:r>
        <w:rPr>
          <w:rFonts w:hint="default" w:ascii="Times New Roman Regular" w:hAnsi="Times New Roman Regular" w:cs="Times New Roman Regular"/>
          <w:sz w:val="24"/>
          <w:szCs w:val="24"/>
          <w:lang w:val="en-US"/>
        </w:rPr>
        <w:t>ed</w:t>
      </w:r>
      <w:r>
        <w:rPr>
          <w:rFonts w:ascii="Times New Roman Regular" w:hAnsi="Times New Roman Regular" w:cs="Times New Roman Regular"/>
          <w:sz w:val="24"/>
          <w:szCs w:val="24"/>
        </w:rPr>
        <w:t xml:space="preserve"> improvements in employment quality. When the distance extends to a certain range (such as 100–200 kilometers), the positive externalities of the policy overcome the negative fringe effects of the core cities and beg</w:t>
      </w:r>
      <w:r>
        <w:rPr>
          <w:rFonts w:hint="default" w:ascii="Times New Roman Regular" w:hAnsi="Times New Roman Regular" w:cs="Times New Roman Regular"/>
          <w:sz w:val="24"/>
          <w:szCs w:val="24"/>
          <w:lang w:val="en-US"/>
        </w:rPr>
        <w:t>a</w:t>
      </w:r>
      <w:r>
        <w:rPr>
          <w:rFonts w:ascii="Times New Roman Regular" w:hAnsi="Times New Roman Regular" w:cs="Times New Roman Regular"/>
          <w:sz w:val="24"/>
          <w:szCs w:val="24"/>
        </w:rPr>
        <w:t>n to exert a driving effect, improving the employment quality of nearby non-pilot cities. As the distance further increase</w:t>
      </w:r>
      <w:r>
        <w:rPr>
          <w:rFonts w:hint="default" w:ascii="Times New Roman Regular" w:hAnsi="Times New Roman Regular" w:cs="Times New Roman Regular"/>
          <w:sz w:val="24"/>
          <w:szCs w:val="24"/>
          <w:lang w:val="en-US"/>
        </w:rPr>
        <w:t>d</w:t>
      </w:r>
      <w:r>
        <w:rPr>
          <w:rFonts w:ascii="Times New Roman Regular" w:hAnsi="Times New Roman Regular" w:cs="Times New Roman Regular"/>
          <w:sz w:val="24"/>
          <w:szCs w:val="24"/>
        </w:rPr>
        <w:t>, policy signals attenuate</w:t>
      </w:r>
      <w:r>
        <w:rPr>
          <w:rFonts w:hint="default" w:ascii="Times New Roman Regular" w:hAnsi="Times New Roman Regular" w:cs="Times New Roman Regular"/>
          <w:sz w:val="24"/>
          <w:szCs w:val="24"/>
          <w:lang w:val="en-US"/>
        </w:rPr>
        <w:t>d</w:t>
      </w:r>
      <w:r>
        <w:rPr>
          <w:rFonts w:ascii="Times New Roman Regular" w:hAnsi="Times New Roman Regular" w:cs="Times New Roman Regular"/>
          <w:sz w:val="24"/>
          <w:szCs w:val="24"/>
        </w:rPr>
        <w:t>, and the spillover effects gradually vanish</w:t>
      </w:r>
      <w:r>
        <w:rPr>
          <w:rFonts w:hint="default" w:ascii="Times New Roman Regular" w:hAnsi="Times New Roman Regular" w:cs="Times New Roman Regular"/>
          <w:sz w:val="24"/>
          <w:szCs w:val="24"/>
          <w:lang w:val="en-US"/>
        </w:rPr>
        <w:t>ed</w:t>
      </w:r>
      <w:r>
        <w:rPr>
          <w:rFonts w:ascii="Times New Roman Regular" w:hAnsi="Times New Roman Regular" w:cs="Times New Roman Regular"/>
          <w:sz w:val="24"/>
          <w:szCs w:val="24"/>
        </w:rPr>
        <w:t>.</w:t>
      </w:r>
    </w:p>
    <w:p>
      <w:pPr>
        <w:spacing w:before="0" w:beforeLines="0" w:after="156" w:afterLines="50"/>
        <w:rPr>
          <w:rFonts w:hint="eastAsia" w:ascii="Times New Roman Bold" w:hAnsi="Times New Roman Bold" w:cs="Times New Roman Bold"/>
          <w:b/>
          <w:bCs/>
          <w:sz w:val="24"/>
          <w:lang w:val="en-US" w:eastAsia="zh-CN"/>
        </w:rPr>
      </w:pPr>
      <w:r>
        <w:rPr>
          <w:rFonts w:hint="eastAsia" w:ascii="Times New Roman Bold" w:hAnsi="Times New Roman Bold" w:cs="Times New Roman Bold"/>
          <w:b/>
          <w:bCs/>
          <w:sz w:val="24"/>
          <w:lang w:val="en-US" w:eastAsia="zh-CN"/>
        </w:rPr>
        <w:t>5</w:t>
      </w:r>
      <w:r>
        <w:rPr>
          <w:rFonts w:ascii="Times New Roman Bold" w:hAnsi="Times New Roman Bold" w:cs="Times New Roman Bold"/>
          <w:b/>
          <w:bCs/>
          <w:sz w:val="24"/>
        </w:rPr>
        <w:t xml:space="preserve"> Discussion</w:t>
      </w:r>
      <w:r>
        <w:rPr>
          <w:rFonts w:hint="eastAsia" w:ascii="Times New Roman Bold" w:hAnsi="Times New Roman Bold" w:cs="Times New Roman Bold"/>
          <w:b/>
          <w:bCs/>
          <w:sz w:val="24"/>
          <w:lang w:val="en-US" w:eastAsia="zh-CN"/>
        </w:rPr>
        <w:t xml:space="preserve"> and implication</w:t>
      </w:r>
    </w:p>
    <w:p>
      <w:pPr>
        <w:pStyle w:val="8"/>
        <w:keepNext w:val="0"/>
        <w:keepLines w:val="0"/>
        <w:widowControl/>
        <w:suppressLineNumbers w:val="0"/>
        <w:ind w:firstLine="240" w:firstLineChars="100"/>
        <w:jc w:val="both"/>
        <w:rPr>
          <w:rFonts w:ascii="Times New Roman Regular" w:hAnsi="Times New Roman Regular" w:cs="Times New Roman Regular"/>
        </w:rPr>
      </w:pPr>
      <w:r>
        <w:rPr>
          <w:rFonts w:ascii="Times New Roman Regular" w:hAnsi="Times New Roman Regular" w:cs="Times New Roman Regular"/>
        </w:rPr>
        <w:t>This study investigates how the New-Type Urbanization Pilot Policy (NTUPP) affects employment quality and through which channels the effects operate. Our results show that the NTUPP significantly improves employment quality at the city level. We further identify two transmission channels—human capital accumulation and factor-market development—through which the policy exerts these positive effects. Spatial analysis reveals that vertical densification amplifies improvements in employment quality, while horizontal sprawl weakens them. In addition, the policy exhibits spatial spillovers concentrated within a medium range (100–200 km), whereas short-range siphoning effects may arise within 0–50 km.</w:t>
      </w:r>
    </w:p>
    <w:p>
      <w:pPr>
        <w:pStyle w:val="8"/>
        <w:keepNext w:val="0"/>
        <w:keepLines w:val="0"/>
        <w:widowControl/>
        <w:suppressLineNumbers w:val="0"/>
        <w:ind w:firstLine="240" w:firstLineChars="100"/>
        <w:jc w:val="both"/>
        <w:rPr>
          <w:rFonts w:ascii="Times New Roman Regular" w:hAnsi="Times New Roman Regular" w:cs="Times New Roman Regular"/>
        </w:rPr>
      </w:pPr>
      <w:r>
        <w:rPr>
          <w:rFonts w:ascii="Times New Roman Regular" w:hAnsi="Times New Roman Regular" w:cs="Times New Roman Regular"/>
        </w:rPr>
        <w:t xml:space="preserve">Beyond these core findings, the study offers </w:t>
      </w:r>
      <w:r>
        <w:rPr>
          <w:rStyle w:val="13"/>
          <w:rFonts w:ascii="Times New Roman Regular" w:hAnsi="Times New Roman Regular" w:cs="Times New Roman Regular"/>
          <w:b w:val="0"/>
        </w:rPr>
        <w:t>four key contributions</w:t>
      </w:r>
      <w:r>
        <w:rPr>
          <w:rFonts w:ascii="Times New Roman Regular" w:hAnsi="Times New Roman Regular" w:cs="Times New Roman Regular"/>
        </w:rPr>
        <w:t>.</w:t>
      </w:r>
      <w:r>
        <w:rPr>
          <w:rFonts w:hint="default" w:ascii="Times New Roman Regular" w:hAnsi="Times New Roman Regular" w:cs="Times New Roman Regular"/>
          <w:lang w:val="en-US"/>
        </w:rPr>
        <w:t xml:space="preserve"> </w:t>
      </w:r>
      <w:r>
        <w:rPr>
          <w:rFonts w:ascii="Times New Roman Regular" w:hAnsi="Times New Roman Regular" w:cs="Times New Roman Regular"/>
        </w:rPr>
        <w:t>First, it provides credible city-level causal evidence that NTUPP enhances employment quality, addressing a gap in previous literature that has focused primarily on job quantity. Second, the paper incorporates 3D urban morphology into policy evaluation by pairing a multidimensional employment-quality index with CBHD30-based measures—Building Surface Fraction (BSF) and Mean Building Height (MBH). This framework allows us to distinguish vertical densification from horizontal sprawl and shows that compact, high-rise growth strengthens the policy’s impact. Third, we document substantial spatial heterogeneity: policy effects are stronger in eastern/southern/coastal and transport-hub cities but weaker in old-industrial, large, and provincial-capital cities. Fourth, we uncover meaningful spatial spillovers, which follow an inverted-U pattern, peaking at intermediate distances (100–200 km) but exhibiting short-range competition.</w:t>
      </w:r>
    </w:p>
    <w:p>
      <w:pPr>
        <w:pStyle w:val="8"/>
        <w:keepNext w:val="0"/>
        <w:keepLines w:val="0"/>
        <w:widowControl/>
        <w:suppressLineNumbers w:val="0"/>
        <w:ind w:firstLine="240" w:firstLineChars="100"/>
        <w:jc w:val="both"/>
        <w:rPr>
          <w:rFonts w:ascii="Times New Roman Regular" w:hAnsi="Times New Roman Regular" w:cs="Times New Roman Regular"/>
        </w:rPr>
      </w:pPr>
      <w:r>
        <w:rPr>
          <w:rFonts w:ascii="Times New Roman Regular" w:hAnsi="Times New Roman Regular" w:cs="Times New Roman Regular"/>
        </w:rPr>
        <w:t>From a practical perspective, the findings provide policy guidance for urban governance in transitional economies. The NTUPP’s people-centered, top-down design effectively improves labor mobility, public service equalization, and job accessibility, ultimately benefiting migrant workers and residents of less-developed areas. Policymakers should recognize that the urban spatial form is not merely an outcome but an important lever: compactness and vertical densification shorten commutes, expand service coverage, and enhance labor-market matching, while extensive 2D expansion dilutes policy benefits. Moreover, because NTUPP impacts extend beyond administrative borders, cross-jurisdictional coordination—in transport planning, service provision, and labor placement—is indispensable for diffusing gains and mitigating short-range siphoning.</w:t>
      </w:r>
    </w:p>
    <w:p>
      <w:pPr>
        <w:pStyle w:val="8"/>
        <w:keepNext w:val="0"/>
        <w:keepLines w:val="0"/>
        <w:widowControl/>
        <w:suppressLineNumbers w:val="0"/>
        <w:ind w:firstLine="240" w:firstLineChars="100"/>
        <w:jc w:val="both"/>
        <w:rPr>
          <w:rFonts w:ascii="Times New Roman Regular" w:hAnsi="Times New Roman Regular" w:cs="Times New Roman Regular"/>
        </w:rPr>
      </w:pPr>
      <w:r>
        <w:rPr>
          <w:rFonts w:ascii="Times New Roman Regular" w:hAnsi="Times New Roman Regular" w:cs="Times New Roman Regular"/>
        </w:rPr>
        <w:t xml:space="preserve">China’s new-type urbanization is transitioning from scale expansion to quality enhancement. Policy packages should therefore combine institutional reform with physical and social infrastructure provision. On the </w:t>
      </w:r>
      <w:r>
        <w:rPr>
          <w:rStyle w:val="13"/>
          <w:rFonts w:ascii="Times New Roman Regular" w:hAnsi="Times New Roman Regular" w:cs="Times New Roman Regular"/>
          <w:b w:val="0"/>
        </w:rPr>
        <w:t>infrastructure side</w:t>
      </w:r>
      <w:r>
        <w:rPr>
          <w:rFonts w:ascii="Times New Roman Regular" w:hAnsi="Times New Roman Regular" w:cs="Times New Roman Regular"/>
        </w:rPr>
        <w:t xml:space="preserve">, priorities include improving multimodal public transit, last-mile connectivity, and reliable utilities (water, power, broadband). On the </w:t>
      </w:r>
      <w:r>
        <w:rPr>
          <w:rStyle w:val="13"/>
          <w:rFonts w:ascii="Times New Roman Regular" w:hAnsi="Times New Roman Regular" w:cs="Times New Roman Regular"/>
          <w:b w:val="0"/>
        </w:rPr>
        <w:t>social services side</w:t>
      </w:r>
      <w:r>
        <w:rPr>
          <w:rFonts w:ascii="Times New Roman Regular" w:hAnsi="Times New Roman Regular" w:cs="Times New Roman Regular"/>
        </w:rPr>
        <w:t>, equal access to schooling for migrant children, portable health insurance, and broader social security coverage for flexible and platform workers are crucial. Cities should encourage compact, infill development and vertical renewal rather than low-density sprawl to ensure that more workers can reach jobs within a short travel time. Further, factor-market development—easing business entry, improving financing for young firms, linking transport hubs to regional value chains—and re-skilling support for old-industrial and resource-dependent cities are needed to translate urbanization gains into sustained employment improvements. Municipalities may also consider publishing a simple dashboard tracking employment-quality outcomes (e.g., wages, formality, stability, benefits, safety) and job accessibility, enabling more dynamic adjustments of subsidies, density targets, and training policies.</w:t>
      </w:r>
    </w:p>
    <w:p>
      <w:pPr>
        <w:pStyle w:val="8"/>
        <w:widowControl/>
        <w:ind w:firstLine="240" w:firstLineChars="100"/>
        <w:jc w:val="both"/>
        <w:rPr>
          <w:rFonts w:hint="default" w:ascii="Times New Roman Bold" w:hAnsi="Times New Roman Bold" w:cs="Times New Roman Bold"/>
          <w:b/>
          <w:bCs/>
          <w:sz w:val="24"/>
          <w:lang w:val="en-US" w:eastAsia="zh-CN"/>
        </w:rPr>
      </w:pPr>
      <w:r>
        <w:rPr>
          <w:rFonts w:ascii="Times New Roman Regular" w:hAnsi="Times New Roman Regular" w:cs="Times New Roman Regular"/>
        </w:rPr>
        <w:t>This study has limitations that point to promising directions for future work. First, our measurement of vertical urban growth relies on building-height data available only for 2010 and 2020; interpolation may miss short-term variation and introduce measurement noise. Second, although our city-level employment-quality index is multidimensional and transparent, it relies on administrative statistics and proxy variables (e.g., social-insurance coverage, average wages), which may underrepresent informality, contract quality, and job amenities, and may be sensitive to indicator selection and weighting. Consequently, our estimates of how NTUPP interacts with urban form and job quality should be interpreted conservatively. Future research integrating high-frequency 3D data, micro-level labor information, and distributional perspectives would allow more precise evaluation of timing, mechanisms, and heterogeneous impacts.</w:t>
      </w:r>
    </w:p>
    <w:p>
      <w:pPr>
        <w:spacing w:before="0" w:beforeLines="0" w:after="156" w:afterLines="50"/>
        <w:rPr>
          <w:rFonts w:ascii="Times New Roman Bold" w:hAnsi="Times New Roman Bold" w:cs="Times New Roman Bold"/>
          <w:b/>
          <w:bCs/>
          <w:sz w:val="24"/>
        </w:rPr>
      </w:pPr>
      <w:r>
        <w:rPr>
          <w:rFonts w:hint="eastAsia" w:ascii="Times New Roman Bold" w:hAnsi="Times New Roman Bold" w:cs="Times New Roman Bold"/>
          <w:b/>
          <w:bCs/>
          <w:sz w:val="24"/>
          <w:lang w:val="en-US" w:eastAsia="zh-CN"/>
        </w:rPr>
        <w:t>6.</w:t>
      </w:r>
      <w:r>
        <w:rPr>
          <w:rFonts w:ascii="Times New Roman Bold" w:hAnsi="Times New Roman Bold" w:cs="Times New Roman Bold"/>
          <w:b/>
          <w:bCs/>
          <w:sz w:val="24"/>
        </w:rPr>
        <w:t xml:space="preserve"> Conclusions</w:t>
      </w:r>
    </w:p>
    <w:p>
      <w:pPr>
        <w:widowControl/>
        <w:spacing w:after="157" w:afterLines="50"/>
        <w:ind w:firstLine="240" w:firstLineChars="100"/>
        <w:rPr>
          <w:rFonts w:ascii="Times New Roman Regular" w:hAnsi="Times New Roman Regular" w:cs="Times New Roman Regular"/>
          <w:sz w:val="24"/>
        </w:rPr>
      </w:pPr>
      <w:r>
        <w:rPr>
          <w:rFonts w:ascii="Times New Roman Regular" w:hAnsi="Times New Roman Regular" w:cs="Times New Roman Regular"/>
          <w:sz w:val="24"/>
        </w:rPr>
        <w:t>This study shows that China’s New-type Urbanization Pilot Policy (NTUPP) does more than accelerate city growth—it improves the quality of urban employment. Using a panel of 287 prefecture-level cities (2007–2021) and a suite of identification strategies (multi-period DID with city and year fixed effects, PSM, IV-2SLS, and DML), we find a robust average increase of about 9.2% in a multidimensional employment-quality index for pilot cities. Mechanism analyses indicate that the policy works chiefly through human capital accumulation—via education, training, and health coverage that raise worker productivity—and through market development, which lowers transaction costs and improves the allocation of labor and capital.</w:t>
      </w:r>
    </w:p>
    <w:p>
      <w:pPr>
        <w:widowControl/>
        <w:spacing w:after="157" w:afterLines="50"/>
        <w:ind w:firstLine="240" w:firstLineChars="100"/>
        <w:rPr>
          <w:rFonts w:ascii="Times New Roman Regular" w:hAnsi="Times New Roman Regular" w:cs="Times New Roman Regular"/>
          <w:sz w:val="24"/>
        </w:rPr>
      </w:pPr>
      <w:r>
        <w:rPr>
          <w:rFonts w:ascii="Times New Roman Regular" w:hAnsi="Times New Roman Regular" w:cs="Times New Roman Regular"/>
          <w:sz w:val="24"/>
        </w:rPr>
        <w:t>The effects are conditioned by urban form. Compact layouts and vertical densification enhance job accessibility and service coverage, thereby amplifying policy gains, while horizontal sprawl lengthens commutes, fragments services, and erodes benefits. We also document heterogeneity: impacts tend to be stronger in eastern and southern regions, coastal cities, and transport hubs, and weaker in old-industrial, resource-dependent, very large, and some provincial-capital cities where saturation and structural rigidities limit marginal improvements. Finally, we find spatial spillovers: nearby non-pilot cities gain at middle distances, though very close neighbors may experience short-run siphoning.</w:t>
      </w:r>
    </w:p>
    <w:p>
      <w:pPr>
        <w:widowControl/>
        <w:ind w:firstLine="240" w:firstLineChars="100"/>
        <w:rPr>
          <w:rFonts w:ascii="Times New Roman Regular" w:hAnsi="Times New Roman Regular" w:cs="Times New Roman Regular"/>
          <w:sz w:val="24"/>
        </w:rPr>
      </w:pPr>
      <w:r>
        <w:rPr>
          <w:rFonts w:ascii="Times New Roman Regular" w:hAnsi="Times New Roman Regular" w:cs="Times New Roman Regular"/>
          <w:sz w:val="24"/>
        </w:rPr>
        <w:t>Overall, the evidence supports a people-centered approach to urbanization in which investments in skills, equal public services, and market-enabling institutions are coupled with morphology-aware planning that favors infill and vertical renewal over peripheral sprawl. When these elements align, urbanization can be steered toward better jobs—not merely more jobs—and the employment gains can be shared more broadly across regions.</w:t>
      </w:r>
    </w:p>
    <w:p>
      <w:pPr>
        <w:widowControl/>
        <w:jc w:val="both"/>
        <w:rPr>
          <w:rFonts w:ascii="Times New Roman Regular" w:hAnsi="Times New Roman Regular" w:cs="Times New Roman Regular"/>
          <w:sz w:val="24"/>
        </w:rPr>
      </w:pPr>
    </w:p>
    <w:p>
      <w:pPr>
        <w:spacing w:before="157" w:beforeLines="50" w:after="157" w:afterLines="50"/>
        <w:ind w:left="480" w:hanging="480" w:hangingChars="200"/>
        <w:jc w:val="both"/>
        <w:rPr>
          <w:rFonts w:hint="default" w:ascii="Times New Roman Bold" w:hAnsi="Times New Roman Bold" w:cs="Times New Roman Bold" w:eastAsiaTheme="minorEastAsia"/>
          <w:b/>
          <w:bCs/>
          <w:sz w:val="24"/>
          <w:lang w:val="en-US" w:eastAsia="zh-CN"/>
        </w:rPr>
      </w:pPr>
      <w:r>
        <w:rPr>
          <w:rFonts w:ascii="Times New Roman Bold" w:hAnsi="Times New Roman Bold" w:cs="Times New Roman Bold"/>
          <w:b/>
          <w:bCs/>
          <w:sz w:val="24"/>
        </w:rPr>
        <w:t>Reference</w:t>
      </w:r>
      <w:r>
        <w:rPr>
          <w:rFonts w:hint="default" w:ascii="Times New Roman Bold" w:hAnsi="Times New Roman Bold" w:cs="Times New Roman Bold"/>
          <w:b/>
          <w:bCs/>
          <w:sz w:val="24"/>
          <w:lang w:val="en-US" w:eastAsia="zh-CN"/>
        </w:rPr>
        <w:t>s</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Abbasi, K. R., Shahbaz, M., Jiao, Z., &amp; Tufail, M. (2021). How energy consumption, industrial growth, urbanization, and CO₂ emissions affect economic growth in Pakistan? A novel dynamic ARDL simulations approach. Energy, 221, 119793.</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Aghion, P., Antonin, C., &amp; Bunel, S. (2021). The power of creative destruction: Economic upheaval and the wealth of nations. Harvard University Press.</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An, R., Tong, Z., Tan, B., Xiong, Q., Luo, Y., Liu, Y., ... &amp; Yang, X. (2025). Revealing the relationship between 2D/3D built environment and jobs-housing separation coupling nonlinearity and spatial nonstationarity. Journal of Transport Geography, 123, 104112.</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asghar Pilehvar, A. (2021). Spatial-geographical analysis of urbanization in Iran. Humanities and Social Sciences Communications, 8(1), 1–12.</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Banerjee, A., Duflo, E., &amp; Qian, N. (2020). On the road: Access to transportation infrastructure and economic growth in China. Journal of Development Economics, 145, 102442.</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Bastiaanssen, J., Johnson, D., &amp; Lucas, K. (2022). Does better job accessibility help people gain employment? The role of public transport in Great Britain. Urban Studies, 59(2), 301–322.</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Bleakley, H., &amp; Lin, J. (2012). Portage and path dependence. The Quarterly Journal of Economics, 127(2), 587–644.</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CAO, Y., Chen, S., et al. (2022). Rebel on the canal: Disrupted trade access and social conflict in China, 1650–1911. American Economic Review, 112(5), 1555–1590.</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Chen, M., Huang, X., Cheng, J., Tang, Z., &amp; Huang, G. (2023). Urbanization and vulnerable employment: Empirical evidence from 163 countries in 1991–2019. Cities, 135, 104208.</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Cheng, F., &amp; Wang, Y. (2021). Research and application of 3D visualization and Internet of Things technology in urban land use efficiency management. Displays, 69, 102050.</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Chernozhukov, V., Chetverikov, D., Demirer, M., Duflo, E., Hansen, C., Newey, W., &amp; Robins, J. (2018). Double/debiased machine learning for treatment and structural parameters. Econometrics Journal, 21(1), C1–C68.*</w:t>
      </w:r>
    </w:p>
    <w:p>
      <w:pPr>
        <w:widowControl/>
        <w:spacing w:before="157" w:beforeLines="50" w:after="157" w:afterLines="50"/>
        <w:ind w:left="480" w:hanging="480" w:hangingChars="200"/>
        <w:jc w:val="both"/>
        <w:rPr>
          <w:rFonts w:ascii="Times New Roman Regular" w:hAnsi="Times New Roman Regular" w:cs="Times New Roman Regular"/>
          <w:sz w:val="24"/>
        </w:rPr>
      </w:pPr>
      <w:r>
        <w:rPr>
          <w:rFonts w:ascii="Times New Roman Regular" w:hAnsi="Times New Roman Regular" w:eastAsia="宋体" w:cs="Times New Roman Regular"/>
          <w:kern w:val="0"/>
          <w:sz w:val="24"/>
          <w:szCs w:val="24"/>
          <w:lang w:val="en-US" w:eastAsia="zh-CN" w:bidi="ar"/>
        </w:rPr>
        <w:t xml:space="preserve">Chen, Z., Chen, T., Lin, Y., &amp; Wang, J. (2025). </w:t>
      </w:r>
      <w:r>
        <w:rPr>
          <w:rStyle w:val="14"/>
          <w:rFonts w:ascii="Times New Roman Regular" w:hAnsi="Times New Roman Regular" w:eastAsia="宋体" w:cs="Times New Roman Regular"/>
          <w:kern w:val="0"/>
          <w:sz w:val="24"/>
          <w:szCs w:val="24"/>
          <w:lang w:val="en-US" w:eastAsia="zh-CN" w:bidi="ar"/>
        </w:rPr>
        <w:t>Building tall, falling short: An empirical assessment of Chinese skyscrapers.</w:t>
      </w:r>
      <w:r>
        <w:rPr>
          <w:rFonts w:ascii="Times New Roman Regular" w:hAnsi="Times New Roman Regular" w:eastAsia="宋体" w:cs="Times New Roman Regular"/>
          <w:kern w:val="0"/>
          <w:sz w:val="24"/>
          <w:szCs w:val="24"/>
          <w:lang w:val="en-US" w:eastAsia="zh-CN" w:bidi="ar"/>
        </w:rPr>
        <w:t xml:space="preserve"> Journal of Urban Economics, 145, Article 103731.</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Couture, V., Gaubert, C., Handbury, J., &amp; Hurst, E. (2024). Income growth and the distributional effects of urban spatial sorting. Review of Economic Studies, 91(2), 858–898.</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Deng, B., &amp; Zhong, F. (2023). Leading or constraining? Development of new-type urbanization under economic growth targets. Land, 12(4), 916.</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Delmelle, E., Nilsson, I., &amp; Adu, P. (2021). Poverty suburbanization, job accessibility, and employment outcomes. Social Inclusion, 9(2), 166–178.</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Duernecker, G., &amp; Herrendorf, B. (2022). Structural transformation of occupation employment. Economica, 89(356), 789–814.</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Duranton, G., &amp; Puga, D. (2020). The economics of urban density. Journal of Economic Perspectives, 34(3), 3–26.</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Duranton, G., &amp; Puga, D. (2023). Urban growth and its aggregate implications. Econometrica, 91(6), 2219–2259.</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Genovese, D., Candiloro, S., D’Anna, A., Dettori, M., Restivo, V., Amodio, E., &amp; Casuccio, A. (2023). Urban sprawl and health: A review of the scientific literature. Environmental Research Letters, 18(8), 083004.</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Glaeser, E. L., Kallal, H. D., Scheinkman, J. A., &amp; Shleifer, A. (1992). Growth in cities. Journal of Political Economy, 100(6), 1126–1152.</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Glaeser, E. L., &amp; Maré, D. C. (2001). Cities and skills. Journal of Labor Economics, 19(2), 316–342.</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Gong, J., &amp; Xu, L. (2024). The driving effect of industrial upgrading on new-type urbanization in Zhejiang Province. Journal of Theory and Practice of Management Science, 4(3), 44–54.</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Guo, J., Yu, Z., Ma, Z., Xu, D., &amp; Cao, S. (2022). What factors have driven urbanization in China? Environment, Development and Sustainability, 24(5), 6508–6526.</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He, S., Yu, S., Li, G., &amp; Zhang, J. (2020). Exploring the influence of urban form on land-use efficiency from a spatiotemporal heterogeneity perspective: Evidence from 336 Chinese cities. Land Use Policy, 95, 104576.</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Hosseinioun, M., Neffke, F., Zhang, L., &amp; Youn, H. (2025). Skill dependencies uncover nested human capital. Nature Human Behaviour, 1–15.</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International Labour Organization (ILO). (2012). Decent work indicators: Concepts and definitions.</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Joshanloo, M. (2023). A new index of perceived job quality in 116 countries: Associations with working hours and other national characteristics. Social Sciences, 12(9), 492.</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Lian, H., Kong, S., &amp; Yu, Y. (2025). Tight spaces, strong cities: The resilience payoff of urban compactness. Land Use Policy, 156, 107621.</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Li, H., &amp; Song, W. (2020). Evolution of rural settlements in the Tongzhou District of Beijing under the new-type urbanization policies. Habitat International, 101, 102198.</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Li, Z., Shi, Y., Wojewodzki, M., Wei, Y., &amp; Guo, M. (2024). The impact of new-type urbanization policy on urban green total factor productivity: New evidence from China. Sustainability, 16(12), 5220.</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Liao, B., Li, L., &amp; Tian, C. H. (2024). How do the pilot policies of new urbanization improve uneven development? Economic Analysis and Policy, 82, 86–103.</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Liu, T., et al. (2023). The impact of differentiated development of the digital economy on employment quality—An empirical analysis based on provincial data from China. Sustainability, 15(19), 14176.</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Lyons, T., &amp; Ewing, R. (2021). Does transit moderate spatial mismatch? The effects of transit and compactness on regional economic outcomes. Cities, 113, 103160.</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Mun, J., Lee, J. S., &amp; Kim, S. (2024). Effects of urban sprawl on regional disparity and quality of life: A case of South Korea. Cities, 151, 105125.</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Nica, E., Poliak, M., Alpopi, C., Kliestik, T., Manole, C., &amp; Burlacu, S. (2023). Impact of trade, FDI, and urbanization on female employment system in SAARC: GMM and quantile regression approach. Systems, 11(3), 137.</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Park, J. I. (2023). Re-urbanization pattern of manufacturing and characteristics of urban manufacturing in South Korea. Cities, 137, 104330.</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Peckham, T., Flaherty, B., Hajat, A., Fujishiro, K., Jacoby, D., &amp; Seixas, N. (2022). What does non-standard employment look like in the United States? An empirical typology of employment quality. Social Indicators Research, 163(2), 555–583.</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Qi, Y., Liu, C., &amp; Ding, S. (2020). Digital economy development, employment structure optimization, and employment quality improvement. Economic Perspectives (Jingji Xue Dongtai), (11), 17–35. (In Chinese)</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Shu, T., Yu, T., Liao, X., &amp; Yang, S. (2024). Unearthing the impact of urban sprawl on transport carbon dioxide emissions: Fresh evidence from 274 Chinese cities. Journal of Geographical Sciences, 34(10), 1953–1976.</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Soltani, A., Azizi, P., Rahimioun, A., &amp; Sedaghatfard, M. (2025). Volumetric urban sprawl: Horizontal and vertical growth in two metropolitans. Journal of Urban Management, 14(1), Article 105821.*</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Sun, M., &amp; Xu, P. (2025). Accumulation and spatial spillover of knowledge capital, and formation of urban agglomeration innovation centers: A case study of the Yangtze River Delta urban agglomeration. Frontiers of Economics in China, 20(1), 54–85.</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Van Hiep, N. (2021). High-quality human resources development. Journal of University of Shanghai for Science and Technology, 23(1), 3818–3830.</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Wang, H., &amp; Qiu, Y. (2023). Effect of new urbanization on cities’ innovation in China: Evidence from a quasi-natural experiment of a comprehensive pilot. PLOS ONE, 18(4), e0284772.</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Wang, J., Luo, X., Liang, X., &amp; Ning, C. (2025). New-type urbanization and regional public health: Mechanisms and effects. Frontiers in Public Health, 13, 1513173.</w:t>
      </w:r>
    </w:p>
    <w:p>
      <w:pPr>
        <w:widowControl/>
        <w:spacing w:before="157" w:beforeLines="50" w:after="157" w:afterLines="50"/>
        <w:ind w:left="480" w:hanging="480" w:hangingChars="200"/>
        <w:jc w:val="both"/>
        <w:rPr>
          <w:rFonts w:ascii="Times New Roman Regular" w:hAnsi="Times New Roman Regular" w:cs="Times New Roman Regular"/>
          <w:sz w:val="24"/>
        </w:rPr>
      </w:pPr>
      <w:r>
        <w:rPr>
          <w:rFonts w:ascii="Times New Roman Regular" w:hAnsi="Times New Roman Regular" w:eastAsia="宋体" w:cs="Times New Roman Regular"/>
          <w:kern w:val="0"/>
          <w:sz w:val="24"/>
          <w:szCs w:val="24"/>
          <w:lang w:val="en-US" w:eastAsia="zh-CN" w:bidi="ar"/>
        </w:rPr>
        <w:t xml:space="preserve">Wang, Q., Li, S., &amp; Chen, Z. (2025). </w:t>
      </w:r>
      <w:r>
        <w:rPr>
          <w:rStyle w:val="14"/>
          <w:rFonts w:ascii="Times New Roman Regular" w:hAnsi="Times New Roman Regular" w:eastAsia="宋体" w:cs="Times New Roman Regular"/>
          <w:kern w:val="0"/>
          <w:sz w:val="24"/>
          <w:szCs w:val="24"/>
          <w:lang w:val="en-US" w:eastAsia="zh-CN" w:bidi="ar"/>
        </w:rPr>
        <w:t>The Economic Impacts of Vertical Development: Evidence from Chinese Skyscrapers.</w:t>
      </w:r>
      <w:r>
        <w:rPr>
          <w:rFonts w:ascii="Times New Roman Regular" w:hAnsi="Times New Roman Regular" w:eastAsia="宋体" w:cs="Times New Roman Regular"/>
          <w:kern w:val="0"/>
          <w:sz w:val="24"/>
          <w:szCs w:val="24"/>
          <w:lang w:val="en-US" w:eastAsia="zh-CN" w:bidi="ar"/>
        </w:rPr>
        <w:t xml:space="preserve"> The Journal of Real Estate Finance and Economics.</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Wang, T., Li, S., &amp; Gao, D. (2024). What factors have an impact on the employment quality of platform-based flexible workers? Evidence from China. Heliyon, 10(2), e24318.</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Wang, X., &amp; Zhang, X. (2023). A regional comparative study on the mismatch between population urbanization and land urbanization in China. PLOS ONE, 18(6), e0287366.</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Wu, X., Huang, Y., &amp; Gao, J. (2022). Impact of industrial agglomeration on new-type urbanization: Evidence from the Pearl River Delta urban agglomeration of China. International Review of Economics &amp; Finance, 77, 312–325.</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Xu, H., &amp; Jiao, M. (2021). City size, industrial structure and urbanization quality—A case study of the Yangtze River Delta urban agglomeration in China. Land Use Policy, 111, 105735.</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Yang, C., &amp; Zhao, S. (2022). Urban vertical profiles of three most urbanized Chinese cities and the spatial coupling with horizontal urban expansion. Land Use Policy, 113, 105919.</w:t>
      </w:r>
    </w:p>
    <w:p>
      <w:pPr>
        <w:spacing w:before="157" w:beforeLines="50" w:after="157" w:afterLines="50"/>
        <w:ind w:left="480" w:hanging="480" w:hangingChars="200"/>
        <w:jc w:val="both"/>
        <w:rPr>
          <w:rFonts w:ascii="Times New Roman Regular" w:hAnsi="Times New Roman Regular" w:cs="Times New Roman Regular"/>
          <w:sz w:val="24"/>
        </w:rPr>
      </w:pPr>
      <w:r>
        <w:rPr>
          <w:rFonts w:ascii="Times New Roman Regular" w:hAnsi="Times New Roman Regular" w:cs="Times New Roman Regular"/>
          <w:sz w:val="24"/>
          <w:lang w:val="en-US" w:eastAsia="zh-CN"/>
        </w:rPr>
        <w:t>Yang, L., Ding, H., Lin, C., Chen, X., Chen, Y., Huang, M., Zhao, X., Yang, X., &amp; Zhao, W. (2024). CBHD30: Chinese Building Height Data at 30m Resolution (Version 1) DatasetData setDataset. Zenodo.</w:t>
      </w:r>
      <w:r>
        <w:rPr>
          <w:rFonts w:hint="default" w:ascii="Times New Roman Regular" w:hAnsi="Times New Roman Regular" w:cs="Times New Roman Regular"/>
          <w:sz w:val="24"/>
          <w:lang w:val="en-US" w:eastAsia="zh-CN"/>
        </w:rPr>
        <w:t xml:space="preserve"> https://zenodo.org/records/14253539</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Yuan, C., Zhang, B., Xu, J., Lyu, D., Liu, J., Hu, Z., &amp; Han, Y. (2025). Impact of new-type urbanization pilot policy on public service provision: Evidence from China. Cities, 161, 105853.</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Yu, H., et al. (2024). Dynamics of urban sprawl: Deciphering the role of land prices and transportation costs in government-led urbanization. Journal of Urban Management, 13(4), 736–754.</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Zhang, M., Tang, J., &amp; Gao, J. (2023). Examining the effects of built environments and individual characteristics on commuting time under spatial heterogeneity: An empirical study in China using HLM. Land, 12(8), 1596.</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Zhao, F., Tang, L., Qiu, Q., &amp; Wu, G. (2020). The compactness of spatial structure in Chinese cities: Measurement, clustering patterns and influencing factors. Ecosystem Health and Sustainability, 6(1), 1743763.</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Zheng, X., Wang, R., &amp; Du, Q. (2020). How does industrial restructuring influence carbon emissions: City-level evidence from China. Journal of Environmental Management, 276, 111093.</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Zhou, Y., Wang, Y., &amp; Wang, Q. (2024). Utilization of foreign investment in the productive service industry in Hubei Province, China, and its optimization countermeasures. PLOS ONE, 19(6), e0302494.</w:t>
      </w:r>
    </w:p>
    <w:p>
      <w:pPr>
        <w:widowControl/>
        <w:spacing w:before="157" w:beforeLines="50" w:after="157" w:afterLines="50"/>
        <w:ind w:left="0" w:firstLine="0" w:firstLineChars="0"/>
        <w:rPr>
          <w:rFonts w:ascii="Times New Roman Regular" w:hAnsi="Times New Roman Regular" w:eastAsia="PMingLiU" w:cs="Times New Roman Regular"/>
          <w:sz w:val="20"/>
          <w:szCs w:val="20"/>
        </w:rPr>
      </w:pPr>
    </w:p>
    <w:sectPr>
      <w:pgSz w:w="11906" w:h="16838"/>
      <w:pgMar w:top="1440" w:right="1800" w:bottom="1440" w:left="1800" w:header="851" w:footer="992" w:gutter="0"/>
      <w:pgBorders>
        <w:top w:val="none" w:sz="0" w:space="0"/>
        <w:left w:val="none" w:sz="0" w:space="0"/>
        <w:bottom w:val="none" w:sz="0" w:space="0"/>
        <w:right w:val="none" w:sz="0" w:space="0"/>
      </w:pgBorders>
      <w:lnNumType w:countBy="1" w:restart="continuou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 New Roman Bold">
    <w:panose1 w:val="02020603050405020304"/>
    <w:charset w:val="00"/>
    <w:family w:val="auto"/>
    <w:pitch w:val="default"/>
    <w:sig w:usb0="E0002AEF" w:usb1="C0007841" w:usb2="00000009" w:usb3="00000000" w:csb0="400001FF" w:csb1="FFFF0000"/>
  </w:font>
  <w:font w:name="Times New Roman Regular">
    <w:panose1 w:val="02020603050405020304"/>
    <w:charset w:val="00"/>
    <w:family w:val="auto"/>
    <w:pitch w:val="default"/>
    <w:sig w:usb0="E0002AEF" w:usb1="C0007841" w:usb2="00000009" w:usb3="00000000" w:csb0="400001FF" w:csb1="FFFF0000"/>
  </w:font>
  <w:font w:name="CharisSIL-Bold">
    <w:altName w:val="苹方-简"/>
    <w:panose1 w:val="020B0604020202020204"/>
    <w:charset w:val="00"/>
    <w:family w:val="auto"/>
    <w:pitch w:val="default"/>
    <w:sig w:usb0="00000000" w:usb1="00000000" w:usb2="00000000" w:usb3="00000000" w:csb0="00000000" w:csb1="00000000"/>
  </w:font>
  <w:font w:name="CharisSIL">
    <w:altName w:val="苹方-简"/>
    <w:panose1 w:val="020B0604020202020204"/>
    <w:charset w:val="00"/>
    <w:family w:val="auto"/>
    <w:pitch w:val="default"/>
    <w:sig w:usb0="00000000" w:usb1="00000000" w:usb2="00000000" w:usb3="00000000" w:csb0="00000000" w:csb1="00000000"/>
  </w:font>
  <w:font w:name="CharisSIL-Italic">
    <w:altName w:val="苹方-简"/>
    <w:panose1 w:val="020B0604020202020204"/>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201F9EE" w:usb2="02000000" w:usb3="00000000" w:csb0="60000193" w:csb1="0DD40000"/>
  </w:font>
  <w:font w:name="Times New Roman Bold Italic">
    <w:panose1 w:val="02020603050405020304"/>
    <w:charset w:val="00"/>
    <w:family w:val="auto"/>
    <w:pitch w:val="default"/>
    <w:sig w:usb0="E0002AEF" w:usb1="C0007841" w:usb2="00000009" w:usb3="00000000" w:csb0="400001FF" w:csb1="FFFF0000"/>
  </w:font>
  <w:font w:name="Times New Roman Italic">
    <w:panose1 w:val="02020603050405020304"/>
    <w:charset w:val="00"/>
    <w:family w:val="auto"/>
    <w:pitch w:val="default"/>
    <w:sig w:usb0="E0002AEF" w:usb1="C0007841" w:usb2="00000009" w:usb3="00000000" w:csb0="400001FF" w:csb1="FFFF0000"/>
  </w:font>
  <w:font w:name="PMingLiU">
    <w:altName w:val="宋体-繁"/>
    <w:panose1 w:val="02020500000000000000"/>
    <w:charset w:val="88"/>
    <w:family w:val="roman"/>
    <w:pitch w:val="default"/>
    <w:sig w:usb0="00000000" w:usb1="00000000" w:usb2="00000016" w:usb3="00000000" w:csb0="00100001" w:csb1="00000000"/>
  </w:font>
  <w:font w:name="STKaiti">
    <w:panose1 w:val="02010600040101010101"/>
    <w:charset w:val="86"/>
    <w:family w:val="auto"/>
    <w:pitch w:val="default"/>
    <w:sig w:usb0="A00002BF" w:usb1="78CF7CFB" w:usb2="00000016" w:usb3="00000000" w:csb0="6006009F" w:csb1="DFD7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宋体-繁">
    <w:panose1 w:val="02010600040101010101"/>
    <w:charset w:val="86"/>
    <w:family w:val="auto"/>
    <w:pitch w:val="default"/>
    <w:sig w:usb0="00000287" w:usb1="080F0000" w:usb2="00000000" w:usb3="00000000" w:csb0="0004009F" w:csb1="DFD7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8">
    <w:p>
      <w:r>
        <w:separator/>
      </w:r>
    </w:p>
  </w:footnote>
  <w:footnote w:type="continuationSeparator" w:id="9">
    <w:p>
      <w:r>
        <w:continuationSeparator/>
      </w:r>
    </w:p>
  </w:footnote>
  <w:footnote w:id="0">
    <w:p>
      <w:pPr>
        <w:jc w:val="left"/>
        <w:rPr>
          <w:rFonts w:ascii="Times New Roman Regular" w:hAnsi="Times New Roman Regular" w:cs="Times New Roman Regular"/>
          <w:sz w:val="18"/>
          <w:szCs w:val="18"/>
        </w:rPr>
      </w:pPr>
      <w:r>
        <w:rPr>
          <w:rFonts w:ascii="Times New Roman Regular" w:hAnsi="Times New Roman Regular" w:cs="Times New Roman Regular"/>
          <w:sz w:val="18"/>
          <w:szCs w:val="18"/>
        </w:rPr>
        <w:footnoteRef/>
      </w:r>
      <w:r>
        <w:rPr>
          <w:rFonts w:ascii="Times New Roman Regular" w:hAnsi="Times New Roman Regular" w:cs="Times New Roman Regular"/>
          <w:sz w:val="18"/>
          <w:szCs w:val="18"/>
        </w:rPr>
        <w:t xml:space="preserve"> </w:t>
      </w:r>
      <w:r>
        <w:rPr>
          <w:rFonts w:hint="eastAsia" w:ascii="Times New Roman Regular" w:hAnsi="Times New Roman Regular" w:cs="Times New Roman Regular"/>
          <w:sz w:val="18"/>
          <w:szCs w:val="18"/>
        </w:rPr>
        <w:t>H</w:t>
      </w:r>
      <w:r>
        <w:rPr>
          <w:rFonts w:ascii="Times New Roman Regular" w:hAnsi="Times New Roman Regular" w:cs="Times New Roman Regular"/>
          <w:sz w:val="18"/>
          <w:szCs w:val="18"/>
        </w:rPr>
        <w:t>igh-quality employment index is measured based on the entropy method. The computational procedure is omitted from the main text for brevity.</w:t>
      </w:r>
    </w:p>
    <w:p>
      <w:pPr>
        <w:pStyle w:val="7"/>
      </w:pPr>
    </w:p>
  </w:footnote>
  <w:footnote w:id="1">
    <w:p>
      <w:pPr>
        <w:widowControl/>
        <w:rPr>
          <w:rFonts w:ascii="Times New Roman Regular" w:hAnsi="Times New Roman Regular" w:cs="Times New Roman Regular"/>
          <w:sz w:val="18"/>
          <w:szCs w:val="18"/>
        </w:rPr>
      </w:pPr>
      <w:r>
        <w:rPr>
          <w:rStyle w:val="17"/>
          <w:rFonts w:ascii="Times New Roman Regular" w:hAnsi="Times New Roman Regular" w:cs="Times New Roman Regular"/>
          <w:sz w:val="18"/>
          <w:szCs w:val="18"/>
        </w:rPr>
        <w:footnoteRef/>
      </w:r>
      <w:r>
        <w:rPr>
          <w:rFonts w:ascii="Times New Roman Regular" w:hAnsi="Times New Roman Regular" w:cs="Times New Roman Regular"/>
          <w:sz w:val="18"/>
          <w:szCs w:val="18"/>
        </w:rPr>
        <w:t xml:space="preserve"> </w:t>
      </w:r>
      <w:r>
        <w:rPr>
          <w:rFonts w:ascii="Times New Roman Regular" w:hAnsi="Times New Roman Regular" w:eastAsia="宋体" w:cs="Times New Roman Regular"/>
          <w:kern w:val="0"/>
          <w:sz w:val="18"/>
          <w:szCs w:val="18"/>
          <w:lang w:bidi="ar"/>
        </w:rPr>
        <w:t>One-to-many propensity score matching is conducted with a caliper of 0.01. For brevity, the results of balance diagnostics, kernel density plots before and after matching, and additional robustness checks are omitted from this section.</w:t>
      </w:r>
    </w:p>
    <w:p>
      <w:pPr>
        <w:pStyle w:val="7"/>
      </w:pPr>
    </w:p>
  </w:footnote>
  <w:footnote w:id="2">
    <w:p>
      <w:pPr>
        <w:widowControl/>
        <w:rPr>
          <w:rFonts w:ascii="Times New Roman" w:hAnsi="Times New Roman" w:cs="Times New Roman"/>
          <w:sz w:val="18"/>
          <w:szCs w:val="18"/>
        </w:rPr>
      </w:pPr>
      <w:r>
        <w:rPr>
          <w:rStyle w:val="17"/>
          <w:rFonts w:ascii="Times New Roman" w:hAnsi="Times New Roman" w:cs="Times New Roman"/>
          <w:sz w:val="18"/>
          <w:szCs w:val="18"/>
        </w:rPr>
        <w:footnoteRef/>
      </w:r>
      <w:r>
        <w:rPr>
          <w:rFonts w:ascii="Times New Roman" w:hAnsi="Times New Roman" w:eastAsia="宋体" w:cs="Times New Roman"/>
          <w:kern w:val="0"/>
          <w:sz w:val="18"/>
          <w:szCs w:val="18"/>
          <w:lang w:bidi="ar"/>
        </w:rPr>
        <w:t>Prior to the event study estimation, we appl</w:t>
      </w:r>
      <w:r>
        <w:rPr>
          <w:rFonts w:hint="eastAsia" w:ascii="Times New Roman" w:hAnsi="Times New Roman" w:eastAsia="宋体" w:cs="Times New Roman"/>
          <w:kern w:val="0"/>
          <w:sz w:val="18"/>
          <w:szCs w:val="18"/>
          <w:lang w:val="en-US" w:eastAsia="zh-CN" w:bidi="ar"/>
        </w:rPr>
        <w:t>ied</w:t>
      </w:r>
      <w:r>
        <w:rPr>
          <w:rFonts w:ascii="Times New Roman" w:hAnsi="Times New Roman" w:eastAsia="宋体" w:cs="Times New Roman"/>
          <w:kern w:val="0"/>
          <w:sz w:val="18"/>
          <w:szCs w:val="18"/>
          <w:lang w:bidi="ar"/>
        </w:rPr>
        <w:t xml:space="preserve"> one-to-many propensity score matching (PSM) with a caliper of 0.01 to preprocess the sample. To avoid multicollinearity, the </w:t>
      </w:r>
      <w:r>
        <w:rPr>
          <w:rStyle w:val="13"/>
          <w:rFonts w:ascii="Times New Roman" w:hAnsi="Times New Roman" w:eastAsia="宋体" w:cs="Times New Roman"/>
          <w:b w:val="0"/>
          <w:kern w:val="0"/>
          <w:sz w:val="18"/>
          <w:szCs w:val="18"/>
          <w:lang w:bidi="ar"/>
        </w:rPr>
        <w:t xml:space="preserve">pre-treatment period Pre5 </w:t>
      </w:r>
      <w:r>
        <w:rPr>
          <w:rStyle w:val="13"/>
          <w:rFonts w:hint="eastAsia" w:ascii="Times New Roman" w:hAnsi="Times New Roman" w:eastAsia="宋体" w:cs="Times New Roman"/>
          <w:b w:val="0"/>
          <w:kern w:val="0"/>
          <w:sz w:val="18"/>
          <w:szCs w:val="18"/>
          <w:lang w:val="en-US" w:eastAsia="zh-CN" w:bidi="ar"/>
        </w:rPr>
        <w:t>was</w:t>
      </w:r>
      <w:r>
        <w:rPr>
          <w:rStyle w:val="13"/>
          <w:rFonts w:ascii="Times New Roman" w:hAnsi="Times New Roman" w:eastAsia="宋体" w:cs="Times New Roman"/>
          <w:b w:val="0"/>
          <w:kern w:val="0"/>
          <w:sz w:val="18"/>
          <w:szCs w:val="18"/>
          <w:lang w:bidi="ar"/>
        </w:rPr>
        <w:t xml:space="preserve"> dropped</w:t>
      </w:r>
      <w:r>
        <w:rPr>
          <w:rFonts w:ascii="Times New Roman" w:hAnsi="Times New Roman" w:eastAsia="宋体" w:cs="Times New Roman"/>
          <w:kern w:val="0"/>
          <w:sz w:val="18"/>
          <w:szCs w:val="18"/>
          <w:lang w:bidi="ar"/>
        </w:rPr>
        <w:t xml:space="preserve"> and serve</w:t>
      </w:r>
      <w:r>
        <w:rPr>
          <w:rFonts w:hint="eastAsia" w:ascii="Times New Roman" w:hAnsi="Times New Roman" w:eastAsia="宋体" w:cs="Times New Roman"/>
          <w:kern w:val="0"/>
          <w:sz w:val="18"/>
          <w:szCs w:val="18"/>
          <w:lang w:val="en-US" w:eastAsia="zh-CN" w:bidi="ar"/>
        </w:rPr>
        <w:t>d</w:t>
      </w:r>
      <w:r>
        <w:rPr>
          <w:rFonts w:ascii="Times New Roman" w:hAnsi="Times New Roman" w:eastAsia="宋体" w:cs="Times New Roman"/>
          <w:kern w:val="0"/>
          <w:sz w:val="18"/>
          <w:szCs w:val="18"/>
          <w:lang w:bidi="ar"/>
        </w:rPr>
        <w:t xml:space="preserve"> as the reference period.</w:t>
      </w:r>
    </w:p>
    <w:p>
      <w:pPr>
        <w:pStyle w:val="7"/>
      </w:pPr>
    </w:p>
  </w:footnote>
  <w:footnote w:id="3">
    <w:p>
      <w:pPr>
        <w:widowControl/>
        <w:jc w:val="both"/>
      </w:pPr>
      <w:r>
        <w:rPr>
          <w:rStyle w:val="17"/>
          <w:rFonts w:ascii="Times New Roman Regular" w:hAnsi="Times New Roman Regular" w:cs="Times New Roman Regular"/>
          <w:sz w:val="18"/>
          <w:szCs w:val="18"/>
        </w:rPr>
        <w:footnoteRef/>
      </w:r>
      <w:r>
        <w:rPr>
          <w:rFonts w:ascii="Times New Roman Regular" w:hAnsi="Times New Roman Regular" w:cs="Times New Roman Regular"/>
          <w:sz w:val="18"/>
          <w:szCs w:val="18"/>
        </w:rPr>
        <w:t xml:space="preserve"> </w:t>
      </w:r>
      <w:r>
        <w:rPr>
          <w:rFonts w:ascii="Times New Roman Regular" w:hAnsi="Times New Roman Regular" w:eastAsia="宋体" w:cs="Times New Roman Regular"/>
          <w:kern w:val="0"/>
          <w:sz w:val="18"/>
          <w:szCs w:val="18"/>
          <w:lang w:val="en-US" w:eastAsia="zh-CN" w:bidi="ar"/>
        </w:rPr>
        <w:t>Across 500 iterative estimates, 95.2% of p-values exceed</w:t>
      </w:r>
      <w:r>
        <w:rPr>
          <w:rFonts w:hint="eastAsia" w:ascii="Times New Roman Regular" w:hAnsi="Times New Roman Regular" w:eastAsia="宋体" w:cs="Times New Roman Regular"/>
          <w:kern w:val="0"/>
          <w:sz w:val="18"/>
          <w:szCs w:val="18"/>
          <w:lang w:val="en-US" w:eastAsia="zh-CN" w:bidi="ar"/>
        </w:rPr>
        <w:t>ed</w:t>
      </w:r>
      <w:r>
        <w:rPr>
          <w:rFonts w:ascii="Times New Roman Regular" w:hAnsi="Times New Roman Regular" w:eastAsia="宋体" w:cs="Times New Roman Regular"/>
          <w:kern w:val="0"/>
          <w:sz w:val="18"/>
          <w:szCs w:val="18"/>
          <w:lang w:val="en-US" w:eastAsia="zh-CN" w:bidi="ar"/>
        </w:rPr>
        <w:t xml:space="preserve"> 0.10, indicating that most estimates </w:t>
      </w:r>
      <w:r>
        <w:rPr>
          <w:rFonts w:hint="eastAsia" w:ascii="Times New Roman Regular" w:hAnsi="Times New Roman Regular" w:eastAsia="宋体" w:cs="Times New Roman Regular"/>
          <w:kern w:val="0"/>
          <w:sz w:val="18"/>
          <w:szCs w:val="18"/>
          <w:lang w:val="en-US" w:eastAsia="zh-CN" w:bidi="ar"/>
        </w:rPr>
        <w:t>were</w:t>
      </w:r>
      <w:r>
        <w:rPr>
          <w:rFonts w:ascii="Times New Roman Regular" w:hAnsi="Times New Roman Regular" w:eastAsia="宋体" w:cs="Times New Roman Regular"/>
          <w:kern w:val="0"/>
          <w:sz w:val="18"/>
          <w:szCs w:val="18"/>
          <w:lang w:val="en-US" w:eastAsia="zh-CN" w:bidi="ar"/>
        </w:rPr>
        <w:t xml:space="preserve"> statistically insignificant under conventional thresholds.</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D1F9100"/>
    <w:multiLevelType w:val="singleLevel"/>
    <w:tmpl w:val="ED1F9100"/>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4"/>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footnotePr>
    <w:footnote w:id="8"/>
    <w:footnote w:id="9"/>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DD4B71"/>
    <w:rsid w:val="00150D0B"/>
    <w:rsid w:val="001A12B8"/>
    <w:rsid w:val="00360615"/>
    <w:rsid w:val="0038007C"/>
    <w:rsid w:val="00586059"/>
    <w:rsid w:val="00666C8C"/>
    <w:rsid w:val="00875424"/>
    <w:rsid w:val="008A295A"/>
    <w:rsid w:val="0093407C"/>
    <w:rsid w:val="009B4B7C"/>
    <w:rsid w:val="00A67501"/>
    <w:rsid w:val="00BE0CA6"/>
    <w:rsid w:val="00D035E3"/>
    <w:rsid w:val="00D65C95"/>
    <w:rsid w:val="00DC28AE"/>
    <w:rsid w:val="00E126BC"/>
    <w:rsid w:val="00F52C54"/>
    <w:rsid w:val="00F94968"/>
    <w:rsid w:val="00FE2356"/>
    <w:rsid w:val="2F3C3D66"/>
    <w:rsid w:val="30313557"/>
    <w:rsid w:val="37DD4B71"/>
    <w:rsid w:val="37DFFB76"/>
    <w:rsid w:val="3BF5B4FC"/>
    <w:rsid w:val="4A015780"/>
    <w:rsid w:val="579F2B10"/>
    <w:rsid w:val="5F792715"/>
    <w:rsid w:val="6DBF0E5D"/>
    <w:rsid w:val="752B4DDB"/>
    <w:rsid w:val="76E588E8"/>
    <w:rsid w:val="76FF7947"/>
    <w:rsid w:val="7B9BA998"/>
    <w:rsid w:val="7DFF7347"/>
    <w:rsid w:val="7EEB8202"/>
    <w:rsid w:val="7F6BE933"/>
    <w:rsid w:val="7FFF0732"/>
    <w:rsid w:val="8B8BECCD"/>
    <w:rsid w:val="B75A2BA6"/>
    <w:rsid w:val="BBFF24CB"/>
    <w:rsid w:val="BC8BFC9D"/>
    <w:rsid w:val="BFFF6EF5"/>
    <w:rsid w:val="C5F7E98A"/>
    <w:rsid w:val="D77E2EDC"/>
    <w:rsid w:val="DD77D0A0"/>
    <w:rsid w:val="DFFDAD1F"/>
    <w:rsid w:val="E7DA51DD"/>
    <w:rsid w:val="EFF375E0"/>
    <w:rsid w:val="EFF6F343"/>
    <w:rsid w:val="F176CB62"/>
    <w:rsid w:val="FBF64F6E"/>
    <w:rsid w:val="FBFC2B0A"/>
    <w:rsid w:val="FF31A8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eastAsia="宋体" w:cs="Times New Roman"/>
      <w:b/>
      <w:bCs/>
      <w:kern w:val="44"/>
      <w:sz w:val="48"/>
      <w:szCs w:val="48"/>
    </w:rPr>
  </w:style>
  <w:style w:type="paragraph" w:styleId="3">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4">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5">
    <w:name w:val="heading 6"/>
    <w:basedOn w:val="1"/>
    <w:next w:val="1"/>
    <w:semiHidden/>
    <w:unhideWhenUsed/>
    <w:qFormat/>
    <w:uiPriority w:val="0"/>
    <w:pPr>
      <w:spacing w:beforeAutospacing="1" w:afterAutospacing="1"/>
      <w:jc w:val="left"/>
      <w:outlineLvl w:val="5"/>
    </w:pPr>
    <w:rPr>
      <w:rFonts w:hint="eastAsia" w:ascii="宋体" w:hAnsi="宋体" w:eastAsia="宋体" w:cs="Times New Roman"/>
      <w:b/>
      <w:bCs/>
      <w:kern w:val="0"/>
      <w:sz w:val="15"/>
      <w:szCs w:val="15"/>
    </w:rPr>
  </w:style>
  <w:style w:type="character" w:default="1" w:styleId="12">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6">
    <w:name w:val="annotation text"/>
    <w:basedOn w:val="1"/>
    <w:link w:val="24"/>
    <w:uiPriority w:val="0"/>
    <w:pPr>
      <w:jc w:val="left"/>
    </w:pPr>
  </w:style>
  <w:style w:type="paragraph" w:styleId="7">
    <w:name w:val="footnote text"/>
    <w:basedOn w:val="1"/>
    <w:uiPriority w:val="0"/>
    <w:pPr>
      <w:snapToGrid w:val="0"/>
      <w:jc w:val="left"/>
    </w:pPr>
    <w:rPr>
      <w:sz w:val="18"/>
    </w:rPr>
  </w:style>
  <w:style w:type="paragraph" w:styleId="8">
    <w:name w:val="Normal (Web)"/>
    <w:basedOn w:val="1"/>
    <w:uiPriority w:val="0"/>
    <w:pPr>
      <w:spacing w:beforeAutospacing="1" w:afterAutospacing="1"/>
      <w:jc w:val="left"/>
    </w:pPr>
    <w:rPr>
      <w:rFonts w:cs="Times New Roman"/>
      <w:kern w:val="0"/>
      <w:sz w:val="24"/>
    </w:rPr>
  </w:style>
  <w:style w:type="paragraph" w:styleId="9">
    <w:name w:val="annotation subject"/>
    <w:basedOn w:val="6"/>
    <w:next w:val="6"/>
    <w:link w:val="25"/>
    <w:uiPriority w:val="0"/>
    <w:pPr>
      <w:jc w:val="both"/>
    </w:pPr>
    <w:rPr>
      <w:b/>
      <w:bCs/>
      <w:sz w:val="20"/>
      <w:szCs w:val="20"/>
    </w:rPr>
  </w:style>
  <w:style w:type="table" w:styleId="11">
    <w:name w:val="Table Grid"/>
    <w:basedOn w:val="10"/>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0"/>
    <w:rPr>
      <w:b/>
    </w:rPr>
  </w:style>
  <w:style w:type="character" w:styleId="14">
    <w:name w:val="Emphasis"/>
    <w:basedOn w:val="12"/>
    <w:qFormat/>
    <w:uiPriority w:val="0"/>
    <w:rPr>
      <w:i/>
    </w:rPr>
  </w:style>
  <w:style w:type="character" w:styleId="15">
    <w:name w:val="line number"/>
    <w:basedOn w:val="12"/>
    <w:uiPriority w:val="0"/>
  </w:style>
  <w:style w:type="character" w:styleId="16">
    <w:name w:val="annotation reference"/>
    <w:basedOn w:val="12"/>
    <w:uiPriority w:val="0"/>
    <w:rPr>
      <w:sz w:val="16"/>
      <w:szCs w:val="16"/>
    </w:rPr>
  </w:style>
  <w:style w:type="character" w:styleId="17">
    <w:name w:val="footnote reference"/>
    <w:basedOn w:val="12"/>
    <w:uiPriority w:val="0"/>
    <w:rPr>
      <w:vertAlign w:val="superscript"/>
    </w:rPr>
  </w:style>
  <w:style w:type="paragraph" w:customStyle="1" w:styleId="18">
    <w:name w:val="p2"/>
    <w:basedOn w:val="1"/>
    <w:uiPriority w:val="0"/>
    <w:pPr>
      <w:jc w:val="left"/>
    </w:pPr>
    <w:rPr>
      <w:rFonts w:ascii="Times New Roman" w:hAnsi="Times New Roman" w:cs="Times New Roman"/>
      <w:kern w:val="0"/>
      <w:sz w:val="24"/>
    </w:rPr>
  </w:style>
  <w:style w:type="paragraph" w:customStyle="1" w:styleId="19">
    <w:name w:val="p3"/>
    <w:basedOn w:val="1"/>
    <w:uiPriority w:val="0"/>
    <w:pPr>
      <w:jc w:val="center"/>
    </w:pPr>
    <w:rPr>
      <w:rFonts w:ascii="Times New Roman" w:hAnsi="Times New Roman" w:cs="Times New Roman"/>
      <w:kern w:val="0"/>
      <w:sz w:val="24"/>
    </w:rPr>
  </w:style>
  <w:style w:type="paragraph" w:customStyle="1" w:styleId="20">
    <w:name w:val="p1"/>
    <w:basedOn w:val="1"/>
    <w:qFormat/>
    <w:uiPriority w:val="0"/>
    <w:pPr>
      <w:jc w:val="left"/>
    </w:pPr>
    <w:rPr>
      <w:rFonts w:ascii="Times New Roman" w:hAnsi="Times New Roman" w:cs="Times New Roman"/>
      <w:kern w:val="0"/>
      <w:sz w:val="24"/>
    </w:rPr>
  </w:style>
  <w:style w:type="paragraph" w:customStyle="1" w:styleId="21">
    <w:name w:val="p5"/>
    <w:basedOn w:val="1"/>
    <w:uiPriority w:val="0"/>
    <w:pPr>
      <w:jc w:val="left"/>
    </w:pPr>
    <w:rPr>
      <w:rFonts w:ascii="Times New Roman" w:hAnsi="Times New Roman" w:cs="Times New Roman"/>
      <w:kern w:val="0"/>
      <w:sz w:val="20"/>
      <w:szCs w:val="20"/>
    </w:rPr>
  </w:style>
  <w:style w:type="paragraph" w:customStyle="1" w:styleId="22">
    <w:name w:val="p4"/>
    <w:basedOn w:val="1"/>
    <w:qFormat/>
    <w:uiPriority w:val="0"/>
    <w:pPr>
      <w:jc w:val="center"/>
    </w:pPr>
    <w:rPr>
      <w:rFonts w:ascii="Times New Roman" w:hAnsi="Times New Roman" w:cs="Times New Roman"/>
      <w:kern w:val="0"/>
      <w:sz w:val="24"/>
    </w:rPr>
  </w:style>
  <w:style w:type="paragraph" w:customStyle="1" w:styleId="23">
    <w:name w:val="Revision"/>
    <w:hidden/>
    <w:unhideWhenUsed/>
    <w:uiPriority w:val="99"/>
    <w:rPr>
      <w:rFonts w:asciiTheme="minorHAnsi" w:hAnsiTheme="minorHAnsi" w:eastAsiaTheme="minorEastAsia" w:cstheme="minorBidi"/>
      <w:kern w:val="2"/>
      <w:sz w:val="21"/>
      <w:szCs w:val="24"/>
      <w:lang w:val="en-US" w:eastAsia="zh-CN" w:bidi="ar-SA"/>
    </w:rPr>
  </w:style>
  <w:style w:type="character" w:customStyle="1" w:styleId="24">
    <w:name w:val="Comment Text Char"/>
    <w:basedOn w:val="12"/>
    <w:link w:val="6"/>
    <w:uiPriority w:val="0"/>
    <w:rPr>
      <w:rFonts w:asciiTheme="minorHAnsi" w:hAnsiTheme="minorHAnsi" w:eastAsiaTheme="minorEastAsia" w:cstheme="minorBidi"/>
      <w:kern w:val="2"/>
      <w:sz w:val="21"/>
      <w:szCs w:val="24"/>
      <w:lang w:val="en-US"/>
    </w:rPr>
  </w:style>
  <w:style w:type="character" w:customStyle="1" w:styleId="25">
    <w:name w:val="Comment Subject Char"/>
    <w:basedOn w:val="24"/>
    <w:link w:val="9"/>
    <w:uiPriority w:val="0"/>
    <w:rPr>
      <w:rFonts w:asciiTheme="minorHAnsi" w:hAnsiTheme="minorHAnsi" w:eastAsiaTheme="minorEastAsia" w:cstheme="minorBidi"/>
      <w:b/>
      <w:bCs/>
      <w:kern w:val="2"/>
      <w:sz w:val="21"/>
      <w:szCs w:val="24"/>
      <w:lang w:val="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5.svg"/><Relationship Id="rId8" Type="http://schemas.openxmlformats.org/officeDocument/2006/relationships/image" Target="media/image4.png"/><Relationship Id="rId7" Type="http://schemas.openxmlformats.org/officeDocument/2006/relationships/image" Target="media/image3.sv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7.sv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svg"/><Relationship Id="rId18" Type="http://schemas.openxmlformats.org/officeDocument/2006/relationships/image" Target="media/image14.png"/><Relationship Id="rId17" Type="http://schemas.openxmlformats.org/officeDocument/2006/relationships/image" Target="media/image13.svg"/><Relationship Id="rId16" Type="http://schemas.openxmlformats.org/officeDocument/2006/relationships/image" Target="media/image12.png"/><Relationship Id="rId15" Type="http://schemas.openxmlformats.org/officeDocument/2006/relationships/image" Target="media/image11.svg"/><Relationship Id="rId14" Type="http://schemas.openxmlformats.org/officeDocument/2006/relationships/image" Target="media/image10.png"/><Relationship Id="rId13" Type="http://schemas.openxmlformats.org/officeDocument/2006/relationships/image" Target="media/image9.svg"/><Relationship Id="rId12" Type="http://schemas.openxmlformats.org/officeDocument/2006/relationships/image" Target="media/image8.png"/><Relationship Id="rId11" Type="http://schemas.openxmlformats.org/officeDocument/2006/relationships/image" Target="media/image7.sv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34</Pages>
  <Words>11518</Words>
  <Characters>66642</Characters>
  <Lines>552</Lines>
  <Paragraphs>155</Paragraphs>
  <TotalTime>779</TotalTime>
  <ScaleCrop>false</ScaleCrop>
  <LinksUpToDate>false</LinksUpToDate>
  <CharactersWithSpaces>76299</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2025-08-13T04:46:00Z</dcterms:created>
  <dc:creator>libingchen</dc:creator>
  <cp:lastModifiedBy>libingchen</cp:lastModifiedBy>
  <dcterms:modified xsi:type="dcterms:W3CDTF">2025-11-12T20:00:10Z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4D44E75646240EF1CA571569C6455587_43</vt:lpwstr>
  </property>
  <property fmtid="{D5CDD505-2E9C-101B-9397-08002B2CF9AE}" pid="4" name="KSOTemplateDocerSaveRecord">
    <vt:lpwstr>eyJoZGlkIjoiN2VkZGVjY2FlN2ZjZjU5ZjVkZGUzNWQxNmEyZGZlODAiLCJ1c2VySWQiOiIxMzQ1NDc1NTgifQ==</vt:lpwstr>
  </property>
</Properties>
</file>