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220029 数据中心-Udata完全融合</w:t>
      </w:r>
    </w:p>
    <w:p>
      <w:pPr>
        <w:pStyle w:val="2"/>
        <w:spacing w:before="320" w:after="120" w:line="288" w:lineRule="auto"/>
        <w:ind w:left="0"/>
        <w:jc w:val="left"/>
        <w:outlineLvl w:val="1"/>
      </w:pPr>
      <w:bookmarkStart w:name="heading_0" w:id="0"/>
      <w:r>
        <w:rPr>
          <w:rFonts w:eastAsia="等线" w:ascii="Arial" w:cs="Arial" w:hAnsi="Arial"/>
          <w:b w:val="true"/>
          <w:sz w:val="32"/>
        </w:rPr>
        <w:t>变更日志</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日期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变更人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胡雷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全文新增</w:t>
            </w:r>
          </w:p>
        </w:tc>
      </w:tr>
    </w:tbl>
    <w:p>
      <w:pPr>
        <w:pStyle w:val="2"/>
        <w:spacing w:before="320" w:after="120" w:line="288" w:lineRule="auto"/>
        <w:ind w:left="0"/>
        <w:jc w:val="left"/>
        <w:outlineLvl w:val="1"/>
      </w:pPr>
      <w:bookmarkStart w:name="heading_1" w:id="1"/>
      <w:r>
        <w:rPr>
          <w:rFonts w:eastAsia="等线" w:ascii="Arial" w:cs="Arial" w:hAnsi="Arial"/>
          <w:b w:val="true"/>
          <w:sz w:val="32"/>
        </w:rPr>
        <w:t>基础信息</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650"/>
        <w:gridCol w:w="1950"/>
        <w:gridCol w:w="2745"/>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所属系统/模块</w:t>
            </w:r>
          </w:p>
        </w:tc>
        <w:tc>
          <w:tcPr>
            <w:tcW w:w="63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数据中心</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745" w:type="dxa"/>
            <w:hMerge w:val="continue"/>
            <w:tcMar>
              <w:top w:type="dxa" w:w="60"/>
              <w:left w:type="dxa" w:w="120"/>
              <w:bottom w:type="dxa" w:w="30"/>
              <w:right w:type="dxa" w:w="120"/>
            </w:tcMar>
          </w:tcPr>
          <w:p>
            <w:pPr>
              <w:spacing w:before="120" w:after="120" w:line="288" w:lineRule="auto"/>
              <w:ind w:left="0"/>
              <w:jc w:val="left"/>
            </w:pP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业务方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国服/海外数据运营</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期望交付日期</w:t>
            </w:r>
          </w:p>
        </w:tc>
        <w:tc>
          <w:tcPr>
            <w:tcW w:w="2745" w:type="dxa"/>
            <w:tcMar>
              <w:top w:type="dxa" w:w="60"/>
              <w:left w:type="dxa" w:w="120"/>
              <w:bottom w:type="dxa" w:w="30"/>
              <w:right w:type="dxa" w:w="120"/>
            </w:tcMar>
          </w:tcPr>
          <w:p>
            <w:pPr>
              <w:spacing w:before="120" w:after="120" w:line="288" w:lineRule="auto"/>
              <w:ind w:left="0"/>
              <w:jc w:val="left"/>
            </w:pP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飞书版本</w:t>
            </w:r>
          </w:p>
        </w:tc>
        <w:tc>
          <w:tcPr>
            <w:tcW w:w="6345" w:type="dxa"/>
            <w:hMerge w:val="restart"/>
            <w:tcMar>
              <w:top w:type="dxa" w:w="60"/>
              <w:left w:type="dxa" w:w="120"/>
              <w:bottom w:type="dxa" w:w="30"/>
              <w:right w:type="dxa" w:w="120"/>
            </w:tcMar>
          </w:tcPr>
          <w:p>
            <w:pPr>
              <w:spacing w:before="120" w:after="120" w:line="288" w:lineRule="auto"/>
              <w:ind w:left="0"/>
              <w:jc w:val="left"/>
            </w:pPr>
            <w:hyperlink r:id="rId4">
              <w:r>
                <w:rPr>
                  <w:rFonts w:eastAsia="等线" w:ascii="Arial" w:cs="Arial" w:hAnsi="Arial"/>
                  <w:color w:val="3370ff"/>
                  <w:sz w:val="22"/>
                </w:rPr>
                <w:t>[版本]海外UData 2.8.0</w:t>
              </w:r>
            </w:hyperlink>
            <w:r>
              <w:rPr>
                <w:rFonts w:eastAsia="等线" w:ascii="Arial" w:cs="Arial" w:hAnsi="Arial"/>
                <w:sz w:val="22"/>
              </w:rPr>
              <w:t xml:space="preserve"> </w:t>
            </w:r>
            <w:hyperlink r:id="rId5">
              <w:r>
                <w:rPr>
                  <w:rFonts w:eastAsia="等线" w:ascii="Arial" w:cs="Arial" w:hAnsi="Arial"/>
                  <w:color w:val="3370ff"/>
                  <w:sz w:val="22"/>
                </w:rPr>
                <w:t>[版本]数据中心2.3.0</w:t>
              </w:r>
            </w:hyperlink>
            <w:hyperlink r:id="rId6">
              <w:r>
                <w:rPr>
                  <w:rFonts w:eastAsia="等线" w:ascii="Arial" w:cs="Arial" w:hAnsi="Arial"/>
                  <w:color w:val="3370ff"/>
                  <w:sz w:val="22"/>
                </w:rPr>
                <w:t>[版本]投放管理平台1.15.0</w:t>
              </w:r>
            </w:hyperlink>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74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需求背景</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74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海外udata与数据中心（海外）的整体融合用以统一数据接入规则，方便基于融合后的整个平台进行通用化的迭代，减少过多的差异化需求</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74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全局说明</w:t>
      </w:r>
      <w:bookmarkEnd w:id="2"/>
    </w:p>
    <w:p>
      <w:pPr>
        <w:numPr>
          <w:numId w:val="1"/>
        </w:numPr>
        <w:spacing w:before="120" w:after="120" w:line="288" w:lineRule="auto"/>
        <w:ind w:left="0"/>
        <w:jc w:val="left"/>
      </w:pPr>
      <w:r>
        <w:rPr>
          <w:rFonts w:eastAsia="等线" w:ascii="Arial" w:cs="Arial" w:hAnsi="Arial"/>
          <w:sz w:val="22"/>
        </w:rPr>
        <w:t>注意数据中心（海外）服项目切换时对应服的前端域名需和海外udata前端逻辑一致（如切换为港澳台日韩服项目时为</w:t>
      </w:r>
      <w:r>
        <w:rPr>
          <w:rFonts w:eastAsia="等线" w:ascii="Arial" w:cs="Arial" w:hAnsi="Arial"/>
          <w:sz w:val="22"/>
        </w:rPr>
        <w:t>https://udata-jp.open.yo-star.com/</w:t>
      </w:r>
      <w:r>
        <w:rPr>
          <w:rFonts w:eastAsia="等线" w:ascii="Arial" w:cs="Arial" w:hAnsi="Arial"/>
          <w:sz w:val="22"/>
        </w:rPr>
        <w:t>，具体需要看海外udata的黑盒判断代码），否则可能会出现debug模块使用时因跨服问题无法正常接收日志；</w:t>
      </w:r>
    </w:p>
    <w:p>
      <w:pPr>
        <w:numPr>
          <w:numId w:val="2"/>
        </w:numPr>
        <w:spacing w:before="120" w:after="120" w:line="288" w:lineRule="auto"/>
        <w:ind w:left="0"/>
        <w:jc w:val="left"/>
      </w:pPr>
      <w:r>
        <w:rPr>
          <w:rFonts w:eastAsia="等线" w:ascii="Arial" w:cs="Arial" w:hAnsi="Arial"/>
          <w:sz w:val="22"/>
        </w:rPr>
        <w:t>蓝湖：</w:t>
      </w:r>
      <w:r>
        <w:rPr>
          <w:rFonts w:eastAsia="等线" w:ascii="Arial" w:cs="Arial" w:hAnsi="Arial"/>
          <w:sz w:val="22"/>
        </w:rPr>
        <w:t>https://lanhuapp.com/link/#/invite?sid=XOLsita</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功能摘要</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710"/>
        <w:gridCol w:w="4980"/>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类别</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名称</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说明</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数据-埋点管理</w:t>
            </w:r>
          </w:p>
        </w:tc>
        <w:tc>
          <w:tcPr>
            <w:tcW w:w="1710" w:type="dxa"/>
            <w:tcMar>
              <w:top w:type="dxa" w:w="60"/>
              <w:left w:type="dxa" w:w="120"/>
              <w:bottom w:type="dxa" w:w="30"/>
              <w:right w:type="dxa" w:w="120"/>
            </w:tcMar>
          </w:tcPr>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海外udata埋点管理融合</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数据-推广管理</w:t>
            </w:r>
          </w:p>
        </w:tc>
        <w:tc>
          <w:tcPr>
            <w:tcW w:w="1710" w:type="dxa"/>
            <w:tcMar>
              <w:top w:type="dxa" w:w="60"/>
              <w:left w:type="dxa" w:w="120"/>
              <w:bottom w:type="dxa" w:w="30"/>
              <w:right w:type="dxa" w:w="120"/>
            </w:tcMar>
          </w:tcPr>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国服投放管理平台推广管理+海外udata的推广管理</w:t>
            </w:r>
          </w:p>
        </w:tc>
      </w:tr>
    </w:tbl>
    <w:p>
      <w:pPr>
        <w:pStyle w:val="2"/>
        <w:spacing w:before="320" w:after="120" w:line="288" w:lineRule="auto"/>
        <w:ind w:left="0"/>
        <w:jc w:val="left"/>
        <w:outlineLvl w:val="1"/>
      </w:pPr>
      <w:bookmarkStart w:name="heading_4" w:id="4"/>
      <w:r>
        <w:rPr>
          <w:rFonts w:eastAsia="等线" w:ascii="Arial" w:cs="Arial" w:hAnsi="Arial"/>
          <w:b w:val="true"/>
          <w:sz w:val="32"/>
        </w:rPr>
        <w:t>功能详情</w:t>
      </w:r>
      <w:bookmarkEnd w:id="4"/>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 </w:t>
      </w:r>
      <w:r>
        <w:rPr>
          <w:rFonts w:eastAsia="等线" w:ascii="Arial" w:cs="Arial" w:hAnsi="Arial"/>
          <w:b w:val="true"/>
          <w:sz w:val="30"/>
        </w:rPr>
        <w:t>数据-埋点管理</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功能描述</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操作说明</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埋点管理</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数据中心（海外）：</w:t>
            </w:r>
          </w:p>
          <w:p>
            <w:pPr>
              <w:spacing w:before="120" w:after="120" w:line="288" w:lineRule="auto"/>
              <w:ind w:left="0"/>
              <w:jc w:val="left"/>
            </w:pPr>
            <w:r>
              <w:rPr>
                <w:rFonts w:eastAsia="等线" w:ascii="Arial" w:cs="Arial" w:hAnsi="Arial"/>
                <w:sz w:val="22"/>
              </w:rPr>
              <w:t>将海外udata的埋点管理各项目元数据同步至是数据中心海外埋点管理下，且保证自动扩容及手动注册事件+属性逻辑正常。注意事项如下：</w:t>
            </w:r>
          </w:p>
          <w:p>
            <w:pPr>
              <w:numPr>
                <w:numId w:val="3"/>
              </w:numPr>
              <w:spacing w:before="120" w:after="120" w:line="288" w:lineRule="auto"/>
              <w:ind w:left="0"/>
              <w:jc w:val="left"/>
            </w:pPr>
            <w:r>
              <w:rPr>
                <w:rFonts w:eastAsia="等线" w:ascii="Arial" w:cs="Arial" w:hAnsi="Arial"/>
                <w:sz w:val="22"/>
              </w:rPr>
              <w:t>需要StarRocks，且同国服及美服一样多环境共用一个sr节省成本（评估是否可以暂时日服用美服环境，保证上报及库表加字段OK，后续根据项目需求部署日服的SR）</w:t>
            </w:r>
          </w:p>
          <w:p>
            <w:pPr>
              <w:numPr>
                <w:numId w:val="4"/>
              </w:numPr>
              <w:spacing w:before="120" w:after="120" w:line="288" w:lineRule="auto"/>
              <w:ind w:left="0"/>
              <w:jc w:val="left"/>
            </w:pPr>
            <w:r>
              <w:rPr>
                <w:rFonts w:eastAsia="等线" w:ascii="Arial" w:cs="Arial" w:hAnsi="Arial"/>
                <w:sz w:val="22"/>
              </w:rPr>
              <w:t>自动扩容逻辑一致</w:t>
            </w:r>
          </w:p>
          <w:p>
            <w:pPr>
              <w:numPr>
                <w:numId w:val="5"/>
              </w:numPr>
              <w:spacing w:before="120" w:after="120" w:line="288" w:lineRule="auto"/>
              <w:ind w:left="0"/>
              <w:jc w:val="left"/>
            </w:pPr>
            <w:r>
              <w:rPr>
                <w:rFonts w:eastAsia="等线" w:ascii="Arial" w:cs="Arial" w:hAnsi="Arial"/>
                <w:sz w:val="22"/>
              </w:rPr>
              <w:t>前端域名切换保持和udata海外的一致，如港澳台+韩对应日服域名，使配置在发行平台的上报地址域名一致，否则会有跨服接收问题导致debug接收不到日志</w:t>
            </w:r>
          </w:p>
          <w:p>
            <w:pPr>
              <w:numPr>
                <w:numId w:val="6"/>
              </w:numPr>
              <w:spacing w:before="120" w:after="120" w:line="288" w:lineRule="auto"/>
              <w:ind w:left="0"/>
              <w:jc w:val="left"/>
            </w:pPr>
            <w:r>
              <w:rPr>
                <w:rFonts w:eastAsia="等线" w:ascii="Arial" w:cs="Arial" w:hAnsi="Arial"/>
                <w:sz w:val="22"/>
              </w:rPr>
              <w:t>注意海外udata的初始化事件+属性和国服有差异</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450"/>
            </w:tblGrid>
            <w:tr>
              <w:tc>
                <w:tcPr>
                  <w:tcW w:w="345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需要评估满足在数据中心（海外）对于项目和海外udata未关闭前动态扩容及手动注册的事件属性元数据同步一致</w:t>
                  </w:r>
                </w:p>
              </w:tc>
            </w:tr>
          </w:tbl>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904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8"/>
                          <a:stretch>
                            <a:fillRect/>
                          </a:stretch>
                        </pic:blipFill>
                        <pic:spPr>
                          <a:xfrm>
                            <a:off x="0" y="0"/>
                            <a:ext cx="1847850" cy="904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海外udata埋点管理</w:t>
            </w:r>
          </w:p>
        </w:tc>
      </w:tr>
    </w:tbl>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 </w:t>
      </w:r>
      <w:r>
        <w:rPr>
          <w:rFonts w:eastAsia="等线" w:ascii="Arial" w:cs="Arial" w:hAnsi="Arial"/>
          <w:b w:val="true"/>
          <w:sz w:val="30"/>
        </w:rPr>
        <w:t>数据-推广管理</w:t>
      </w:r>
      <w:bookmarkEnd w:id="8"/>
    </w:p>
    <w:p>
      <w:pPr>
        <w:pStyle w:val="4"/>
        <w:spacing w:before="260" w:after="120" w:line="288" w:lineRule="auto"/>
        <w:ind w:left="0"/>
        <w:jc w:val="left"/>
        <w:outlineLvl w:val="3"/>
      </w:pPr>
      <w:bookmarkStart w:name="heading_9" w:id="9"/>
      <w:r>
        <w:rPr>
          <w:rFonts w:eastAsia="等线" w:ascii="Arial" w:cs="Arial" w:hAnsi="Arial"/>
          <w:b w:val="true"/>
          <w:sz w:val="28"/>
        </w:rPr>
        <w:t>功能描述</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操作说明</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推广管理</w:t>
            </w:r>
          </w:p>
        </w:tc>
        <w:tc>
          <w:tcPr>
            <w:tcW w:w="369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数据中心（国服）：</w:t>
            </w:r>
          </w:p>
          <w:p>
            <w:pPr>
              <w:spacing w:before="120" w:after="120" w:line="288" w:lineRule="auto"/>
              <w:ind w:left="453"/>
              <w:jc w:val="left"/>
            </w:pPr>
            <w:r>
              <w:rPr>
                <w:rFonts w:eastAsia="等线" w:ascii="Arial" w:cs="Arial" w:hAnsi="Arial"/>
                <w:sz w:val="22"/>
              </w:rPr>
              <w:t>将投放管理平台（国服）的【推广管理】下两个页面及子页面迁移至数据中心-数据-数据接入前一个tab菜单，数据接入放最后</w:t>
            </w:r>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sz w:val="22"/>
              </w:rPr>
              <w:t>数据中心（海外）：</w:t>
            </w:r>
          </w:p>
          <w:p>
            <w:pPr>
              <w:spacing w:before="120" w:after="120" w:line="288" w:lineRule="auto"/>
              <w:ind w:left="453"/>
              <w:jc w:val="left"/>
            </w:pPr>
            <w:r>
              <w:rPr>
                <w:rFonts w:eastAsia="等线" w:ascii="Arial" w:cs="Arial" w:hAnsi="Arial"/>
                <w:sz w:val="22"/>
              </w:rPr>
              <w:t>海外Udata的【推广管理】下两个页面及子页面迁移至数据中心海外-数据-数据接入前一个tab菜单，数据接入放最后</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450"/>
            </w:tblGrid>
            <w:tr>
              <w:tc>
                <w:tcPr>
                  <w:tcW w:w="345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需要评估是否可以实现迁移到数据中心上的推广管理支持创建新的投放配置且归因正常，最后再停用旧入口时将历史配置迁移同步至新位置</w:t>
                  </w:r>
                </w:p>
              </w:tc>
            </w:tr>
          </w:tbl>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942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9"/>
                          <a:stretch>
                            <a:fillRect/>
                          </a:stretch>
                        </pic:blipFill>
                        <pic:spPr>
                          <a:xfrm>
                            <a:off x="0" y="0"/>
                            <a:ext cx="1847850" cy="942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投放管理平台（国服）</w:t>
            </w:r>
          </w:p>
          <w:p>
            <w:pPr>
              <w:spacing w:before="120" w:after="120" w:line="288" w:lineRule="auto"/>
              <w:ind w:left="0"/>
              <w:jc w:val="center"/>
            </w:pPr>
            <w:r>
              <w:drawing>
                <wp:inline distT="0" distR="0" distB="0" distL="0">
                  <wp:extent cx="1847850" cy="914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0"/>
                          <a:stretch>
                            <a:fillRect/>
                          </a:stretch>
                        </pic:blipFill>
                        <pic:spPr>
                          <a:xfrm>
                            <a:off x="0" y="0"/>
                            <a:ext cx="1847850" cy="914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海外Udata</w:t>
            </w:r>
          </w:p>
        </w:tc>
      </w:tr>
    </w:tbl>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 </w:t>
      </w:r>
      <w:r>
        <w:rPr>
          <w:rFonts w:eastAsia="等线" w:ascii="Arial" w:cs="Arial" w:hAnsi="Arial"/>
          <w:b w:val="true"/>
          <w:sz w:val="30"/>
        </w:rPr>
        <w:t>主要接口服务梳理</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功能描述</w:t>
      </w:r>
      <w:bookmarkEnd w:id="12"/>
    </w:p>
    <w:p>
      <w:pPr>
        <w:spacing w:before="120" w:after="120" w:line="288" w:lineRule="auto"/>
        <w:ind w:left="0"/>
        <w:jc w:val="left"/>
      </w:pPr>
      <w:r>
        <w:rPr>
          <w:rFonts w:eastAsia="等线" w:ascii="Arial" w:cs="Arial" w:hAnsi="Arial"/>
          <w:sz w:val="22"/>
        </w:rPr>
        <w:t>研发侧整理提供</w:t>
      </w:r>
    </w:p>
    <w:p>
      <w:pPr>
        <w:pStyle w:val="4"/>
        <w:spacing w:before="260" w:after="120" w:line="288" w:lineRule="auto"/>
        <w:ind w:left="0"/>
        <w:jc w:val="left"/>
        <w:outlineLvl w:val="3"/>
      </w:pPr>
      <w:bookmarkStart w:name="heading_13" w:id="13"/>
      <w:r>
        <w:rPr>
          <w:rFonts w:eastAsia="等线" w:ascii="Arial" w:cs="Arial" w:hAnsi="Arial"/>
          <w:b w:val="true"/>
          <w:sz w:val="28"/>
        </w:rPr>
        <w:t>操作说明</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发行平台配置的udata接口</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1200"/>
            </w:tblGrid>
            <w:tr>
              <w:tc>
                <w:tcPr>
                  <w:tcW w:w="120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不可不影响线上已配置的接口</w:t>
                  </w:r>
                </w:p>
              </w:tc>
            </w:tr>
          </w:tbl>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0668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1"/>
                          <a:stretch>
                            <a:fillRect/>
                          </a:stretch>
                        </pic:blipFill>
                        <pic:spPr>
                          <a:xfrm>
                            <a:off x="0" y="0"/>
                            <a:ext cx="1847850" cy="1066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国服发行SDK使用的udata接口</w:t>
            </w:r>
          </w:p>
          <w:p>
            <w:pPr>
              <w:spacing w:before="120" w:after="120" w:line="288" w:lineRule="auto"/>
              <w:ind w:left="0"/>
              <w:jc w:val="center"/>
            </w:pPr>
            <w:r>
              <w:drawing>
                <wp:inline distT="0" distR="0" distB="0" distL="0">
                  <wp:extent cx="1847850" cy="9239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2"/>
                          <a:stretch>
                            <a:fillRect/>
                          </a:stretch>
                        </pic:blipFill>
                        <pic:spPr>
                          <a:xfrm>
                            <a:off x="0" y="0"/>
                            <a:ext cx="1847850" cy="923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海外发行sdk使用的udata接口</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归因服务</w:t>
            </w:r>
          </w:p>
        </w:tc>
        <w:tc>
          <w:tcPr>
            <w:tcW w:w="369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 </w:t>
      </w:r>
      <w:r>
        <w:rPr>
          <w:rFonts w:eastAsia="等线" w:ascii="Arial" w:cs="Arial" w:hAnsi="Arial"/>
          <w:b w:val="true"/>
          <w:sz w:val="30"/>
        </w:rPr>
        <w:t>其他优化项</w:t>
      </w:r>
      <w:bookmarkEnd w:id="14"/>
    </w:p>
    <w:p>
      <w:pPr>
        <w:pStyle w:val="4"/>
        <w:spacing w:before="260" w:after="120" w:line="288" w:lineRule="auto"/>
        <w:ind w:left="0"/>
        <w:jc w:val="left"/>
        <w:outlineLvl w:val="3"/>
      </w:pPr>
      <w:bookmarkStart w:name="heading_15" w:id="15"/>
      <w:r>
        <w:rPr>
          <w:rFonts w:eastAsia="等线" w:ascii="Arial" w:cs="Arial" w:hAnsi="Arial"/>
          <w:b w:val="true"/>
          <w:sz w:val="28"/>
        </w:rPr>
        <w:t>功能描述</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操作说明</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动态扩容后端逻辑问题</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目前历史版本设计逻辑存在大数据和数据中心后端使用了两个异步接口同步属性规则导致当一个新属性注册时可能会致使首条上报的数据入库SR丢失，需重构为同步方法</w:t>
            </w:r>
          </w:p>
        </w:tc>
        <w:tc>
          <w:tcPr>
            <w:tcW w:w="3150" w:type="dxa"/>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帮助文档入口</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国服：</w:t>
            </w:r>
            <w:hyperlink r:id="rId13">
              <w:r>
                <w:rPr>
                  <w:rFonts w:eastAsia="等线" w:ascii="Arial" w:cs="Arial" w:hAnsi="Arial"/>
                  <w:color w:val="3370ff"/>
                  <w:sz w:val="22"/>
                </w:rPr>
                <w:t>产品简介</w:t>
              </w:r>
            </w:hyperlink>
          </w:p>
          <w:p>
            <w:pPr>
              <w:spacing w:before="120" w:after="120" w:line="288" w:lineRule="auto"/>
              <w:ind w:left="0"/>
              <w:jc w:val="left"/>
            </w:pPr>
            <w:r>
              <w:rPr>
                <w:rFonts w:eastAsia="等线" w:ascii="Arial" w:cs="Arial" w:hAnsi="Arial"/>
                <w:sz w:val="22"/>
              </w:rPr>
              <w:t>海外服：</w:t>
            </w:r>
            <w:hyperlink r:id="rId14">
              <w:r>
                <w:rPr>
                  <w:rFonts w:eastAsia="等线" w:ascii="Arial" w:cs="Arial" w:hAnsi="Arial"/>
                  <w:color w:val="3370ff"/>
                  <w:sz w:val="22"/>
                </w:rPr>
                <w:t>产品简介</w:t>
              </w:r>
            </w:hyperlink>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8667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5"/>
                          <a:stretch>
                            <a:fillRect/>
                          </a:stretch>
                        </pic:blipFill>
                        <pic:spPr>
                          <a:xfrm>
                            <a:off x="0" y="0"/>
                            <a:ext cx="1847850" cy="866775"/>
                          </a:xfrm>
                          <a:prstGeom prst="rect">
                            <a:avLst/>
                          </a:prstGeom>
                        </pic:spPr>
                      </pic:pic>
                    </a:graphicData>
                  </a:graphic>
                </wp:inline>
              </w:drawing>
            </w:r>
          </w:p>
        </w:tc>
      </w:tr>
    </w:tbl>
    <w:p>
      <w:pPr>
        <w:pStyle w:val="3"/>
        <w:spacing w:before="300" w:after="120" w:line="288" w:lineRule="auto"/>
        <w:ind w:left="0"/>
        <w:jc w:val="left"/>
        <w:outlineLvl w:val="2"/>
      </w:pPr>
      <w:bookmarkStart w:name="heading_17" w:id="17"/>
      <w:r>
        <w:rPr>
          <w:rFonts w:eastAsia="等线" w:ascii="Arial" w:cs="Arial" w:hAnsi="Arial"/>
          <w:color w:val="3370ff"/>
          <w:sz w:val="30"/>
        </w:rPr>
        <w:t xml:space="preserve">5. </w:t>
      </w:r>
      <w:r>
        <w:rPr>
          <w:rFonts w:eastAsia="等线" w:ascii="Arial" w:cs="Arial" w:hAnsi="Arial"/>
          <w:b w:val="true"/>
          <w:sz w:val="30"/>
        </w:rPr>
        <w:t>海外UData、投放管理平台</w:t>
      </w:r>
      <w:bookmarkEnd w:id="17"/>
    </w:p>
    <w:p>
      <w:pPr>
        <w:spacing w:before="120" w:after="120" w:line="288" w:lineRule="auto"/>
        <w:ind w:left="0"/>
        <w:jc w:val="left"/>
      </w:pPr>
      <w:r>
        <w:rPr>
          <w:rFonts w:eastAsia="等线" w:ascii="Arial" w:cs="Arial" w:hAnsi="Arial"/>
          <w:sz w:val="22"/>
        </w:rPr>
        <w:t xml:space="preserve">从迁移上线起至 </w:t>
      </w:r>
      <w:r>
        <w:rPr>
          <w:rFonts w:eastAsia="等线" w:ascii="Arial" w:cs="Arial" w:hAnsi="Arial"/>
          <w:b w:val="true"/>
          <w:sz w:val="22"/>
        </w:rPr>
        <w:t>2026-XX-XX</w:t>
      </w:r>
      <w:r>
        <w:rPr>
          <w:rFonts w:eastAsia="等线" w:ascii="Arial" w:cs="Arial" w:hAnsi="Arial"/>
          <w:sz w:val="22"/>
        </w:rPr>
        <w:t>，将两个平台以下功能模块，迁移到数据中心。至期间两个平台的功能需独立运行、数据同步。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6660"/>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需迁移的平台-功能模块</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海外Udata</w:t>
            </w:r>
          </w:p>
          <w:p>
            <w:pPr>
              <w:spacing w:before="120" w:after="120" w:line="288" w:lineRule="auto"/>
              <w:ind w:left="0"/>
              <w:jc w:val="left"/>
            </w:pPr>
          </w:p>
        </w:tc>
        <w:tc>
          <w:tcPr>
            <w:tcW w:w="666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迁移至海外数据中心；</w:t>
            </w:r>
          </w:p>
          <w:p>
            <w:pPr>
              <w:numPr>
                <w:numId w:val="10"/>
              </w:numPr>
              <w:spacing w:before="120" w:after="120" w:line="288" w:lineRule="auto"/>
              <w:ind w:left="0"/>
              <w:jc w:val="left"/>
            </w:pPr>
            <w:r>
              <w:rPr>
                <w:rFonts w:eastAsia="等线" w:ascii="Arial" w:cs="Arial" w:hAnsi="Arial"/>
                <w:sz w:val="22"/>
              </w:rPr>
              <w:t>历史数据：迁移上线前完成历史数据全量迁移；</w:t>
            </w:r>
          </w:p>
          <w:p>
            <w:pPr>
              <w:numPr>
                <w:numId w:val="11"/>
              </w:numPr>
              <w:spacing w:before="120" w:after="120" w:line="288" w:lineRule="auto"/>
              <w:ind w:left="0"/>
              <w:jc w:val="left"/>
            </w:pPr>
            <w:r>
              <w:rPr>
                <w:rFonts w:eastAsia="等线" w:ascii="Arial" w:cs="Arial" w:hAnsi="Arial"/>
                <w:sz w:val="22"/>
              </w:rPr>
              <w:t>数据同步：并行期间，双平台数据实时同步；</w:t>
            </w:r>
          </w:p>
          <w:p>
            <w:pPr>
              <w:numPr>
                <w:numId w:val="12"/>
              </w:numPr>
              <w:spacing w:before="120" w:after="120" w:line="288" w:lineRule="auto"/>
              <w:ind w:left="0"/>
              <w:jc w:val="left"/>
            </w:pPr>
            <w:r>
              <w:rPr>
                <w:rFonts w:eastAsia="等线" w:ascii="Arial" w:cs="Arial" w:hAnsi="Arial"/>
                <w:sz w:val="22"/>
              </w:rPr>
              <w:t>需在页面顶部常驻提示：</w:t>
            </w:r>
          </w:p>
          <w:p>
            <w:pPr>
              <w:numPr>
                <w:numId w:val="13"/>
              </w:numPr>
              <w:spacing w:before="120" w:after="120" w:line="288" w:lineRule="auto"/>
              <w:ind w:left="453"/>
              <w:jc w:val="left"/>
            </w:pPr>
            <w:r>
              <w:rPr>
                <w:rFonts w:eastAsia="等线" w:ascii="Arial" w:cs="Arial" w:hAnsi="Arial"/>
                <w:sz w:val="22"/>
              </w:rPr>
              <w:t xml:space="preserve">文案：本平台将于 </w:t>
            </w:r>
            <w:r>
              <w:rPr>
                <w:rFonts w:eastAsia="等线" w:ascii="Arial" w:cs="Arial" w:hAnsi="Arial"/>
                <w:b w:val="true"/>
                <w:sz w:val="22"/>
              </w:rPr>
              <w:t>2026-XX-XX</w:t>
            </w:r>
            <w:r>
              <w:rPr>
                <w:rFonts w:eastAsia="等线" w:ascii="Arial" w:cs="Arial" w:hAnsi="Arial"/>
                <w:sz w:val="22"/>
              </w:rPr>
              <w:t xml:space="preserve"> 停止服务，请您迁移至</w:t>
            </w:r>
            <w:r>
              <w:rPr>
                <w:rFonts w:eastAsia="等线" w:ascii="Arial" w:cs="Arial" w:hAnsi="Arial"/>
                <w:b w:val="true"/>
                <w:sz w:val="22"/>
              </w:rPr>
              <w:t>【平台-一级功能模块-二级功能模块】</w:t>
            </w:r>
            <w:r>
              <w:rPr>
                <w:rFonts w:eastAsia="等线" w:ascii="Arial" w:cs="Arial" w:hAnsi="Arial"/>
                <w:sz w:val="22"/>
              </w:rPr>
              <w:t>操作，避免影响业务正常使用。</w:t>
            </w:r>
          </w:p>
          <w:p>
            <w:pPr>
              <w:numPr>
                <w:numId w:val="14"/>
              </w:numPr>
              <w:spacing w:before="120" w:after="120" w:line="288" w:lineRule="auto"/>
              <w:ind w:left="453"/>
              <w:jc w:val="left"/>
            </w:pPr>
            <w:r>
              <w:rPr>
                <w:rFonts w:eastAsia="等线" w:ascii="Arial" w:cs="Arial" w:hAnsi="Arial"/>
                <w:sz w:val="22"/>
              </w:rPr>
              <w:t>支持通过点击文案内的功能路径文字，</w:t>
            </w:r>
            <w:r>
              <w:rPr>
                <w:rFonts w:eastAsia="等线" w:ascii="Arial" w:cs="Arial" w:hAnsi="Arial"/>
                <w:b w:val="true"/>
                <w:sz w:val="22"/>
              </w:rPr>
              <w:t>直接跳转至对应功能模块页面</w:t>
            </w:r>
            <w:r>
              <w:rPr>
                <w:rFonts w:eastAsia="等线" w:ascii="Arial" w:cs="Arial" w:hAnsi="Arial"/>
                <w:sz w:val="22"/>
              </w:rPr>
              <w:t>，引导用户完成业务迁移。</w:t>
            </w:r>
          </w:p>
          <w:p>
            <w:pPr>
              <w:spacing w:before="120" w:after="120" w:line="288" w:lineRule="auto"/>
              <w:ind w:left="907"/>
              <w:jc w:val="center"/>
            </w:pPr>
            <w:r>
              <w:drawing>
                <wp:inline distT="0" distR="0" distB="0" distL="0">
                  <wp:extent cx="4076700" cy="20193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6"/>
                          <a:stretch>
                            <a:fillRect/>
                          </a:stretch>
                        </pic:blipFill>
                        <pic:spPr>
                          <a:xfrm>
                            <a:off x="0" y="0"/>
                            <a:ext cx="4076700" cy="2019300"/>
                          </a:xfrm>
                          <a:prstGeom prst="rect">
                            <a:avLst/>
                          </a:prstGeom>
                        </pic:spPr>
                      </pic:pic>
                    </a:graphicData>
                  </a:graphic>
                </wp:inline>
              </w:drawing>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投放管理平台-资产管理-推广管理</w:t>
            </w:r>
          </w:p>
        </w:tc>
        <w:tc>
          <w:tcPr>
            <w:tcW w:w="6660"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迁移至国服数据中心；</w:t>
            </w:r>
          </w:p>
          <w:p>
            <w:pPr>
              <w:numPr>
                <w:numId w:val="16"/>
              </w:numPr>
              <w:spacing w:before="120" w:after="120" w:line="288" w:lineRule="auto"/>
              <w:ind w:left="0"/>
              <w:jc w:val="left"/>
            </w:pPr>
            <w:r>
              <w:rPr>
                <w:rFonts w:eastAsia="等线" w:ascii="Arial" w:cs="Arial" w:hAnsi="Arial"/>
                <w:sz w:val="22"/>
              </w:rPr>
              <w:t>历史数据：迁移上线前完成历史数据全量迁移</w:t>
            </w:r>
            <w:r>
              <w:rPr>
                <w:rFonts w:eastAsia="等线" w:ascii="Arial" w:cs="Arial" w:hAnsi="Arial"/>
                <w:sz w:val="22"/>
              </w:rPr>
              <w:t>，按pid维护推广管理（因为监测链接需要带pid）</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数据同步：并行期间，双平台数据实时同步；</w:t>
            </w:r>
          </w:p>
          <w:p>
            <w:pPr>
              <w:numPr>
                <w:numId w:val="18"/>
              </w:numPr>
              <w:spacing w:before="120" w:after="120" w:line="288" w:lineRule="auto"/>
              <w:ind w:left="0"/>
              <w:jc w:val="left"/>
            </w:pPr>
            <w:r>
              <w:rPr>
                <w:rFonts w:eastAsia="等线" w:ascii="Arial" w:cs="Arial" w:hAnsi="Arial"/>
                <w:sz w:val="22"/>
              </w:rPr>
              <w:t>需在各功能模块标题下方常驻提示：</w:t>
            </w:r>
          </w:p>
          <w:p>
            <w:pPr>
              <w:numPr>
                <w:numId w:val="19"/>
              </w:numPr>
              <w:spacing w:before="120" w:after="120" w:line="288" w:lineRule="auto"/>
              <w:ind w:left="453"/>
              <w:jc w:val="left"/>
            </w:pPr>
            <w:r>
              <w:rPr>
                <w:rFonts w:eastAsia="等线" w:ascii="Arial" w:cs="Arial" w:hAnsi="Arial"/>
                <w:sz w:val="22"/>
              </w:rPr>
              <w:t xml:space="preserve">文案：本功能模块将于 </w:t>
            </w:r>
            <w:r>
              <w:rPr>
                <w:rFonts w:eastAsia="等线" w:ascii="Arial" w:cs="Arial" w:hAnsi="Arial"/>
                <w:b w:val="true"/>
                <w:sz w:val="22"/>
              </w:rPr>
              <w:t>2026-XX-XX</w:t>
            </w:r>
            <w:r>
              <w:rPr>
                <w:rFonts w:eastAsia="等线" w:ascii="Arial" w:cs="Arial" w:hAnsi="Arial"/>
                <w:sz w:val="22"/>
              </w:rPr>
              <w:t xml:space="preserve"> 停止服务，请您迁移至</w:t>
            </w:r>
            <w:r>
              <w:rPr>
                <w:rFonts w:eastAsia="等线" w:ascii="Arial" w:cs="Arial" w:hAnsi="Arial"/>
                <w:b w:val="true"/>
                <w:sz w:val="22"/>
              </w:rPr>
              <w:t>【平台-一级功能模块-二级功能模块】</w:t>
            </w:r>
            <w:r>
              <w:rPr>
                <w:rFonts w:eastAsia="等线" w:ascii="Arial" w:cs="Arial" w:hAnsi="Arial"/>
                <w:sz w:val="22"/>
              </w:rPr>
              <w:t>操作，避免影响业务正常使用；</w:t>
            </w:r>
          </w:p>
          <w:p>
            <w:pPr>
              <w:numPr>
                <w:numId w:val="20"/>
              </w:numPr>
              <w:spacing w:before="120" w:after="120" w:line="288" w:lineRule="auto"/>
              <w:ind w:left="453"/>
              <w:jc w:val="left"/>
            </w:pPr>
            <w:r>
              <w:rPr>
                <w:rFonts w:eastAsia="等线" w:ascii="Arial" w:cs="Arial" w:hAnsi="Arial"/>
                <w:sz w:val="22"/>
              </w:rPr>
              <w:t>支持通过点击文案内的功能路径文字，</w:t>
            </w:r>
            <w:r>
              <w:rPr>
                <w:rFonts w:eastAsia="等线" w:ascii="Arial" w:cs="Arial" w:hAnsi="Arial"/>
                <w:b w:val="true"/>
                <w:sz w:val="22"/>
              </w:rPr>
              <w:t>直接跳转至对应功能模块页面</w:t>
            </w:r>
            <w:r>
              <w:rPr>
                <w:rFonts w:eastAsia="等线" w:ascii="Arial" w:cs="Arial" w:hAnsi="Arial"/>
                <w:sz w:val="22"/>
              </w:rPr>
              <w:t>，引导用户完成业务迁移。</w:t>
            </w:r>
          </w:p>
          <w:p>
            <w:pPr>
              <w:spacing w:before="120" w:after="120" w:line="288" w:lineRule="auto"/>
              <w:ind w:left="0"/>
              <w:jc w:val="center"/>
            </w:pPr>
            <w:r>
              <w:drawing>
                <wp:inline distT="0" distR="0" distB="0" distL="0">
                  <wp:extent cx="4076700" cy="20193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7"/>
                          <a:stretch>
                            <a:fillRect/>
                          </a:stretch>
                        </pic:blipFill>
                        <pic:spPr>
                          <a:xfrm>
                            <a:off x="0" y="0"/>
                            <a:ext cx="4076700" cy="2019300"/>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420"/>
            </w:tblGrid>
            <w:tr>
              <w:tc>
                <w:tcPr>
                  <w:tcW w:w="642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注意：</w:t>
                  </w:r>
                  <w:r>
                    <w:rPr>
                      <w:rFonts w:eastAsia="等线" w:ascii="Arial" w:cs="Arial" w:hAnsi="Arial"/>
                      <w:sz w:val="22"/>
                    </w:rPr>
                    <w:t>监测链接中的pid可以直接取数据中心当前全局项目组件的pid</w:t>
                  </w:r>
                </w:p>
              </w:tc>
            </w:tr>
          </w:tbl>
          <w:p/>
        </w:tc>
      </w:tr>
    </w:tbl>
    <w:p>
      <w:pPr>
        <w:pStyle w:val="2"/>
        <w:spacing w:before="320" w:after="120" w:line="288" w:lineRule="auto"/>
        <w:ind w:left="0"/>
        <w:jc w:val="left"/>
        <w:outlineLvl w:val="1"/>
      </w:pPr>
      <w:bookmarkStart w:name="heading_18" w:id="18"/>
      <w:r>
        <w:rPr>
          <w:rFonts w:eastAsia="等线" w:ascii="Arial" w:cs="Arial" w:hAnsi="Arial"/>
          <w:b w:val="true"/>
          <w:sz w:val="32"/>
        </w:rPr>
        <w:t>其他说明</w:t>
      </w:r>
      <w:bookmarkEnd w:id="18"/>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附件</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45"/>
        <w:gridCol w:w="6135"/>
      </w:tblGrid>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6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链接</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w:t>
            </w:r>
          </w:p>
        </w:tc>
        <w:tc>
          <w:tcPr>
            <w:tcW w:w="613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21376">
    <w:lvl>
      <w:numFmt w:val="bullet"/>
      <w:suff w:val="tab"/>
      <w:lvlText w:val="•"/>
      <w:rPr>
        <w:color w:val="3370ff"/>
      </w:rPr>
    </w:lvl>
  </w:abstractNum>
  <w:abstractNum w:abstractNumId="521377">
    <w:lvl>
      <w:numFmt w:val="bullet"/>
      <w:suff w:val="tab"/>
      <w:lvlText w:val="•"/>
      <w:rPr>
        <w:color w:val="3370ff"/>
      </w:rPr>
    </w:lvl>
  </w:abstractNum>
  <w:abstractNum w:abstractNumId="521378">
    <w:lvl>
      <w:start w:val="1"/>
      <w:numFmt w:val="decimal"/>
      <w:suff w:val="tab"/>
      <w:lvlText w:val="%1."/>
      <w:rPr>
        <w:color w:val="3370ff"/>
      </w:rPr>
    </w:lvl>
  </w:abstractNum>
  <w:abstractNum w:abstractNumId="521379">
    <w:lvl>
      <w:start w:val="2"/>
      <w:numFmt w:val="decimal"/>
      <w:suff w:val="tab"/>
      <w:lvlText w:val="%1."/>
      <w:rPr>
        <w:color w:val="3370ff"/>
      </w:rPr>
    </w:lvl>
  </w:abstractNum>
  <w:abstractNum w:abstractNumId="521380">
    <w:lvl>
      <w:start w:val="3"/>
      <w:numFmt w:val="decimal"/>
      <w:suff w:val="tab"/>
      <w:lvlText w:val="%1."/>
      <w:rPr>
        <w:color w:val="3370ff"/>
      </w:rPr>
    </w:lvl>
  </w:abstractNum>
  <w:abstractNum w:abstractNumId="521381">
    <w:lvl>
      <w:start w:val="4"/>
      <w:numFmt w:val="decimal"/>
      <w:suff w:val="tab"/>
      <w:lvlText w:val="%1."/>
      <w:rPr>
        <w:color w:val="3370ff"/>
      </w:rPr>
    </w:lvl>
  </w:abstractNum>
  <w:abstractNum w:abstractNumId="521382">
    <w:lvl>
      <w:start w:val="1"/>
      <w:numFmt w:val="decimal"/>
      <w:suff w:val="tab"/>
      <w:lvlText w:val="%1."/>
      <w:rPr>
        <w:color w:val="3370ff"/>
      </w:rPr>
    </w:lvl>
  </w:abstractNum>
  <w:abstractNum w:abstractNumId="521383">
    <w:lvl>
      <w:start w:val="2"/>
      <w:numFmt w:val="decimal"/>
      <w:suff w:val="tab"/>
      <w:lvlText w:val="%1."/>
      <w:rPr>
        <w:color w:val="3370ff"/>
      </w:rPr>
    </w:lvl>
  </w:abstractNum>
  <w:abstractNum w:abstractNumId="521384">
    <w:lvl>
      <w:numFmt w:val="bullet"/>
      <w:suff w:val="tab"/>
      <w:lvlText w:val="•"/>
      <w:rPr>
        <w:color w:val="3370ff"/>
      </w:rPr>
    </w:lvl>
  </w:abstractNum>
  <w:abstractNum w:abstractNumId="521385">
    <w:lvl>
      <w:numFmt w:val="bullet"/>
      <w:suff w:val="tab"/>
      <w:lvlText w:val="•"/>
      <w:rPr>
        <w:color w:val="3370ff"/>
      </w:rPr>
    </w:lvl>
  </w:abstractNum>
  <w:abstractNum w:abstractNumId="521386">
    <w:lvl>
      <w:numFmt w:val="bullet"/>
      <w:suff w:val="tab"/>
      <w:lvlText w:val="•"/>
      <w:rPr>
        <w:color w:val="3370ff"/>
      </w:rPr>
    </w:lvl>
  </w:abstractNum>
  <w:abstractNum w:abstractNumId="521387">
    <w:lvl>
      <w:numFmt w:val="bullet"/>
      <w:suff w:val="tab"/>
      <w:lvlText w:val="•"/>
      <w:rPr>
        <w:color w:val="3370ff"/>
      </w:rPr>
    </w:lvl>
  </w:abstractNum>
  <w:abstractNum w:abstractNumId="521388">
    <w:lvl>
      <w:numFmt w:val="bullet"/>
      <w:suff w:val="tab"/>
      <w:lvlText w:val="￮"/>
      <w:rPr>
        <w:color w:val="3370ff"/>
      </w:rPr>
    </w:lvl>
  </w:abstractNum>
  <w:abstractNum w:abstractNumId="521389">
    <w:lvl>
      <w:numFmt w:val="bullet"/>
      <w:suff w:val="tab"/>
      <w:lvlText w:val="￮"/>
      <w:rPr>
        <w:color w:val="3370ff"/>
      </w:rPr>
    </w:lvl>
  </w:abstractNum>
  <w:abstractNum w:abstractNumId="521390">
    <w:lvl>
      <w:numFmt w:val="bullet"/>
      <w:suff w:val="tab"/>
      <w:lvlText w:val="•"/>
      <w:rPr>
        <w:color w:val="3370ff"/>
      </w:rPr>
    </w:lvl>
  </w:abstractNum>
  <w:abstractNum w:abstractNumId="521391">
    <w:lvl>
      <w:numFmt w:val="bullet"/>
      <w:suff w:val="tab"/>
      <w:lvlText w:val="•"/>
      <w:rPr>
        <w:color w:val="3370ff"/>
      </w:rPr>
    </w:lvl>
  </w:abstractNum>
  <w:abstractNum w:abstractNumId="521392">
    <w:lvl>
      <w:numFmt w:val="bullet"/>
      <w:suff w:val="tab"/>
      <w:lvlText w:val="•"/>
      <w:rPr>
        <w:color w:val="3370ff"/>
      </w:rPr>
    </w:lvl>
  </w:abstractNum>
  <w:abstractNum w:abstractNumId="521393">
    <w:lvl>
      <w:numFmt w:val="bullet"/>
      <w:suff w:val="tab"/>
      <w:lvlText w:val="•"/>
      <w:rPr>
        <w:color w:val="3370ff"/>
      </w:rPr>
    </w:lvl>
  </w:abstractNum>
  <w:abstractNum w:abstractNumId="521394">
    <w:lvl>
      <w:numFmt w:val="bullet"/>
      <w:suff w:val="tab"/>
      <w:lvlText w:val="￮"/>
      <w:rPr>
        <w:color w:val="3370ff"/>
      </w:rPr>
    </w:lvl>
  </w:abstractNum>
  <w:abstractNum w:abstractNumId="521395">
    <w:lvl>
      <w:numFmt w:val="bullet"/>
      <w:suff w:val="tab"/>
      <w:lvlText w:val="￮"/>
      <w:rPr>
        <w:color w:val="3370ff"/>
      </w:rPr>
    </w:lvl>
  </w:abstractNum>
  <w:num w:numId="1">
    <w:abstractNumId w:val="521376"/>
  </w:num>
  <w:num w:numId="2">
    <w:abstractNumId w:val="521377"/>
  </w:num>
  <w:num w:numId="3">
    <w:abstractNumId w:val="521378"/>
  </w:num>
  <w:num w:numId="4">
    <w:abstractNumId w:val="521379"/>
  </w:num>
  <w:num w:numId="5">
    <w:abstractNumId w:val="521380"/>
  </w:num>
  <w:num w:numId="6">
    <w:abstractNumId w:val="521381"/>
  </w:num>
  <w:num w:numId="7">
    <w:abstractNumId w:val="521382"/>
  </w:num>
  <w:num w:numId="8">
    <w:abstractNumId w:val="521383"/>
  </w:num>
  <w:num w:numId="9">
    <w:abstractNumId w:val="521384"/>
  </w:num>
  <w:num w:numId="10">
    <w:abstractNumId w:val="521385"/>
  </w:num>
  <w:num w:numId="11">
    <w:abstractNumId w:val="521386"/>
  </w:num>
  <w:num w:numId="12">
    <w:abstractNumId w:val="521387"/>
  </w:num>
  <w:num w:numId="13">
    <w:abstractNumId w:val="521388"/>
  </w:num>
  <w:num w:numId="14">
    <w:abstractNumId w:val="521389"/>
  </w:num>
  <w:num w:numId="15">
    <w:abstractNumId w:val="521390"/>
  </w:num>
  <w:num w:numId="16">
    <w:abstractNumId w:val="521391"/>
  </w:num>
  <w:num w:numId="17">
    <w:abstractNumId w:val="521392"/>
  </w:num>
  <w:num w:numId="18">
    <w:abstractNumId w:val="521393"/>
  </w:num>
  <w:num w:numId="19">
    <w:abstractNumId w:val="521394"/>
  </w:num>
  <w:num w:numId="20">
    <w:abstractNumId w:val="52139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https://yostargames.feishu.cn/wiki/TT3Ewcf0Ci3jD6k2Ir8cO4zlnye" TargetMode="External" Type="http://schemas.openxmlformats.org/officeDocument/2006/relationships/hyperlink"/><Relationship Id="rId14" Target="https://yostargames.feishu.cn/wiki/FCKDwQiemisH2yknBrDcoIrKnth?fromScene=spaceOverview" TargetMode="External" Type="http://schemas.openxmlformats.org/officeDocument/2006/relationships/hyperlink"/><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project.feishu.cn/technical_platform/story/detail/6655295915" TargetMode="External" Type="http://schemas.openxmlformats.org/officeDocument/2006/relationships/hyperlink"/><Relationship Id="rId5" Target="https://project.feishu.cn/technical_platform/story/detail/6191101542" TargetMode="External" Type="http://schemas.openxmlformats.org/officeDocument/2006/relationships/hyperlink"/><Relationship Id="rId6" Target="https://project.feishu.cn/technical_platform/story/detail/6928653475" TargetMode="External" Type="http://schemas.openxmlformats.org/officeDocument/2006/relationships/hyperlink"/><Relationship Id="rId7" Target="numbering.xml" Type="http://schemas.openxmlformats.org/officeDocument/2006/relationships/numbering"/><Relationship Id="rId8" Target="media/image1.png" Type="http://schemas.openxmlformats.org/officeDocument/2006/relationships/imag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2026-05-27T03:48:41Z</dcterms:created>
  <dc:creator>Apache POI</dc:creator>
</cp:coreProperties>
</file>