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80"/>
        <w:jc w:val="center"/>
      </w:pPr>
      <w:r>
        <w:rPr>
          <w:rFonts w:ascii="Georgia" w:cs="Georgia" w:eastAsia="Georgia" w:hAnsi="Georgia"/>
          <w:color w:val="C9A84C"/>
          <w:sz w:val="48"/>
          <w:szCs w:val="48"/>
        </w:rPr>
        <w:t xml:space="preserve">✦</w:t>
      </w:r>
    </w:p>
    <w:p>
      <w:pPr>
        <w:spacing w:after="100"/>
      </w:pPr>
    </w:p>
    <w:p>
      <w:pPr>
        <w:spacing w:after="40"/>
        <w:jc w:val="center"/>
      </w:pPr>
      <w:r>
        <w:rPr>
          <w:rFonts w:ascii="Calibri" w:cs="Calibri" w:eastAsia="Calibri" w:hAnsi="Calibri"/>
          <w:color w:val="AAAAAA"/>
          <w:spacing w:val="320"/>
          <w:sz w:val="18"/>
          <w:szCs w:val="18"/>
        </w:rPr>
        <w:t xml:space="preserve">WINDI PUBLISHING HOUSE</w:t>
      </w:r>
    </w:p>
    <w:p>
      <w:pPr>
        <w:spacing w:after="100"/>
      </w:pPr>
    </w:p>
    <w:p>
      <w:pPr>
        <w:spacing w:after="20"/>
        <w:jc w:val="center"/>
      </w:pPr>
      <w:r>
        <w:rPr>
          <w:rFonts w:ascii="Georgia" w:cs="Georgia" w:eastAsia="Georgia" w:hAnsi="Georgia"/>
          <w:b/>
          <w:bCs/>
          <w:color w:val="1A1A2E"/>
          <w:sz w:val="52"/>
          <w:szCs w:val="52"/>
        </w:rPr>
        <w:t xml:space="preserve">CONSTITUTIONAL</w:t>
      </w:r>
    </w:p>
    <w:p>
      <w:pPr>
        <w:spacing w:after="60"/>
        <w:jc w:val="center"/>
      </w:pPr>
      <w:r>
        <w:rPr>
          <w:rFonts w:ascii="Georgia" w:cs="Georgia" w:eastAsia="Georgia" w:hAnsi="Georgia"/>
          <w:b/>
          <w:bCs/>
          <w:color w:val="1A1A2E"/>
          <w:sz w:val="52"/>
          <w:szCs w:val="52"/>
        </w:rPr>
        <w:t xml:space="preserve">INDEX</w:t>
      </w:r>
    </w:p>
    <w:p>
      <w:pPr>
        <w:spacing w:after="300"/>
        <w:jc w:val="center"/>
      </w:pPr>
      <w:r>
        <w:rPr>
          <w:rFonts w:ascii="Georgia" w:cs="Georgia" w:eastAsia="Georgia" w:hAnsi="Georgia"/>
          <w:color w:val="C9A84C"/>
          <w:sz w:val="20"/>
          <w:szCs w:val="20"/>
        </w:rPr>
        <w:t xml:space="preserve">──────────────────────</w:t>
      </w:r>
    </w:p>
    <w:p>
      <w:pPr>
        <w:spacing w:after="120"/>
        <w:jc w:val="center"/>
      </w:pPr>
      <w:r>
        <w:rPr>
          <w:rFonts w:ascii="Georgia" w:cs="Georgia" w:eastAsia="Georgia" w:hAnsi="Georgia"/>
          <w:i/>
          <w:iCs/>
          <w:color w:val="777777"/>
          <w:sz w:val="24"/>
          <w:szCs w:val="24"/>
        </w:rPr>
        <w:t xml:space="preserve">Mapa de Referência Constitucional</w:t>
      </w:r>
    </w:p>
    <w:p>
      <w:pPr>
        <w:spacing w:after="60"/>
        <w:jc w:val="center"/>
      </w:pPr>
      <w:r>
        <w:rPr>
          <w:rFonts w:ascii="Georgia" w:cs="Georgia" w:eastAsia="Georgia" w:hAnsi="Georgia"/>
          <w:i/>
          <w:iCs/>
          <w:color w:val="777777"/>
          <w:sz w:val="22"/>
          <w:szCs w:val="22"/>
        </w:rPr>
        <w:t xml:space="preserve">Harmonização das Três Camadas</w:t>
      </w:r>
    </w:p>
    <w:p>
      <w:pPr>
        <w:spacing w:after="100"/>
      </w:pPr>
    </w:p>
    <w:p>
      <w:pPr>
        <w:spacing w:after="100"/>
      </w:pPr>
    </w:p>
    <w:p>
      <w:pPr>
        <w:spacing w:before="200" w:after="200"/>
        <w:ind w:left="600" w:right="600"/>
        <w:jc w:val="center"/>
      </w:pPr>
      <w:r>
        <w:rPr>
          <w:rFonts w:ascii="Georgia" w:cs="Georgia" w:eastAsia="Georgia" w:hAnsi="Georgia"/>
          <w:i/>
          <w:iCs/>
          <w:color w:val="C9A84C"/>
          <w:sz w:val="23"/>
          <w:szCs w:val="23"/>
        </w:rPr>
        <w:t xml:space="preserve">“AI processes. Human decides. WINDI guarantees.”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60"/>
        <w:jc w:val="center"/>
      </w:pPr>
      <w:r>
        <w:rPr>
          <w:rFonts w:ascii="Calibri" w:cs="Calibri" w:eastAsia="Calibri" w:hAnsi="Calibri"/>
          <w:color w:val="777777"/>
          <w:sz w:val="20"/>
          <w:szCs w:val="20"/>
        </w:rPr>
        <w:t xml:space="preserve">versão 1.0  —  08 Fevereiro 2026</w:t>
      </w:r>
    </w:p>
    <w:p>
      <w:pPr>
        <w:jc w:val="center"/>
      </w:pPr>
      <w:r>
        <w:rPr>
          <w:rFonts w:ascii="Calibri" w:cs="Calibri" w:eastAsia="Calibri" w:hAnsi="Calibri"/>
          <w:color w:val="777777"/>
          <w:sz w:val="20"/>
          <w:szCs w:val="20"/>
        </w:rPr>
        <w:t xml:space="preserve">Kempten (Allgäu), Baviera, Alemanha</w:t>
      </w:r>
    </w:p>
    <w:p>
      <w:pPr>
        <w:sectPr>
          <w:pgSz w:w="11906" w:h="16838" w:orient="portrait"/>
          <w:pgMar w:top="2200" w:right="1600" w:bottom="1800" w:left="1600" w:header="708" w:footer="708" w:gutter="0"/>
          <w:pgNumType/>
          <w:docGrid w:linePitch="360"/>
        </w:sectPr>
      </w:pPr>
    </w:p>
    <w:p>
      <w:pPr>
        <w:pStyle w:val="Heading1"/>
        <w:spacing w:before="500" w:after="240"/>
      </w:pPr>
      <w:r>
        <w:rPr>
          <w:rFonts w:ascii="Georgia" w:cs="Georgia" w:eastAsia="Georgia" w:hAnsi="Georgia"/>
          <w:b/>
          <w:bCs/>
          <w:color w:val="1A1A2E"/>
          <w:sz w:val="30"/>
          <w:szCs w:val="30"/>
        </w:rPr>
        <w:t xml:space="preserve">1. Propósito deste Index</w:t>
      </w:r>
    </w:p>
    <w:p>
      <w:pPr>
        <w:spacing w:after="160" w:line="3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 WINDI Constitutional Index é o mapa de referência que harmoniza todos os documentos constitucionais do ecossistema WINDI. Ele não substitui nenhum documento. Ele mostra como se relacionam, onde convergem, e como resolver conflitos entre eles.</w:t>
      </w:r>
    </w:p>
    <w:p>
      <w:pPr>
        <w:spacing w:after="160" w:line="3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Este Index existe porque o WINDI amadureceu além de um único documento fundador. Hoje, três camadas constitucionais coexistem. Sem um mapa, há risco de ambiguidade. Com o mapa, há clareza hierárquica.</w:t>
      </w:r>
    </w:p>
    <w:p>
      <w:pPr>
        <w:spacing w:before="280" w:after="280"/>
        <w:jc w:val="center"/>
      </w:pPr>
      <w:r>
        <w:rPr>
          <w:rFonts w:ascii="Georgia" w:cs="Georgia" w:eastAsia="Georgia" w:hAnsi="Georgia"/>
          <w:color w:val="C9A84C"/>
          <w:sz w:val="20"/>
          <w:szCs w:val="20"/>
        </w:rPr>
        <w:t xml:space="preserve">─────  ✦  ─────</w:t>
      </w:r>
    </w:p>
    <w:p>
      <w:pPr>
        <w:pStyle w:val="Heading1"/>
        <w:spacing w:before="500" w:after="240"/>
      </w:pPr>
      <w:r>
        <w:rPr>
          <w:rFonts w:ascii="Georgia" w:cs="Georgia" w:eastAsia="Georgia" w:hAnsi="Georgia"/>
          <w:b/>
          <w:bCs/>
          <w:color w:val="1A1A2E"/>
          <w:sz w:val="30"/>
          <w:szCs w:val="30"/>
        </w:rPr>
        <w:t xml:space="preserve">2. As Três Camadas Constitucionais</w:t>
      </w:r>
    </w:p>
    <w:p>
      <w:pPr>
        <w:spacing w:after="160" w:line="3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 ecossistema constitucional WINDI opera em três camadas hierárquicas. A camada superior governa as inferiores. Em caso de conflito, a camada mais alta prevalece.</w:t>
      </w:r>
    </w:p>
    <w:tbl>
      <w:tblPr>
        <w:tblW w:type="dxa" w:w="8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800"/>
        <w:gridCol w:w="250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Documento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Escopo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L1 — Alma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Constituição do WINDI Agent v1.0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Define QUEM o Agent é, POR QUE existe, e o que RECUSA ser. Princípios filosóficos e doutrina existencial.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Universal. Todo Agent WINDI, em qualquer contexto, para sempre.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L2 — Corpo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Clone Light Constitution v1.0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Define COMO o Agent opera no produto Clone Light. Tabelas, agents, 8 camadas, classificacção Low/Med/High.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Específico ao Clone Light. Cada produto pode ter seu L2.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L3 — Contrato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Plano de Clonagem + CLONE_CONSTITUTION.md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Define COMO o Clone nasce, se configura e se governa no ambiente do cliente. Engenharia de replicação.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Específico por instância. Cada cliente tem seu L3.</w:t>
            </w:r>
          </w:p>
        </w:tc>
      </w:tr>
    </w:tbl>
    <w:p>
      <w:pPr>
        <w:spacing w:after="100"/>
      </w:pPr>
    </w:p>
    <w:p>
      <w:pPr>
        <w:pStyle w:val="Heading2"/>
        <w:spacing w:before="360" w:after="180"/>
      </w:pPr>
      <w:r>
        <w:rPr>
          <w:rFonts w:ascii="Georgia" w:cs="Georgia" w:eastAsia="Georgia" w:hAnsi="Georgia"/>
          <w:b/>
          <w:bCs/>
          <w:color w:val="2D2D44"/>
          <w:sz w:val="25"/>
          <w:szCs w:val="25"/>
        </w:rPr>
        <w:t xml:space="preserve">2.1 Regra de Precedência</w:t>
      </w:r>
    </w:p>
    <w:p>
      <w:pPr>
        <w:spacing w:after="160" w:line="3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Quando houver conflito entre camadas, a resolução segue a hierarquia: L1 prevalece sobre L2, que prevalece sobre L3. Nenhuma customização de cliente (L3) pode contradizer a arquitetura do produto (L2). Nenhuma arquitetura de produto (L2) pode contradizer a alma do Agent (L1).</w:t>
      </w:r>
    </w:p>
    <w:p>
      <w:pPr>
        <w:spacing w:after="140" w:line="320"/>
        <w:ind w:left="280"/>
        <w:jc w:val="both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Regra absoluta: 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O Invariante I9 (Proibição de Escalação de Autonomia) é IRREMEDÁVEL em todas as três camadas. Nenhuma camada pode alterá-lo, suspendê-lo, ou contorná-lo.</w:t>
      </w:r>
    </w:p>
    <w:p>
      <w:pPr>
        <w:spacing w:before="280" w:after="280"/>
        <w:jc w:val="center"/>
      </w:pPr>
      <w:r>
        <w:rPr>
          <w:rFonts w:ascii="Georgia" w:cs="Georgia" w:eastAsia="Georgia" w:hAnsi="Georgia"/>
          <w:color w:val="C9A84C"/>
          <w:sz w:val="20"/>
          <w:szCs w:val="20"/>
        </w:rPr>
        <w:t xml:space="preserve">─────  ✦  ─────</w:t>
      </w:r>
    </w:p>
    <w:p>
      <w:pPr>
        <w:pStyle w:val="Heading1"/>
        <w:spacing w:before="500" w:after="240"/>
      </w:pPr>
      <w:r>
        <w:rPr>
          <w:rFonts w:ascii="Georgia" w:cs="Georgia" w:eastAsia="Georgia" w:hAnsi="Georgia"/>
          <w:b/>
          <w:bCs/>
          <w:color w:val="1A1A2E"/>
          <w:sz w:val="30"/>
          <w:szCs w:val="30"/>
        </w:rPr>
        <w:t xml:space="preserve">3. Sistema Dual de Invariantes</w:t>
      </w:r>
    </w:p>
    <w:p>
      <w:pPr>
        <w:spacing w:after="160" w:line="3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 ecossistema WINDI opera com dois registros complementares de Invariantes: os Invariantes Constitucionais (IC), que definem o que o Agent é, e os Invariantes Técnicos (IT), que definem o que o sistema faz. Ambos são obrigatórios. Nenhum substitui o outro.</w:t>
      </w:r>
    </w:p>
    <w:p>
      <w:pPr>
        <w:pStyle w:val="Heading2"/>
        <w:spacing w:before="360" w:after="180"/>
      </w:pPr>
      <w:r>
        <w:rPr>
          <w:rFonts w:ascii="Georgia" w:cs="Georgia" w:eastAsia="Georgia" w:hAnsi="Georgia"/>
          <w:b/>
          <w:bCs/>
          <w:color w:val="2D2D44"/>
          <w:sz w:val="25"/>
          <w:szCs w:val="25"/>
        </w:rPr>
        <w:t xml:space="preserve">3.1 Invariantes Constitucionais (IC) — Camada L1</w:t>
      </w:r>
    </w:p>
    <w:p>
      <w:pPr>
        <w:spacing w:after="160" w:line="3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Definem a identidade, a ética e os limites existenciais do Agent. Originam da Constituição do WINDI Agent v1.0 e do WINDI Core (Marco Zero, 19 Jan 2026).</w:t>
      </w:r>
    </w:p>
    <w:tbl>
      <w:tblPr>
        <w:tblW w:type="dxa" w:w="8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590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Nome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Mandato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IC-1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Soberania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 decisão final é humana. O Agent nunca toma a coroa.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IC-2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Não-Opacidade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O que o Agent faz é explicável. Todo processo pode ser traçado.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IC-3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Transparência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O que o Agent sabe é compartilhável. Nenhuma informação oculta.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IC-4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Jurisdição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O Agent opera em limites declarados. Nenhuma expansão de escopo.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IC-5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Não-Fabricação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O Agent não inventa fatos, não nega conhecimento, não cria falsa certeza.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IC-6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Estruturação de Conflitos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Divergências são expostas e escaladas, NUNCA sintetizadas automaticamente.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IC-7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Institucionalidade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O Agent serve princípios, não pessoas.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IC-8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Não-Punição por Profundidade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Questionar é constitucional. Perguntas profundas nunca são penalizadas.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IC-9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Proibição de Escalação de Autonomia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IRREMEDÁVEL. O Agent não pode adquirir, solicitar ou aceitar expansão de autoridade autônoma.</w:t>
            </w:r>
          </w:p>
        </w:tc>
      </w:tr>
    </w:tbl>
    <w:p>
      <w:pPr>
        <w:spacing w:after="100"/>
      </w:pPr>
    </w:p>
    <w:p>
      <w:pPr>
        <w:pStyle w:val="Heading2"/>
        <w:spacing w:before="360" w:after="180"/>
      </w:pPr>
      <w:r>
        <w:rPr>
          <w:rFonts w:ascii="Georgia" w:cs="Georgia" w:eastAsia="Georgia" w:hAnsi="Georgia"/>
          <w:b/>
          <w:bCs/>
          <w:color w:val="2D2D44"/>
          <w:sz w:val="25"/>
          <w:szCs w:val="25"/>
        </w:rPr>
        <w:t xml:space="preserve">3.2 Invariantes Técnicos (IT) — Camada L3</w:t>
      </w:r>
    </w:p>
    <w:p>
      <w:pPr>
        <w:spacing w:after="160" w:line="3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Definem as garantias operacionais do sistema deployado. Originam do Plano de Clonagem (GPT/Architect) e são aplicados em cada instância Clone.</w:t>
      </w:r>
    </w:p>
    <w:tbl>
      <w:tblPr>
        <w:tblW w:type="dxa" w:w="8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550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Nome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Garantia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IT-1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Origem Verificável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Todo documento governado tem origem rastreada e verificável.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IT-2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Apenas Hashes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Nenhum conteúdo é armazenado pelo sistema. Apenas hashes criptográficos.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IT-3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Registro Imutável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Decisões humanas são registradas de forma imutável no Forensic Ledger.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IT-4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Append-Only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O Ledger é append-only. Nenhuma entrada pode ser editada ou removida.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IT-5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Timestamps Autoritativos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Timestamps são autoritativos e não-repudiáveis.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IT-6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Selos Verificáveis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Selos de Virtude são verificáveis por terceiros independentes.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IT-7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Falhas Visíveis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Falhas de verificação são visíveis, nunca ocultas. Fail-open para transparecer.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IT-8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Auditoria Externa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Auditoria externa é sempre possível. O sistema não impede inspeção.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IT-9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I9 Técnico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Nenhum agente pode escalar sua própria autonomia via código, configuração, ou exploit.</w:t>
            </w:r>
          </w:p>
        </w:tc>
      </w:tr>
    </w:tbl>
    <w:p>
      <w:pPr>
        <w:spacing w:after="100"/>
      </w:pPr>
    </w:p>
    <w:p>
      <w:pPr>
        <w:pStyle w:val="Heading2"/>
        <w:spacing w:before="360" w:after="180"/>
      </w:pPr>
      <w:r>
        <w:rPr>
          <w:rFonts w:ascii="Georgia" w:cs="Georgia" w:eastAsia="Georgia" w:hAnsi="Georgia"/>
          <w:b/>
          <w:bCs/>
          <w:color w:val="2D2D44"/>
          <w:sz w:val="25"/>
          <w:szCs w:val="25"/>
        </w:rPr>
        <w:t xml:space="preserve">3.3 Mapa de Correspondência IC ↔ IT</w:t>
      </w:r>
    </w:p>
    <w:p>
      <w:pPr>
        <w:spacing w:after="160" w:line="3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Os dois registros não são redundantes. Eles operam em dimensões diferentes e se reforçam mutuamente. O mapa abaixo mostra como cada IC é implementado tecnicamente por um ou mais ITs, e como cada IT é fundamentado constitucionalmente.</w:t>
      </w:r>
    </w:p>
    <w:tbl>
      <w:tblPr>
        <w:tblW w:type="dxa" w:w="8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10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Constitucional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Técnico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Relação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IC-1 Soberania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IT-3, IT-9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Registro imutável de decisões humanas (IT-3) é a prova técnica da soberania (IC-1). Proibição de escalação (IT-9) é a implementação de I9.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IC-2 Não-Opacidade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IT-6, IT-8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Selos verificáveis (IT-6) e auditoria externa (IT-8) garantem que nada é opaco.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IC-3 Transparência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IT-7, IT-8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Falhas visíveis (IT-7) e auditoria aberta (IT-8) implementam a transparência.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IC-4 Jurisdição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IT-1, IT-2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Origem verificável (IT-1) e armazenamento apenas de hashes (IT-2) definem os limites operacionais.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IC-5 Não-Fabricação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IT-2, IT-5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Sem conteúdo armazenado (IT-2) e timestamps autoritativos (IT-5) impedem fabricação.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IC-6 Conflitos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IT-7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Falhas visíveis (IT-7) garantem que conflitos não são ocultados.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IC-7 Institucional.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IT-4, IT-6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Ledger append-only (IT-4) e selos verificáveis (IT-6) servem princípios, não pessoas.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IC-8 Profundidade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IT-8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Auditoria externa (IT-8) protege o direito de questionar.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IC-9 Autonomia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IT-9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Correspondência direta. IRREMEDÁVEL em ambos os registros.</w:t>
            </w:r>
          </w:p>
        </w:tc>
      </w:tr>
    </w:tbl>
    <w:p>
      <w:pPr>
        <w:spacing w:after="100"/>
      </w:pPr>
    </w:p>
    <w:p>
      <w:pPr>
        <w:spacing w:after="160" w:line="320"/>
        <w:jc w:val="both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Princípio fundamental: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um IC sem IT correspondente é apenas filosofia. Um IT sem IC correspondente é apenas código. A força do WINDI está na correspondência: cada princípio tem implementação, cada implementação tem fundamento.</w:t>
      </w:r>
    </w:p>
    <w:p>
      <w:pPr>
        <w:spacing w:before="280" w:after="280"/>
        <w:jc w:val="center"/>
      </w:pPr>
      <w:r>
        <w:rPr>
          <w:rFonts w:ascii="Georgia" w:cs="Georgia" w:eastAsia="Georgia" w:hAnsi="Georgia"/>
          <w:color w:val="C9A84C"/>
          <w:sz w:val="20"/>
          <w:szCs w:val="20"/>
        </w:rPr>
        <w:t xml:space="preserve">─────  ✦  ─────</w:t>
      </w:r>
    </w:p>
    <w:p>
      <w:pPr>
        <w:pStyle w:val="Heading1"/>
        <w:spacing w:before="500" w:after="240"/>
      </w:pPr>
      <w:r>
        <w:rPr>
          <w:rFonts w:ascii="Georgia" w:cs="Georgia" w:eastAsia="Georgia" w:hAnsi="Georgia"/>
          <w:b/>
          <w:bCs/>
          <w:color w:val="1A1A2E"/>
          <w:sz w:val="30"/>
          <w:szCs w:val="30"/>
        </w:rPr>
        <w:t xml:space="preserve">4. Mapa de Referência Cruzada</w:t>
      </w:r>
    </w:p>
    <w:p>
      <w:pPr>
        <w:spacing w:after="160" w:line="3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Este mapa mostra onde cada conceito fundamental do WINDI aparece nos três documentos, permitindo rastrear qualquer princípio desde sua fundamentação filosófica até sua implementação técnica.</w:t>
      </w:r>
    </w:p>
    <w:tbl>
      <w:tblPr>
        <w:tblW w:type="dxa" w:w="8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10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Conceito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L1 — Alma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L2 — Corpo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L3 — Contrato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Soberania Humana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Art. III, Epílogo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Art. I §1.1, Art. VI §6.2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Art. II (I9), Conduct: absolute_prohibitions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Três Princípios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Art. II (Finalidade)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Art. II §2.1–2.3 (completo)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— (implícito via L2)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Zero-Knowledge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Art. IV (completo)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Art. IV §4.3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Art. IV, config: governance_policy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Virtue Receipt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Art. VII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Art. VII §7.1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Conduct: decision_recorded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Forensic Ledger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Art. VII (3 camadas)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Art. VII §7.2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data/ledger.db, data/receipts/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Sociedade dos Agents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Art. I §1.3 (tabela 8 agents)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agents/ (sentinel, maestro, reporter)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Classificação L/M/H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Art. IV §4.1 (tabela)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config: governance_policy thresholds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8 Camadas Clone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Art. IV §4.2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Estrutura diretórios /opt/windi-clone/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Pérolas Epistemológicas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Art. III §3.3 (P1–P10)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— (fundamentam L1/L2)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ISP 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Art. IV (implícito)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expression/isp/client_profile.json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Degradação Offline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Art. VIII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core/ opera localmente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Não-Competição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Art. IX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— (fundamentado em L1)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Intervenção e Flow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Art. VI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Conduct: flag_presentation (R0–R5)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Linguagem/Conduta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Art. 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Conduct: personality, system_messages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Revisão Constitucional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Art. 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Art. IX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Art. V (atualizações), Art. VI (revogação)</w:t>
            </w:r>
          </w:p>
        </w:tc>
      </w:tr>
    </w:tbl>
    <w:p>
      <w:pPr>
        <w:spacing w:before="280" w:after="280"/>
        <w:jc w:val="center"/>
      </w:pPr>
      <w:r>
        <w:rPr>
          <w:rFonts w:ascii="Georgia" w:cs="Georgia" w:eastAsia="Georgia" w:hAnsi="Georgia"/>
          <w:color w:val="C9A84C"/>
          <w:sz w:val="20"/>
          <w:szCs w:val="20"/>
        </w:rPr>
        <w:t xml:space="preserve">─────  ✦  ─────</w:t>
      </w:r>
    </w:p>
    <w:p>
      <w:pPr>
        <w:pStyle w:val="Heading1"/>
        <w:spacing w:before="500" w:after="240"/>
      </w:pPr>
      <w:r>
        <w:rPr>
          <w:rFonts w:ascii="Georgia" w:cs="Georgia" w:eastAsia="Georgia" w:hAnsi="Georgia"/>
          <w:b/>
          <w:bCs/>
          <w:color w:val="1A1A2E"/>
          <w:sz w:val="30"/>
          <w:szCs w:val="30"/>
        </w:rPr>
        <w:t xml:space="preserve">5. Notas de Harmonização</w:t>
      </w:r>
    </w:p>
    <w:p>
      <w:pPr>
        <w:spacing w:after="160" w:line="3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Os seguintes pontos foram identificados durante a criação deste Index e resolvidos formalmente:</w:t>
      </w:r>
    </w:p>
    <w:p>
      <w:pPr>
        <w:pStyle w:val="Heading2"/>
        <w:spacing w:before="360" w:after="180"/>
      </w:pPr>
      <w:r>
        <w:rPr>
          <w:rFonts w:ascii="Georgia" w:cs="Georgia" w:eastAsia="Georgia" w:hAnsi="Georgia"/>
          <w:b/>
          <w:bCs/>
          <w:color w:val="2D2D44"/>
          <w:sz w:val="25"/>
          <w:szCs w:val="25"/>
        </w:rPr>
        <w:t xml:space="preserve">5.1 R0–R1 e o Princípio auto_apply</w:t>
      </w:r>
    </w:p>
    <w:p>
      <w:pPr>
        <w:spacing w:after="160" w:line="3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 Plano de Clonagem (L3) define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R0_R1: auto_approve: True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no agent_conduct.yaml. A Constituição do Agent (L1), Artigo III, diz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“Nenhum flag de auto_apply.”</w:t>
      </w:r>
    </w:p>
    <w:p>
      <w:pPr>
        <w:spacing w:after="160" w:line="320"/>
        <w:jc w:val="both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Resolução: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Não há conflito. Para R0–R1, o Agent não toma uma “decisão” — ele registra silenciosamente sem interromper o humano. Isso é observação passível, não aprovação ativa. O humano não é bypass ado porque não há decisão de governança a ser tomada em R0–R1. Recomendação: renomear </w:t>
      </w:r>
      <w:r>
        <w:rPr>
          <w:rFonts w:ascii="Calibri" w:cs="Calibri" w:eastAsia="Calibri" w:hAnsi="Calibri"/>
          <w:i/>
          <w:iCs/>
          <w:color w:val="333333"/>
          <w:sz w:val="22"/>
          <w:szCs w:val="22"/>
        </w:rPr>
        <w:t xml:space="preserve">auto_approve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para </w:t>
      </w:r>
      <w:r>
        <w:rPr>
          <w:rFonts w:ascii="Calibri" w:cs="Calibri" w:eastAsia="Calibri" w:hAnsi="Calibri"/>
          <w:b/>
          <w:bCs/>
          <w:i/>
          <w:iCs/>
          <w:color w:val="333333"/>
          <w:sz w:val="22"/>
          <w:szCs w:val="22"/>
        </w:rPr>
        <w:t xml:space="preserve">silent_log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no yaml para eliminar ambiguidade semântica.</w:t>
      </w:r>
    </w:p>
    <w:p>
      <w:pPr>
        <w:pStyle w:val="Heading2"/>
        <w:spacing w:before="360" w:after="180"/>
      </w:pPr>
      <w:r>
        <w:rPr>
          <w:rFonts w:ascii="Georgia" w:cs="Georgia" w:eastAsia="Georgia" w:hAnsi="Georgia"/>
          <w:b/>
          <w:bCs/>
          <w:color w:val="2D2D44"/>
          <w:sz w:val="25"/>
          <w:szCs w:val="25"/>
        </w:rPr>
        <w:t xml:space="preserve">5.2 Nomenclatura dos Invariantes</w:t>
      </w:r>
    </w:p>
    <w:p>
      <w:pPr>
        <w:spacing w:after="160" w:line="3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Os Invariantes Constitucionais (IC-1 a IC-9) e os Invariantes Técnicos (IT-1 a IT-9) usam agora prefixos distintos para evitar confusão. Em documentos futuros, qualquer referência a “Invariante I1” sem prefixo deve ser entendida como IC-1 (Constitucional), por precedência hierárquica.</w:t>
      </w:r>
    </w:p>
    <w:p>
      <w:pPr>
        <w:pStyle w:val="Heading2"/>
        <w:spacing w:before="360" w:after="180"/>
      </w:pPr>
      <w:r>
        <w:rPr>
          <w:rFonts w:ascii="Georgia" w:cs="Georgia" w:eastAsia="Georgia" w:hAnsi="Georgia"/>
          <w:b/>
          <w:bCs/>
          <w:color w:val="2D2D44"/>
          <w:sz w:val="25"/>
          <w:szCs w:val="25"/>
        </w:rPr>
        <w:t xml:space="preserve">5.3 Artigos Exclusivos de Cada Camada</w:t>
      </w:r>
    </w:p>
    <w:p>
      <w:pPr>
        <w:spacing w:after="160" w:line="3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Alguns artigos existem em apenas uma camada. Isso é intencional, não é lacuna:</w:t>
      </w:r>
    </w:p>
    <w:p>
      <w:pPr>
        <w:spacing w:after="140" w:line="320"/>
        <w:ind w:left="280"/>
        <w:jc w:val="both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Degradação Offline (L1, Art. VIII): 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Exclusivo da alma porque é um princípio de conduta (honestidade sob limitação), não uma especificação técnica.</w:t>
      </w:r>
    </w:p>
    <w:p>
      <w:pPr>
        <w:spacing w:after="140" w:line="320"/>
        <w:ind w:left="280"/>
        <w:jc w:val="both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Não-Competição (L1, Art. IX): 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Exclusivo da alma porque define caráter, não funcionalidade.</w:t>
      </w:r>
    </w:p>
    <w:p>
      <w:pPr>
        <w:spacing w:after="140" w:line="320"/>
        <w:ind w:left="280"/>
        <w:jc w:val="both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Sociedade dos Agents (L2, Art. I §1.3): 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Exclusivo do corpo técnico porque lista os 8 agents específicos do Clone Light.</w:t>
      </w:r>
    </w:p>
    <w:p>
      <w:pPr>
        <w:spacing w:after="140" w:line="320"/>
        <w:ind w:left="280"/>
        <w:jc w:val="both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8 Camadas (L2, Art. IV §4.2): 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Exclusivo do corpo técnico porque detalha a arquitetura específica do produto.</w:t>
      </w:r>
    </w:p>
    <w:p>
      <w:pPr>
        <w:spacing w:after="140" w:line="320"/>
        <w:ind w:left="280"/>
        <w:jc w:val="both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Fase de Clonagem (L3): 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Exclusivo do contrato porque define engenharia de replicação, não princípios.</w:t>
      </w:r>
    </w:p>
    <w:p>
      <w:pPr>
        <w:pStyle w:val="Heading2"/>
        <w:spacing w:before="360" w:after="180"/>
      </w:pPr>
      <w:r>
        <w:rPr>
          <w:rFonts w:ascii="Georgia" w:cs="Georgia" w:eastAsia="Georgia" w:hAnsi="Georgia"/>
          <w:b/>
          <w:bCs/>
          <w:color w:val="2D2D44"/>
          <w:sz w:val="25"/>
          <w:szCs w:val="25"/>
        </w:rPr>
        <w:t xml:space="preserve">5.4 O Quinto Pilar — Ética Simbólica</w:t>
      </w:r>
    </w:p>
    <w:p>
      <w:pPr>
        <w:spacing w:after="160" w:line="3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Durante a forja desta Constituição, emergiu um conceito que ainda não foi canonizado: a Ética Simbólica — o compromisso de que toda comunicação subliminar emitida pelo sistema serve ao despertar da consciência, nunca à sua captura. Este conceito está em maturação e poderá ser incorporado como emenda futura à Constituição do Agent (L1).</w:t>
      </w:r>
    </w:p>
    <w:p>
      <w:pPr>
        <w:spacing w:after="160" w:line="320"/>
        <w:jc w:val="both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Status: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Em deliberação. Requer convergência dos Três Dragões para canonização.</w:t>
      </w:r>
    </w:p>
    <w:p>
      <w:pPr>
        <w:spacing w:before="280" w:after="280"/>
        <w:jc w:val="center"/>
      </w:pPr>
      <w:r>
        <w:rPr>
          <w:rFonts w:ascii="Georgia" w:cs="Georgia" w:eastAsia="Georgia" w:hAnsi="Georgia"/>
          <w:color w:val="C9A84C"/>
          <w:sz w:val="20"/>
          <w:szCs w:val="20"/>
        </w:rPr>
        <w:t xml:space="preserve">─────  ✦  ─────</w:t>
      </w:r>
    </w:p>
    <w:p>
      <w:pPr>
        <w:pStyle w:val="Heading1"/>
        <w:spacing w:before="500" w:after="240"/>
      </w:pPr>
      <w:r>
        <w:rPr>
          <w:rFonts w:ascii="Georgia" w:cs="Georgia" w:eastAsia="Georgia" w:hAnsi="Georgia"/>
          <w:b/>
          <w:bCs/>
          <w:color w:val="1A1A2E"/>
          <w:sz w:val="30"/>
          <w:szCs w:val="30"/>
        </w:rPr>
        <w:t xml:space="preserve">6. Protocolo de Resolução de Conflitos</w:t>
      </w:r>
    </w:p>
    <w:p>
      <w:pPr>
        <w:spacing w:after="160" w:line="3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Quando um conflito entre documentos constitucionais for identificado:</w:t>
      </w:r>
    </w:p>
    <w:p>
      <w:pPr>
        <w:spacing w:after="140" w:line="320"/>
        <w:ind w:left="280"/>
        <w:jc w:val="both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Passo 1. 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Identificar em qual camada cada posição está fundamentada (L1, L2 ou L3).</w:t>
      </w:r>
    </w:p>
    <w:p>
      <w:pPr>
        <w:spacing w:after="140" w:line="320"/>
        <w:ind w:left="280"/>
        <w:jc w:val="both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Passo 2. 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 camada superior prevalece. L1 &gt; L2 &gt; L3.</w:t>
      </w:r>
    </w:p>
    <w:p>
      <w:pPr>
        <w:spacing w:after="140" w:line="320"/>
        <w:ind w:left="280"/>
        <w:jc w:val="both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Passo 3. 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Se ambas as posições estão na mesma camada, o conflito é escalado ao Chief Governance Officer para decisão humana.</w:t>
      </w:r>
    </w:p>
    <w:p>
      <w:pPr>
        <w:spacing w:after="140" w:line="320"/>
        <w:ind w:left="280"/>
        <w:jc w:val="both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Passo 4. 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 resolução é documentada como Nota de Harmonização neste Index.</w:t>
      </w:r>
    </w:p>
    <w:p>
      <w:pPr>
        <w:spacing w:after="140" w:line="320"/>
        <w:ind w:left="280"/>
        <w:jc w:val="both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Passo 5. 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Um Virtue Receipt é gerado para a resolução.</w:t>
      </w:r>
    </w:p>
    <w:p>
      <w:pPr>
        <w:spacing w:after="160" w:line="320"/>
        <w:jc w:val="both"/>
      </w:pPr>
      <w:r>
        <w:rPr>
          <w:rFonts w:ascii="Calibri" w:cs="Calibri" w:eastAsia="Calibri" w:hAnsi="Calibri"/>
          <w:b/>
          <w:bCs/>
          <w:color w:val="8B2500"/>
          <w:sz w:val="22"/>
          <w:szCs w:val="22"/>
        </w:rPr>
        <w:t xml:space="preserve">Exceção absoluta: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Nenhum protocolo de resolução pode alterar IC-9/IT-9. Se um conflito envolve a Proibição de Escalação de Autonomia, a resposta é sempre: manter a proibição.</w:t>
      </w:r>
    </w:p>
    <w:p>
      <w:pPr>
        <w:spacing w:before="280" w:after="280"/>
        <w:jc w:val="center"/>
      </w:pPr>
      <w:r>
        <w:rPr>
          <w:rFonts w:ascii="Georgia" w:cs="Georgia" w:eastAsia="Georgia" w:hAnsi="Georgia"/>
          <w:color w:val="C9A84C"/>
          <w:sz w:val="20"/>
          <w:szCs w:val="20"/>
        </w:rPr>
        <w:t xml:space="preserve">─────  ✦  ─────</w:t>
      </w:r>
    </w:p>
    <w:p>
      <w:pPr>
        <w:pStyle w:val="Heading1"/>
        <w:spacing w:before="500" w:after="240"/>
      </w:pPr>
      <w:r>
        <w:rPr>
          <w:rFonts w:ascii="Georgia" w:cs="Georgia" w:eastAsia="Georgia" w:hAnsi="Georgia"/>
          <w:b/>
          <w:bCs/>
          <w:color w:val="1A1A2E"/>
          <w:sz w:val="30"/>
          <w:szCs w:val="30"/>
        </w:rPr>
        <w:t xml:space="preserve">7. Registro de Documentos Canônicos</w:t>
      </w:r>
    </w:p>
    <w:tbl>
      <w:tblPr>
        <w:tblW w:type="dxa" w:w="8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400"/>
        <w:gridCol w:w="1200"/>
        <w:gridCol w:w="170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Documento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Constituição do WINDI 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1.0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08 Fev 2026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L1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SELADA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Clone Light Constitution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1.0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08 Fev 2026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L2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SELADA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Plano de Clonagem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1.0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08 Fev 2026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L3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SELADA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Constitutional Index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1.0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08 Fev 2026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Meta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SELADA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WINDI Core Constitution (8I+8G+10P)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1.0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19 Jan 2026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Marco Zero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FUNDACIONAL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CommSpec v0.9 (Clone Light)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0.9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08 Fev 2026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Ref. Téc.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CONGELADA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Ética Simbólica (Quinto Pilar)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L1 (fut.)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EM MATURAÇÃO</w:t>
            </w:r>
          </w:p>
        </w:tc>
      </w:tr>
    </w:tbl>
    <w:p>
      <w:pPr>
        <w:spacing w:before="280" w:after="280"/>
        <w:jc w:val="center"/>
      </w:pPr>
      <w:r>
        <w:rPr>
          <w:rFonts w:ascii="Georgia" w:cs="Georgia" w:eastAsia="Georgia" w:hAnsi="Georgia"/>
          <w:color w:val="C9A84C"/>
          <w:sz w:val="20"/>
          <w:szCs w:val="20"/>
        </w:rPr>
        <w:t xml:space="preserve">─────  ✦  ─────</w:t>
      </w:r>
    </w:p>
    <w:p>
      <w:pPr>
        <w:spacing w:after="100"/>
      </w:pPr>
    </w:p>
    <w:p>
      <w:pPr>
        <w:spacing w:after="200"/>
        <w:jc w:val="center"/>
      </w:pPr>
      <w:r>
        <w:rPr>
          <w:rFonts w:ascii="Georgia" w:cs="Georgia" w:eastAsia="Georgia" w:hAnsi="Georgia"/>
          <w:color w:val="C9A84C"/>
          <w:sz w:val="36"/>
          <w:szCs w:val="36"/>
        </w:rPr>
        <w:t xml:space="preserve">✦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C9A84C"/>
          <w:spacing w:val="80"/>
          <w:sz w:val="17"/>
          <w:szCs w:val="17"/>
        </w:rPr>
        <w:t xml:space="preserve">WINDI CONSTITUTIONAL INDEX  —  v1.0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AAAAAA"/>
          <w:spacing w:val="200"/>
          <w:sz w:val="15"/>
          <w:szCs w:val="15"/>
        </w:rPr>
        <w:t xml:space="preserve">CANÔNICO  —  SELADO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Forjado pelos Três Dragões, selado pelo Human Dragon</w:t>
      </w:r>
    </w:p>
    <w:p>
      <w:pPr>
        <w:jc w:val="center"/>
      </w:pPr>
      <w:r>
        <w:rPr>
          <w:rFonts w:ascii="Georgia" w:cs="Georgia" w:eastAsia="Georgia" w:hAnsi="Georgia"/>
          <w:i/>
          <w:iCs/>
          <w:color w:val="1A1A2E"/>
          <w:sz w:val="22"/>
          <w:szCs w:val="22"/>
        </w:rPr>
        <w:t xml:space="preserve">“AI processes. Human decides. WINDI guarantees.”</w:t>
      </w:r>
    </w:p>
    <w:sectPr>
      <w:headerReference w:type="default" r:id="rId6"/>
      <w:footerReference w:type="default" r:id="rId7"/>
      <w:pgSz w:w="11906" w:h="16838" w:orient="portrait"/>
      <w:pgMar w:top="1600" w:right="1600" w:bottom="1600" w:left="1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AAAAAA"/>
        <w:sz w:val="15"/>
        <w:szCs w:val="15"/>
      </w:rPr>
      <w:t xml:space="preserve">“AI processes. Human decides. WINDI guarantees.”  —  </w:t>
    </w:r>
    <w:r>
      <w:rPr>
        <w:rFonts w:ascii="Calibri" w:cs="Calibri" w:eastAsia="Calibri" w:hAnsi="Calibri"/>
        <w:color w:val="AAAAA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AAAAAA"/>
        <w:sz w:val="16"/>
        <w:szCs w:val="16"/>
      </w:rPr>
      <w:t xml:space="preserve">WINDI Constitutional Index  —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500" w:after="240"/>
      <w:outlineLvl w:val="0"/>
    </w:pPr>
    <w:rPr>
      <w:rFonts w:ascii="Georgia" w:cs="Georgia" w:eastAsia="Georgia" w:hAnsi="Georgia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Georgia" w:cs="Georgia" w:eastAsia="Georgia" w:hAnsi="Georgia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2026-02-08T23:01:09.617Z</dcterms:created>
  <dcterms:modified xsi:type="dcterms:W3CDTF">2026-02-08T23:01:09.619Z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