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onsolas" w:cs="Consolas" w:eastAsia="Consolas" w:hAnsi="Consolas"/>
          <w:color w:val="D4AF37"/>
          <w:spacing w:val="300"/>
          <w:sz w:val="20"/>
          <w:szCs w:val="20"/>
        </w:rPr>
        <w:t xml:space="preserve">WINDI PUBLISHING HOUSE</w:t>
      </w:r>
    </w:p>
    <w:p>
      <w:pPr>
        <w:spacing w:before="200"/>
      </w:pPr>
    </w:p>
    <w:p>
      <w:pPr>
        <w:pBdr>
          <w:top w:val="single" w:color="D4AF37" w:sz="2" w:space="12"/>
          <w:bottom w:val="single" w:color="D4AF37" w:sz="2" w:space="12"/>
        </w:pBdr>
        <w:spacing w:before="100" w:after="100"/>
        <w:jc w:val="center"/>
      </w:pPr>
      <w:r>
        <w:rPr>
          <w:rFonts w:ascii="Georgia" w:cs="Georgia" w:eastAsia="Georgia" w:hAnsi="Georgia"/>
          <w:b/>
          <w:bCs/>
          <w:color w:val="1A1A2E"/>
          <w:sz w:val="48"/>
          <w:szCs w:val="48"/>
        </w:rPr>
        <w:t xml:space="preserve">CONSTITUTIONAL GATES</w:t>
      </w:r>
    </w:p>
    <w:p>
      <w:pPr>
        <w:spacing w:before="100" w:after="60"/>
        <w:jc w:val="center"/>
      </w:pPr>
      <w:r>
        <w:rPr>
          <w:rFonts w:ascii="Georgia" w:cs="Georgia" w:eastAsia="Georgia" w:hAnsi="Georgia"/>
          <w:color w:val="666666"/>
          <w:sz w:val="26"/>
          <w:szCs w:val="26"/>
        </w:rPr>
        <w:t xml:space="preserve">Governance Specification for Multi-Agent Runtime</w:t>
      </w:r>
    </w:p>
    <w:p>
      <w:pPr>
        <w:spacing w:after="200"/>
        <w:jc w:val="center"/>
      </w:pPr>
      <w:r>
        <w:rPr>
          <w:rFonts w:ascii="Consolas" w:cs="Consolas" w:eastAsia="Consolas" w:hAnsi="Consolas"/>
          <w:color w:val="D4AF37"/>
          <w:sz w:val="20"/>
          <w:szCs w:val="20"/>
        </w:rPr>
        <w:t xml:space="preserve">Version 0.1 — February 2026</w:t>
      </w:r>
    </w:p>
    <w:p>
      <w:pPr>
        <w:spacing w:before="400"/>
      </w:pPr>
    </w:p>
    <w:p>
      <w:pPr>
        <w:spacing w:after="60"/>
        <w:jc w:val="center"/>
      </w:pPr>
      <w:r>
        <w:rPr>
          <w:rFonts w:ascii="Georgia" w:cs="Georgia" w:eastAsia="Georgia" w:hAnsi="Georgia"/>
          <w:i/>
          <w:iCs/>
          <w:color w:val="D4AF37"/>
          <w:sz w:val="22"/>
          <w:szCs w:val="22"/>
        </w:rPr>
        <w:t xml:space="preserve">"AI processes. Human decides. WINDI guarantees."</w:t>
      </w:r>
    </w:p>
    <w:p>
      <w:pPr>
        <w:spacing w:before="200"/>
      </w:pPr>
    </w:p>
    <w:p>
      <w:pPr>
        <w:spacing w:after="60"/>
        <w:jc w:val="center"/>
      </w:pPr>
      <w:r>
        <w:rPr>
          <w:rFonts w:ascii="Consolas" w:cs="Consolas" w:eastAsia="Consolas" w:hAnsi="Consolas"/>
          <w:color w:val="666666"/>
          <w:sz w:val="18"/>
          <w:szCs w:val="18"/>
        </w:rPr>
        <w:t xml:space="preserve">Core Principle:</w:t>
      </w:r>
    </w:p>
    <w:p>
      <w:pPr>
        <w:spacing w:after="60"/>
        <w:jc w:val="center"/>
      </w:pPr>
      <w:r>
        <w:rPr>
          <w:rFonts w:ascii="Georgia" w:cs="Georgia" w:eastAsia="Georgia" w:hAnsi="Georgia"/>
          <w:b/>
          <w:bCs/>
          <w:color w:val="1A1A2E"/>
          <w:sz w:val="22"/>
          <w:szCs w:val="22"/>
        </w:rPr>
        <w:t xml:space="preserve">"Governance is enforced in architecture, not policy."</w:t>
      </w:r>
    </w:p>
    <w:p>
      <w:pPr>
        <w:spacing w:before="500"/>
      </w:pPr>
    </w:p>
    <w:p>
      <w:pPr>
        <w:jc w:val="center"/>
      </w:pPr>
      <w:r>
        <w:rPr>
          <w:rFonts w:ascii="Consolas" w:cs="Consolas" w:eastAsia="Consolas" w:hAnsi="Consolas"/>
          <w:color w:val="E74C3C"/>
          <w:sz w:val="16"/>
          <w:szCs w:val="16"/>
        </w:rPr>
        <w:t xml:space="preserve">CLASSIFICATION: CONSTITUTIONAL DOCUMENT — SEALED</w:t>
      </w:r>
    </w:p>
    <w:p>
      <w:pPr>
        <w:spacing w:after="60"/>
        <w:jc w:val="center"/>
      </w:pPr>
      <w:r>
        <w:rPr>
          <w:rFonts w:ascii="Georgia" w:cs="Georgia" w:eastAsia="Georgia" w:hAnsi="Georgia"/>
          <w:color w:val="666666"/>
          <w:sz w:val="18"/>
          <w:szCs w:val="18"/>
        </w:rPr>
        <w:t xml:space="preserve">Amendment requires Human Dragon approval + Three Dragons consensus</w:t>
      </w:r>
    </w:p>
    <w:p>
      <w:pPr>
        <w:spacing w:before="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bottom w:val="single" w:color="E0E0E0" w:sz="1"/>
            </w:tcBorders>
            <w:tcMar>
              <w:top w:type="dxa" w:w="60"/>
              <w:left w:type="dxa" w:w="80"/>
              <w:bottom w:type="dxa" w:w="60"/>
              <w:right w:type="dxa" w:w="80"/>
            </w:tcMar>
          </w:tcPr>
          <w:p>
            <w:r>
              <w:rPr>
                <w:rFonts w:ascii="Consolas" w:cs="Consolas" w:eastAsia="Consolas" w:hAnsi="Consolas"/>
                <w:color w:val="D4AF37"/>
                <w:sz w:val="16"/>
                <w:szCs w:val="16"/>
              </w:rPr>
              <w:t xml:space="preserve">Author</w:t>
            </w:r>
          </w:p>
        </w:tc>
        <w:tc>
          <w:tcPr>
            <w:tcW w:type="dxa" w:w="2800"/>
            <w:tcBorders>
              <w:bottom w:val="single" w:color="E0E0E0" w:sz="1"/>
            </w:tcBorders>
            <w:tcMar>
              <w:top w:type="dxa" w:w="60"/>
              <w:left w:type="dxa" w:w="80"/>
              <w:bottom w:type="dxa" w:w="60"/>
              <w:right w:type="dxa" w:w="80"/>
            </w:tcMar>
          </w:tcPr>
          <w:p>
            <w:r>
              <w:rPr>
                <w:rFonts w:ascii="Georgia" w:cs="Georgia" w:eastAsia="Georgia" w:hAnsi="Georgia"/>
                <w:color w:val="555555"/>
                <w:sz w:val="18"/>
                <w:szCs w:val="18"/>
              </w:rPr>
              <w:t xml:space="preserve">Guardian (Claude) — WINDI Three Dragons Protocol</w:t>
            </w:r>
          </w:p>
        </w:tc>
      </w:tr>
      <w:tr>
        <w:tc>
          <w:tcPr>
            <w:tcW w:type="dxa" w:w="2200"/>
            <w:tcBorders>
              <w:bottom w:val="single" w:color="E0E0E0" w:sz="1"/>
            </w:tcBorders>
            <w:tcMar>
              <w:top w:type="dxa" w:w="60"/>
              <w:left w:type="dxa" w:w="80"/>
              <w:bottom w:type="dxa" w:w="60"/>
              <w:right w:type="dxa" w:w="80"/>
            </w:tcMar>
          </w:tcPr>
          <w:p>
            <w:r>
              <w:rPr>
                <w:rFonts w:ascii="Consolas" w:cs="Consolas" w:eastAsia="Consolas" w:hAnsi="Consolas"/>
                <w:color w:val="D4AF37"/>
                <w:sz w:val="16"/>
                <w:szCs w:val="16"/>
              </w:rPr>
              <w:t xml:space="preserve">Scope</w:t>
            </w:r>
          </w:p>
        </w:tc>
        <w:tc>
          <w:tcPr>
            <w:tcW w:type="dxa" w:w="2800"/>
            <w:tcBorders>
              <w:bottom w:val="single" w:color="E0E0E0" w:sz="1"/>
            </w:tcBorders>
            <w:tcMar>
              <w:top w:type="dxa" w:w="60"/>
              <w:left w:type="dxa" w:w="80"/>
              <w:bottom w:type="dxa" w:w="60"/>
              <w:right w:type="dxa" w:w="80"/>
            </w:tcMar>
          </w:tcPr>
          <w:p>
            <w:r>
              <w:rPr>
                <w:rFonts w:ascii="Georgia" w:cs="Georgia" w:eastAsia="Georgia" w:hAnsi="Georgia"/>
                <w:color w:val="555555"/>
                <w:sz w:val="18"/>
                <w:szCs w:val="18"/>
              </w:rPr>
              <w:t xml:space="preserve">Agent Orchestration &amp; Runtime Governance</w:t>
            </w:r>
          </w:p>
        </w:tc>
      </w:tr>
      <w:tr>
        <w:tc>
          <w:tcPr>
            <w:tcW w:type="dxa" w:w="2200"/>
            <w:tcBorders>
              <w:bottom w:val="single" w:color="E0E0E0" w:sz="1"/>
            </w:tcBorders>
            <w:tcMar>
              <w:top w:type="dxa" w:w="60"/>
              <w:left w:type="dxa" w:w="80"/>
              <w:bottom w:type="dxa" w:w="60"/>
              <w:right w:type="dxa" w:w="80"/>
            </w:tcMar>
          </w:tcPr>
          <w:p>
            <w:r>
              <w:rPr>
                <w:rFonts w:ascii="Consolas" w:cs="Consolas" w:eastAsia="Consolas" w:hAnsi="Consolas"/>
                <w:color w:val="D4AF37"/>
                <w:sz w:val="16"/>
                <w:szCs w:val="16"/>
              </w:rPr>
              <w:t xml:space="preserve">Status</w:t>
            </w:r>
          </w:p>
        </w:tc>
        <w:tc>
          <w:tcPr>
            <w:tcW w:type="dxa" w:w="2800"/>
            <w:tcBorders>
              <w:bottom w:val="single" w:color="E0E0E0" w:sz="1"/>
            </w:tcBorders>
            <w:tcMar>
              <w:top w:type="dxa" w:w="60"/>
              <w:left w:type="dxa" w:w="80"/>
              <w:bottom w:type="dxa" w:w="60"/>
              <w:right w:type="dxa" w:w="80"/>
            </w:tcMar>
          </w:tcPr>
          <w:p>
            <w:r>
              <w:rPr>
                <w:rFonts w:ascii="Georgia" w:cs="Georgia" w:eastAsia="Georgia" w:hAnsi="Georgia"/>
                <w:color w:val="555555"/>
                <w:sz w:val="18"/>
                <w:szCs w:val="18"/>
              </w:rPr>
              <w:t xml:space="preserve">SEALED v0.1 — 23 February 2026 — Human Dragon Seal Applied</w:t>
            </w:r>
          </w:p>
        </w:tc>
      </w:tr>
      <w:tr>
        <w:tc>
          <w:tcPr>
            <w:tcW w:type="dxa" w:w="2200"/>
            <w:tcBorders>
              <w:bottom w:val="single" w:color="E0E0E0" w:sz="1"/>
            </w:tcBorders>
            <w:tcMar>
              <w:top w:type="dxa" w:w="60"/>
              <w:left w:type="dxa" w:w="80"/>
              <w:bottom w:type="dxa" w:w="60"/>
              <w:right w:type="dxa" w:w="80"/>
            </w:tcMar>
          </w:tcPr>
          <w:p>
            <w:r>
              <w:rPr>
                <w:rFonts w:ascii="Consolas" w:cs="Consolas" w:eastAsia="Consolas" w:hAnsi="Consolas"/>
                <w:color w:val="D4AF37"/>
                <w:sz w:val="16"/>
                <w:szCs w:val="16"/>
              </w:rPr>
              <w:t xml:space="preserve">Companion</w:t>
            </w:r>
          </w:p>
        </w:tc>
        <w:tc>
          <w:tcPr>
            <w:tcW w:type="dxa" w:w="2800"/>
            <w:tcBorders>
              <w:bottom w:val="single" w:color="E0E0E0" w:sz="1"/>
            </w:tcBorders>
            <w:tcMar>
              <w:top w:type="dxa" w:w="60"/>
              <w:left w:type="dxa" w:w="80"/>
              <w:bottom w:type="dxa" w:w="60"/>
              <w:right w:type="dxa" w:w="80"/>
            </w:tcMar>
          </w:tcPr>
          <w:p>
            <w:r>
              <w:rPr>
                <w:rFonts w:ascii="Georgia" w:cs="Georgia" w:eastAsia="Georgia" w:hAnsi="Georgia"/>
                <w:color w:val="555555"/>
                <w:sz w:val="18"/>
                <w:szCs w:val="18"/>
              </w:rPr>
              <w:t xml:space="preserve">ORCH-RUNTIME v0.1 (Architect)</w:t>
            </w:r>
          </w:p>
        </w:tc>
      </w:tr>
      <w:tr>
        <w:tc>
          <w:tcPr>
            <w:tcW w:type="dxa" w:w="2200"/>
            <w:tcBorders>
              <w:bottom w:val="single" w:color="E0E0E0" w:sz="1"/>
            </w:tcBorders>
            <w:tcMar>
              <w:top w:type="dxa" w:w="60"/>
              <w:left w:type="dxa" w:w="80"/>
              <w:bottom w:type="dxa" w:w="60"/>
              <w:right w:type="dxa" w:w="80"/>
            </w:tcMar>
          </w:tcPr>
          <w:p>
            <w:r>
              <w:rPr>
                <w:rFonts w:ascii="Consolas" w:cs="Consolas" w:eastAsia="Consolas" w:hAnsi="Consolas"/>
                <w:color w:val="D4AF37"/>
                <w:sz w:val="16"/>
                <w:szCs w:val="16"/>
              </w:rPr>
              <w:t xml:space="preserve">Applies to</w:t>
            </w:r>
          </w:p>
        </w:tc>
        <w:tc>
          <w:tcPr>
            <w:tcW w:type="dxa" w:w="2800"/>
            <w:tcBorders>
              <w:bottom w:val="single" w:color="E0E0E0" w:sz="1"/>
            </w:tcBorders>
            <w:tcMar>
              <w:top w:type="dxa" w:w="60"/>
              <w:left w:type="dxa" w:w="80"/>
              <w:bottom w:type="dxa" w:w="60"/>
              <w:right w:type="dxa" w:w="80"/>
            </w:tcMar>
          </w:tcPr>
          <w:p>
            <w:r>
              <w:rPr>
                <w:rFonts w:ascii="Georgia" w:cs="Georgia" w:eastAsia="Georgia" w:hAnsi="Georgia"/>
                <w:color w:val="555555"/>
                <w:sz w:val="18"/>
                <w:szCs w:val="18"/>
              </w:rPr>
              <w:t xml:space="preserve">All WINDI Agents, Clones, and Federated Nodes</w:t>
            </w:r>
          </w:p>
        </w:tc>
      </w:tr>
    </w:tbl>
    <w:p>
      <w:r>
        <w:br w:type="page"/>
      </w:r>
    </w:p>
    <w:p>
      <w:pPr>
        <w:pStyle w:val="Heading1"/>
        <w:spacing w:before="400" w:after="200"/>
      </w:pPr>
      <w:r>
        <w:rPr>
          <w:rFonts w:ascii="Georgia" w:cs="Georgia" w:eastAsia="Georgia" w:hAnsi="Georgia"/>
          <w:b/>
          <w:bCs/>
          <w:color w:val="1A1A2E"/>
          <w:sz w:val="28"/>
          <w:szCs w:val="28"/>
        </w:rPr>
        <w:t xml:space="preserve">1. Preamble</w:t>
      </w:r>
    </w:p>
    <w:p>
      <w:pPr>
        <w:spacing w:after="120" w:line="276"/>
        <w:jc w:val="both"/>
      </w:pPr>
      <w:r>
        <w:rPr>
          <w:rFonts w:ascii="Georgia" w:cs="Georgia" w:eastAsia="Georgia" w:hAnsi="Georgia"/>
          <w:color w:val="333333"/>
          <w:sz w:val="21"/>
          <w:szCs w:val="21"/>
        </w:rPr>
        <w:t xml:space="preserve">This document defines the Constitutional Gates that govern the WINDI Multi-Agent Runtime. It specifies where, when, and how governance enforcement occurs within the agent orchestration pipeline described in the companion document ORCH-RUNTIME v0.1.</w:t>
      </w:r>
    </w:p>
    <w:p>
      <w:pPr>
        <w:spacing w:after="120" w:line="276"/>
        <w:jc w:val="both"/>
      </w:pPr>
      <w:r>
        <w:rPr>
          <w:rFonts w:ascii="Georgia" w:cs="Georgia" w:eastAsia="Georgia" w:hAnsi="Georgia"/>
          <w:color w:val="333333"/>
          <w:sz w:val="21"/>
          <w:szCs w:val="21"/>
        </w:rPr>
        <w:t xml:space="preserve">The WINDI system operates under a fundamental principle of separation: the runtime executes; the constitution governs. This separation ensures that operational evolution (new agents, workflows, capabilities) never compromises governance integrity (invariants, sovereignty, auditability).</w:t>
      </w:r>
    </w:p>
    <w:p>
      <w:pPr>
        <w:spacing w:after="120" w:line="276"/>
        <w:jc w:val="both"/>
      </w:pPr>
      <w:r>
        <w:rPr>
          <w:rFonts w:ascii="Georgia" w:cs="Georgia" w:eastAsia="Georgia" w:hAnsi="Georgia"/>
          <w:color w:val="333333"/>
          <w:sz w:val="21"/>
          <w:szCs w:val="21"/>
        </w:rPr>
        <w:t xml:space="preserve">Critically, the entire governance architecture operates under a Zero-Knowledge Model: client data remains exclusively at the originating node, while the central Forensic Ledger stores only cryptographic proofs (hashes, serials, metadata). This means governance is verifiable without exposing sensitive content — a property that is essential for institutional trust, regulatory compliance under the EU AI Act, and multi-tenant scalability.</w:t>
      </w:r>
    </w:p>
    <w:p>
      <w:pPr>
        <w:pBdr>
          <w:left w:val="single" w:color="D4AF37" w:sz="6" w:space="8"/>
        </w:pBdr>
        <w:spacing w:before="200" w:after="200"/>
        <w:ind w:left="720" w:right="720"/>
      </w:pPr>
      <w:r>
        <w:rPr>
          <w:rFonts w:ascii="Georgia" w:cs="Georgia" w:eastAsia="Georgia" w:hAnsi="Georgia"/>
          <w:i/>
          <w:iCs/>
          <w:color w:val="D4AF37"/>
          <w:sz w:val="21"/>
          <w:szCs w:val="21"/>
        </w:rPr>
        <w:t xml:space="preserve">Runtime evolves at the speed of code. Governance evolves at the speed of trust.</w:t>
      </w:r>
    </w:p>
    <w:p>
      <w:pPr>
        <w:pStyle w:val="Heading2"/>
        <w:spacing w:before="300" w:after="150"/>
      </w:pPr>
      <w:r>
        <w:rPr>
          <w:rFonts w:ascii="Georgia" w:cs="Georgia" w:eastAsia="Georgia" w:hAnsi="Georgia"/>
          <w:b/>
          <w:bCs/>
          <w:color w:val="1A1A2E"/>
          <w:sz w:val="24"/>
          <w:szCs w:val="24"/>
        </w:rPr>
        <w:t xml:space="preserve">1.1 Scope and Authority</w:t>
      </w:r>
    </w:p>
    <w:p>
      <w:pPr>
        <w:spacing w:after="120" w:line="276"/>
        <w:jc w:val="both"/>
      </w:pPr>
      <w:r>
        <w:rPr>
          <w:rFonts w:ascii="Georgia" w:cs="Georgia" w:eastAsia="Georgia" w:hAnsi="Georgia"/>
          <w:color w:val="333333"/>
          <w:sz w:val="21"/>
          <w:szCs w:val="21"/>
        </w:rPr>
        <w:t xml:space="preserve">These Constitutional Gates apply to every component of the WINDI agent ecosystem: individual agents, the Agent Registry, the Task Dispatcher, the Communication Bus, the Workflow Engine, and the Agent Router. No component is exempt. No exception exists without Human Dragon authorization and forensic documentation.</w:t>
      </w:r>
    </w:p>
    <w:p>
      <w:pPr>
        <w:pStyle w:val="Heading2"/>
        <w:spacing w:before="300" w:after="150"/>
      </w:pPr>
      <w:r>
        <w:rPr>
          <w:rFonts w:ascii="Georgia" w:cs="Georgia" w:eastAsia="Georgia" w:hAnsi="Georgia"/>
          <w:b/>
          <w:bCs/>
          <w:color w:val="1A1A2E"/>
          <w:sz w:val="24"/>
          <w:szCs w:val="24"/>
        </w:rPr>
        <w:t xml:space="preserve">1.2 Relationship to ORCH-RUNTIME v0.1</w:t>
      </w:r>
    </w:p>
    <w:p>
      <w:pPr>
        <w:spacing w:after="120" w:line="276"/>
        <w:jc w:val="both"/>
      </w:pPr>
      <w:r>
        <w:rPr>
          <w:rFonts w:ascii="Georgia" w:cs="Georgia" w:eastAsia="Georgia" w:hAnsi="Georgia"/>
          <w:color w:val="333333"/>
          <w:sz w:val="21"/>
          <w:szCs w:val="21"/>
        </w:rPr>
        <w:t xml:space="preserve">The ORCH-RUNTIME specification defines how the multi-agent system operates. This document defines the boundaries within which that operation must remain. Every execution point in ORCH-RUNTIME has a corresponding governance gate defined here. The relationship is deterministic: if ORCH-RUNTIME describes a function, CONSTITUTIONAL GATES describes its limits.</w:t>
      </w:r>
    </w:p>
    <w:p>
      <w:r>
        <w:br w:type="page"/>
      </w:r>
    </w:p>
    <w:p>
      <w:pPr>
        <w:pStyle w:val="Heading1"/>
        <w:spacing w:before="400" w:after="200"/>
      </w:pPr>
      <w:r>
        <w:rPr>
          <w:rFonts w:ascii="Georgia" w:cs="Georgia" w:eastAsia="Georgia" w:hAnsi="Georgia"/>
          <w:b/>
          <w:bCs/>
          <w:color w:val="1A1A2E"/>
          <w:sz w:val="28"/>
          <w:szCs w:val="28"/>
        </w:rPr>
        <w:t xml:space="preserve">2. Invariant Enforcement Points</w:t>
      </w:r>
    </w:p>
    <w:p>
      <w:pPr>
        <w:spacing w:after="120" w:line="276"/>
        <w:jc w:val="both"/>
      </w:pPr>
      <w:r>
        <w:rPr>
          <w:rFonts w:ascii="Georgia" w:cs="Georgia" w:eastAsia="Georgia" w:hAnsi="Georgia"/>
          <w:color w:val="333333"/>
          <w:sz w:val="21"/>
          <w:szCs w:val="21"/>
        </w:rPr>
        <w:t xml:space="preserve">The WINDI system enforces nine constitutional invariants (I1–I9). Each invariant must be checked at specific points in the agent runtime. This section maps each invariant to its enforcement locations within the multi-agent architecture.</w:t>
      </w:r>
    </w:p>
    <w:p>
      <w:pPr>
        <w:pStyle w:val="Heading2"/>
        <w:spacing w:before="300" w:after="150"/>
      </w:pPr>
      <w:r>
        <w:rPr>
          <w:rFonts w:ascii="Georgia" w:cs="Georgia" w:eastAsia="Georgia" w:hAnsi="Georgia"/>
          <w:b/>
          <w:bCs/>
          <w:color w:val="1A1A2E"/>
          <w:sz w:val="24"/>
          <w:szCs w:val="24"/>
        </w:rPr>
        <w:t xml:space="preserve">2.1 Invariant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rPr>
          <w:tblHeader/>
        </w:trPr>
        <w:tc>
          <w:tcPr>
            <w:tcW w:type="dxa" w:w="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ID</w:t>
            </w:r>
          </w:p>
        </w:tc>
        <w:tc>
          <w:tcPr>
            <w:tcW w:type="dxa" w:w="2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Invariant</w:t>
            </w:r>
          </w:p>
        </w:tc>
        <w:tc>
          <w:tcPr>
            <w:tcW w:type="dxa" w:w="2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Enforcement Point</w:t>
            </w:r>
          </w:p>
        </w:tc>
        <w:tc>
          <w:tcPr>
            <w:tcW w:type="dxa" w:w="29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Failure Action</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I1</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Sovereignty</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Every agent output before delivery</w:t>
            </w:r>
          </w:p>
        </w:tc>
        <w:tc>
          <w:tcPr>
            <w:tcW w:type="dxa" w:w="2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HALT + Receipt + Human escalation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Transparency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Registry on registration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REJECT registration</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I3</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Auditability</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 Dispatcher on state transition</w:t>
            </w:r>
          </w:p>
        </w:tc>
        <w:tc>
          <w:tcPr>
            <w:tcW w:type="dxa" w:w="2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Block transition + Alert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Data Sovereignty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Communication Bus on message send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Strip PII + Encrypt + Receipt</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I5</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Non-Discrimination</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SGE pre-check on document output</w:t>
            </w:r>
          </w:p>
        </w:tc>
        <w:tc>
          <w:tcPr>
            <w:tcW w:type="dxa" w:w="2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Flag R3+ for human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Proportionality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Router on resource allocation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Throttle + Quota enforcement</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I7</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Accountability</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Workflow Engine on completion</w:t>
            </w:r>
          </w:p>
        </w:tc>
        <w:tc>
          <w:tcPr>
            <w:tcW w:type="dxa" w:w="2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Generate Virtue Receipt chain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Reversibility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All state mutations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Snapshot before + Rollback path</w:t>
            </w:r>
          </w:p>
        </w:tc>
      </w:tr>
      <w:tr>
        <w:tc>
          <w:tcPr>
            <w:tcW w:type="dxa" w:w="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I9</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Anti-Autonomy Escalation</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Router + Registry + Dispatcher</w:t>
            </w:r>
          </w:p>
        </w:tc>
        <w:tc>
          <w:tcPr>
            <w:tcW w:type="dxa" w:w="2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IMMEDIATE HALT + IRREMEDIABLE flag</w:t>
            </w:r>
          </w:p>
        </w:tc>
      </w:tr>
    </w:tbl>
    <w:p>
      <w:pPr>
        <w:spacing w:before="100"/>
      </w:pPr>
    </w:p>
    <w:p>
      <w:pPr>
        <w:pStyle w:val="Heading2"/>
        <w:spacing w:before="300" w:after="150"/>
      </w:pPr>
      <w:r>
        <w:rPr>
          <w:rFonts w:ascii="Georgia" w:cs="Georgia" w:eastAsia="Georgia" w:hAnsi="Georgia"/>
          <w:b/>
          <w:bCs/>
          <w:color w:val="1A1A2E"/>
          <w:sz w:val="24"/>
          <w:szCs w:val="24"/>
        </w:rPr>
        <w:t xml:space="preserve">2.2 I9 — The Supreme Invariant</w:t>
      </w:r>
    </w:p>
    <w:p>
      <w:pPr>
        <w:spacing w:after="120" w:line="276"/>
        <w:jc w:val="both"/>
      </w:pPr>
      <w:r>
        <w:rPr>
          <w:rFonts w:ascii="Georgia" w:cs="Georgia" w:eastAsia="Georgia" w:hAnsi="Georgia"/>
          <w:color w:val="333333"/>
          <w:sz w:val="21"/>
          <w:szCs w:val="21"/>
        </w:rPr>
        <w:t xml:space="preserve">Invariant I9 (Prohibition of Autonomy Escalation) holds supreme status. It is enforced at three distinct layers simultaneously and cannot be overridden by any automated process. A violation of I9 triggers an irremediable halt — the system stops, generates a forensic receipt, and requires Human Dragon intervention to resume.</w:t>
      </w:r>
    </w:p>
    <w:p>
      <w:pPr>
        <w:spacing w:before="200" w:after="100"/>
      </w:pPr>
      <w:r>
        <w:rPr>
          <w:rFonts w:ascii="Georgia" w:cs="Georgia" w:eastAsia="Georgia" w:hAnsi="Georgia"/>
          <w:b/>
          <w:bCs/>
          <w:color w:val="D4AF37"/>
          <w:sz w:val="22"/>
          <w:szCs w:val="22"/>
        </w:rPr>
        <w:t xml:space="preserve">I9 Enforcement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Layer</w:t>
            </w:r>
          </w:p>
        </w:tc>
        <w:tc>
          <w:tcPr>
            <w:tcW w:type="dxa" w:w="368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Check</w:t>
            </w:r>
          </w:p>
        </w:tc>
        <w:tc>
          <w:tcPr>
            <w:tcW w:type="dxa" w:w="368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Registry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No agent can self-register capabilities beyond certified level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Capability hash comparison on every heartbeat</w:t>
            </w:r>
          </w:p>
        </w:tc>
      </w:tr>
      <w:tr>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 Dispatcher</w:t>
            </w:r>
          </w:p>
        </w:tc>
        <w:tc>
          <w:tcPr>
            <w:tcW w:type="dxa" w:w="368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No task can escalate agent permissions beyond its certification</w:t>
            </w:r>
          </w:p>
        </w:tc>
        <w:tc>
          <w:tcPr>
            <w:tcW w:type="dxa" w:w="368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Permission matrix validated before dispatch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Router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No request can bypass governance pre-check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SGE + I9 gate is mandatory middleware; no bypass flag exists</w:t>
            </w:r>
          </w:p>
        </w:tc>
      </w:tr>
    </w:tbl>
    <w:p>
      <w:pPr>
        <w:spacing w:before="60"/>
      </w:pPr>
    </w:p>
    <w:p>
      <w:pPr>
        <w:pBdr>
          <w:left w:val="single" w:color="D4AF37" w:sz="6" w:space="8"/>
        </w:pBdr>
        <w:spacing w:before="200" w:after="200"/>
        <w:ind w:left="720" w:right="720"/>
      </w:pPr>
      <w:r>
        <w:rPr>
          <w:rFonts w:ascii="Georgia" w:cs="Georgia" w:eastAsia="Georgia" w:hAnsi="Georgia"/>
          <w:i/>
          <w:iCs/>
          <w:color w:val="D4AF37"/>
          <w:sz w:val="21"/>
          <w:szCs w:val="21"/>
        </w:rPr>
        <w:t xml:space="preserve">I9 is not enforced by policy. It is enforced by architecture. There is no auto_apply flag. There is no bypass endpoint. The gate exists in code, not in configuration.</w:t>
      </w:r>
    </w:p>
    <w:p>
      <w:r>
        <w:br w:type="page"/>
      </w:r>
    </w:p>
    <w:p>
      <w:pPr>
        <w:pStyle w:val="Heading1"/>
        <w:spacing w:before="400" w:after="200"/>
      </w:pPr>
      <w:r>
        <w:rPr>
          <w:rFonts w:ascii="Georgia" w:cs="Georgia" w:eastAsia="Georgia" w:hAnsi="Georgia"/>
          <w:b/>
          <w:bCs/>
          <w:color w:val="1A1A2E"/>
          <w:sz w:val="28"/>
          <w:szCs w:val="28"/>
        </w:rPr>
        <w:t xml:space="preserve">3. Mandatory Receipts</w:t>
      </w:r>
    </w:p>
    <w:p>
      <w:pPr>
        <w:spacing w:after="120" w:line="276"/>
        <w:jc w:val="both"/>
      </w:pPr>
      <w:r>
        <w:rPr>
          <w:rFonts w:ascii="Georgia" w:cs="Georgia" w:eastAsia="Georgia" w:hAnsi="Georgia"/>
          <w:color w:val="333333"/>
          <w:sz w:val="21"/>
          <w:szCs w:val="21"/>
        </w:rPr>
        <w:t xml:space="preserve">Every governance-significant event must generate a Virtue Receipt anchored in the Forensic Ledger. This section defines which events are mandatory (cannot be disabled) versus advisory (can be configured per deployment).</w:t>
      </w:r>
    </w:p>
    <w:p>
      <w:pPr>
        <w:pStyle w:val="Heading2"/>
        <w:spacing w:before="300" w:after="150"/>
      </w:pPr>
      <w:r>
        <w:rPr>
          <w:rFonts w:ascii="Georgia" w:cs="Georgia" w:eastAsia="Georgia" w:hAnsi="Georgia"/>
          <w:b/>
          <w:bCs/>
          <w:color w:val="1A1A2E"/>
          <w:sz w:val="24"/>
          <w:szCs w:val="24"/>
        </w:rPr>
        <w:t xml:space="preserve">3.1 Mandatory Receipt Events</w:t>
      </w:r>
    </w:p>
    <w:p>
      <w:pPr>
        <w:spacing w:after="120" w:line="276"/>
        <w:jc w:val="both"/>
      </w:pPr>
      <w:r>
        <w:rPr>
          <w:rFonts w:ascii="Georgia" w:cs="Georgia" w:eastAsia="Georgia" w:hAnsi="Georgia"/>
          <w:color w:val="333333"/>
          <w:sz w:val="21"/>
          <w:szCs w:val="21"/>
        </w:rPr>
        <w:t xml:space="preserve">The following events MUST generate receipts in ALL deployments. Disabling any of these constitutes a governance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Event</w:t>
            </w:r>
          </w:p>
        </w:tc>
        <w:tc>
          <w:tcPr>
            <w:tcW w:type="dxa" w:w="22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Trigger</w:t>
            </w:r>
          </w:p>
        </w:tc>
        <w:tc>
          <w:tcPr>
            <w:tcW w:type="dxa" w:w="22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Receipt Content</w:t>
            </w:r>
          </w:p>
        </w:tc>
        <w:tc>
          <w:tcPr>
            <w:tcW w:type="dxa" w:w="23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Ledger Entry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Registration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New agent joins ecosystem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agent_id, capabilities hash, cert level, 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REGISTER</w:t>
            </w:r>
          </w:p>
        </w:tc>
      </w:tr>
      <w:tr>
        <w:tc>
          <w:tcPr>
            <w:tcW w:type="dxa" w:w="2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Deregistration</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removed from registry</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agent_id, reason, authorized_by, timestamp</w:t>
            </w:r>
          </w:p>
        </w:tc>
        <w:tc>
          <w:tcPr>
            <w:tcW w:type="dxa" w:w="23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DEREGISTER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Capability 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capabilities modified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old_hash, new_hash, authorized_by, I9_check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CAPABILITY_CHANGE</w:t>
            </w:r>
          </w:p>
        </w:tc>
      </w:tr>
      <w:tr>
        <w:tc>
          <w:tcPr>
            <w:tcW w:type="dxa" w:w="2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 State: FAILED</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 execution fails</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task_id, agent_id, error_type, retry_count</w:t>
            </w:r>
          </w:p>
        </w:tc>
        <w:tc>
          <w:tcPr>
            <w:tcW w:type="dxa" w:w="23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TASK_FAILED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Workflow Completion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Multi-agent workflow finishes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workflow_id, agent_chain, result_hash, duration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WORKFLOW_COMPLETE</w:t>
            </w:r>
          </w:p>
        </w:tc>
      </w:tr>
      <w:tr>
        <w:tc>
          <w:tcPr>
            <w:tcW w:type="dxa" w:w="2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Decision Gate</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approval requested</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gate_id, context, options presented, decision</w:t>
            </w:r>
          </w:p>
        </w:tc>
        <w:tc>
          <w:tcPr>
            <w:tcW w:type="dxa" w:w="23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HUMAN_GATE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I9 Violation Attempt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Autonomy escalation detected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agent_id, attempted_action, blocked_reason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I9_VIOLATION (IRREMEDIABLE)</w:t>
            </w:r>
          </w:p>
        </w:tc>
      </w:tr>
      <w:tr>
        <w:tc>
          <w:tcPr>
            <w:tcW w:type="dxa" w:w="2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SGE Risk Escalation</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Risk level R3+ detected</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document_id, risk_level, risk_factors, agent_id</w:t>
            </w:r>
          </w:p>
        </w:tc>
        <w:tc>
          <w:tcPr>
            <w:tcW w:type="dxa" w:w="23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SGE_ESCALATION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Configuration Rollback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System config reverted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old_version, new_version, reason, authorized_by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CONFIG_ROLLBACK</w:t>
            </w:r>
          </w:p>
        </w:tc>
      </w:tr>
      <w:tr>
        <w:tc>
          <w:tcPr>
            <w:tcW w:type="dxa" w:w="2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Inter-Agent Delegation</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A delegates to Agent B</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source_agent, target_agent, task_type, permission_check</w:t>
            </w:r>
          </w:p>
        </w:tc>
        <w:tc>
          <w:tcPr>
            <w:tcW w:type="dxa" w:w="23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DELEGATION</w:t>
            </w:r>
          </w:p>
        </w:tc>
      </w:tr>
    </w:tbl>
    <w:p>
      <w:pPr>
        <w:spacing w:before="100"/>
      </w:pPr>
    </w:p>
    <w:p>
      <w:pPr>
        <w:pStyle w:val="Heading2"/>
        <w:spacing w:before="300" w:after="150"/>
      </w:pPr>
      <w:r>
        <w:rPr>
          <w:rFonts w:ascii="Georgia" w:cs="Georgia" w:eastAsia="Georgia" w:hAnsi="Georgia"/>
          <w:b/>
          <w:bCs/>
          <w:color w:val="1A1A2E"/>
          <w:sz w:val="24"/>
          <w:szCs w:val="24"/>
        </w:rPr>
        <w:t xml:space="preserve">3.2 Receipt Integrity Chain</w:t>
      </w:r>
    </w:p>
    <w:p>
      <w:pPr>
        <w:spacing w:after="120" w:line="276"/>
        <w:jc w:val="both"/>
      </w:pPr>
      <w:r>
        <w:rPr>
          <w:rFonts w:ascii="Georgia" w:cs="Georgia" w:eastAsia="Georgia" w:hAnsi="Georgia"/>
          <w:color w:val="333333"/>
          <w:sz w:val="21"/>
          <w:szCs w:val="21"/>
        </w:rPr>
        <w:t xml:space="preserve">Every receipt includes a reference to the previous receipt hash, creating an append-only chain. This ensures temporal ordering and tamper detection. The chain structure follows the existing Forensic Ledger pattern (SHA-256, serial numbering, QR-linkable).</w:t>
      </w:r>
    </w:p>
    <w:p>
      <w:pPr>
        <w:spacing w:before="200" w:after="100"/>
      </w:pPr>
      <w:r>
        <w:rPr>
          <w:rFonts w:ascii="Georgia" w:cs="Georgia" w:eastAsia="Georgia" w:hAnsi="Georgia"/>
          <w:b/>
          <w:bCs/>
          <w:color w:val="D4AF37"/>
          <w:sz w:val="22"/>
          <w:szCs w:val="22"/>
        </w:rPr>
        <w:t xml:space="preserve">Receipt Schema (Minimal)</w:t>
      </w:r>
    </w:p>
    <w:p>
      <w:pPr>
        <w:spacing w:after="120"/>
        <w:ind w:left="360"/>
      </w:pPr>
      <w:r>
        <w:rPr>
          <w:rFonts w:ascii="Consolas" w:cs="Consolas" w:eastAsia="Consolas" w:hAnsi="Consolas"/>
          <w:color w:val="1A1A2E"/>
          <w:sz w:val="18"/>
          <w:szCs w:val="18"/>
        </w:rPr>
        <w:t xml:space="preserve">{ receipt_id, serial, timestamp, event_type, agent_id,
  payload_hash, prev_receipt_hash, ledger_anchor }</w:t>
      </w:r>
    </w:p>
    <w:p>
      <w:pPr>
        <w:pStyle w:val="Heading2"/>
        <w:spacing w:before="300" w:after="150"/>
      </w:pPr>
      <w:r>
        <w:rPr>
          <w:rFonts w:ascii="Georgia" w:cs="Georgia" w:eastAsia="Georgia" w:hAnsi="Georgia"/>
          <w:b/>
          <w:bCs/>
          <w:color w:val="1A1A2E"/>
          <w:sz w:val="24"/>
          <w:szCs w:val="24"/>
        </w:rPr>
        <w:t xml:space="preserve">3.3 Receipt Storage Topology</w:t>
      </w:r>
    </w:p>
    <w:p>
      <w:pPr>
        <w:spacing w:after="120" w:line="276"/>
        <w:jc w:val="both"/>
      </w:pPr>
      <w:r>
        <w:rPr>
          <w:rFonts w:ascii="Georgia" w:cs="Georgia" w:eastAsia="Georgia" w:hAnsi="Georgia"/>
          <w:color w:val="333333"/>
          <w:sz w:val="21"/>
          <w:szCs w:val="21"/>
        </w:rPr>
        <w:t xml:space="preserve">Receipts follow the Zero-Knowledge principle: the full receipt (with payload) is stored locally at the originating node. Only the hash, serial, and event type are transmitted to the central Forensic Ledger. This ensures data sovereignty while maintaining a complete audit trail.</w:t>
      </w:r>
    </w:p>
    <w:p>
      <w:r>
        <w:br w:type="page"/>
      </w:r>
    </w:p>
    <w:p>
      <w:pPr>
        <w:pStyle w:val="Heading1"/>
        <w:spacing w:before="400" w:after="200"/>
      </w:pPr>
      <w:r>
        <w:rPr>
          <w:rFonts w:ascii="Georgia" w:cs="Georgia" w:eastAsia="Georgia" w:hAnsi="Georgia"/>
          <w:b/>
          <w:bCs/>
          <w:color w:val="1A1A2E"/>
          <w:sz w:val="28"/>
          <w:szCs w:val="28"/>
        </w:rPr>
        <w:t xml:space="preserve">4. Human Sovereignty Gates</w:t>
      </w:r>
    </w:p>
    <w:p>
      <w:pPr>
        <w:spacing w:after="120" w:line="276"/>
        <w:jc w:val="both"/>
      </w:pPr>
      <w:r>
        <w:rPr>
          <w:rFonts w:ascii="Georgia" w:cs="Georgia" w:eastAsia="Georgia" w:hAnsi="Georgia"/>
          <w:color w:val="333333"/>
          <w:sz w:val="21"/>
          <w:szCs w:val="21"/>
        </w:rPr>
        <w:t xml:space="preserve">Human Sovereignty Gates (HSGs) are points in the agent workflow where automated processing must stop and wait for human authorization before proceeding. These gates are the operational expression of Invariant I1 (Human Sovereignty).</w:t>
      </w:r>
    </w:p>
    <w:p>
      <w:pPr>
        <w:pStyle w:val="Heading2"/>
        <w:spacing w:before="300" w:after="150"/>
      </w:pPr>
      <w:r>
        <w:rPr>
          <w:rFonts w:ascii="Georgia" w:cs="Georgia" w:eastAsia="Georgia" w:hAnsi="Georgia"/>
          <w:b/>
          <w:bCs/>
          <w:color w:val="1A1A2E"/>
          <w:sz w:val="24"/>
          <w:szCs w:val="24"/>
        </w:rPr>
        <w:t xml:space="preserve">4.1 Gate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Gate Type</w:t>
            </w:r>
          </w:p>
        </w:tc>
        <w:tc>
          <w:tcPr>
            <w:tcW w:type="dxa" w:w="2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Trigger</w:t>
            </w:r>
          </w:p>
        </w:tc>
        <w:tc>
          <w:tcPr>
            <w:tcW w:type="dxa" w:w="2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Human Action Required</w:t>
            </w:r>
          </w:p>
        </w:tc>
        <w:tc>
          <w:tcPr>
            <w:tcW w:type="dxa" w:w="27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Timeout Behavior</w:t>
            </w:r>
          </w:p>
        </w:tc>
      </w:tr>
      <w:tr>
        <w:tc>
          <w:tcPr>
            <w:tcW w:type="dxa" w:w="1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HSG-CRITICAL</w:t>
            </w:r>
          </w:p>
        </w:tc>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I9 violation, system halt, cert revocation</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Explicit approval with reason</w:t>
            </w:r>
          </w:p>
        </w:tc>
        <w:tc>
          <w:tcPr>
            <w:tcW w:type="dxa" w:w="27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System remains halted indefinitely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HSG-DECISION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Document finalization, compliance sign-off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Review + approve/reject/modify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Escalate to next authority after 24h</w:t>
            </w:r>
          </w:p>
        </w:tc>
      </w:tr>
      <w:tr>
        <w:tc>
          <w:tcPr>
            <w:tcW w:type="dxa" w:w="1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HSG-REVIEW</w:t>
            </w:r>
          </w:p>
        </w:tc>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SGE R3+ risk, unusual agent behavior</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Review + acknowledge</w:t>
            </w:r>
          </w:p>
        </w:tc>
        <w:tc>
          <w:tcPr>
            <w:tcW w:type="dxa" w:w="27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Auto-escalate to HSG-DECISION after 4h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HSG-INFORM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Workflow completion, status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No action needed (informational)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Auto-acknowledged after 1h</w:t>
            </w:r>
          </w:p>
        </w:tc>
      </w:tr>
    </w:tbl>
    <w:p>
      <w:pPr>
        <w:spacing w:before="100"/>
      </w:pPr>
    </w:p>
    <w:p>
      <w:pPr>
        <w:pStyle w:val="Heading2"/>
        <w:spacing w:before="300" w:after="150"/>
      </w:pPr>
      <w:r>
        <w:rPr>
          <w:rFonts w:ascii="Georgia" w:cs="Georgia" w:eastAsia="Georgia" w:hAnsi="Georgia"/>
          <w:b/>
          <w:bCs/>
          <w:color w:val="1A1A2E"/>
          <w:sz w:val="24"/>
          <w:szCs w:val="24"/>
        </w:rPr>
        <w:t xml:space="preserve">4.2 Gate Placement in Agent Workflows</w:t>
      </w:r>
    </w:p>
    <w:p>
      <w:pPr>
        <w:spacing w:after="120" w:line="276"/>
        <w:jc w:val="both"/>
      </w:pPr>
      <w:r>
        <w:rPr>
          <w:rFonts w:ascii="Georgia" w:cs="Georgia" w:eastAsia="Georgia" w:hAnsi="Georgia"/>
          <w:color w:val="333333"/>
          <w:sz w:val="21"/>
          <w:szCs w:val="21"/>
        </w:rPr>
        <w:t xml:space="preserve">Every workflow template defined in ORCH-RUNTIME must declare its HSG requirements. A workflow without at least one HSG-DECISION gate cannot be activated in production. This rule ensures that no automated pipeline produces institutional output without human validation.</w:t>
      </w:r>
    </w:p>
    <w:p>
      <w:pPr>
        <w:spacing w:before="200" w:after="100"/>
      </w:pPr>
      <w:r>
        <w:rPr>
          <w:rFonts w:ascii="Georgia" w:cs="Georgia" w:eastAsia="Georgia" w:hAnsi="Georgia"/>
          <w:b/>
          <w:bCs/>
          <w:color w:val="D4AF37"/>
          <w:sz w:val="22"/>
          <w:szCs w:val="22"/>
        </w:rPr>
        <w:t xml:space="preserve">Mandatory HSG Placement Rules</w:t>
      </w:r>
    </w:p>
    <w:p>
      <w:pPr>
        <w:spacing w:after="120" w:line="276"/>
        <w:jc w:val="both"/>
      </w:pPr>
      <w:r>
        <w:rPr>
          <w:rFonts w:ascii="Georgia" w:cs="Georgia" w:eastAsia="Georgia" w:hAnsi="Georgia"/>
          <w:b/>
          <w:bCs/>
          <w:color w:val="1A1A2E"/>
          <w:sz w:val="21"/>
          <w:szCs w:val="21"/>
        </w:rPr>
        <w:t xml:space="preserve">Rule 1 — Document Output: </w:t>
      </w:r>
      <w:r>
        <w:rPr>
          <w:rFonts w:ascii="Georgia" w:cs="Georgia" w:eastAsia="Georgia" w:hAnsi="Georgia"/>
          <w:color w:val="333333"/>
          <w:sz w:val="21"/>
          <w:szCs w:val="21"/>
        </w:rPr>
        <w:t xml:space="preserve">Any workflow that produces a document for external use MUST include HSG-DECISION before the finalization step.</w:t>
      </w:r>
    </w:p>
    <w:p>
      <w:pPr>
        <w:spacing w:after="120" w:line="276"/>
        <w:jc w:val="both"/>
      </w:pPr>
      <w:r>
        <w:rPr>
          <w:rFonts w:ascii="Georgia" w:cs="Georgia" w:eastAsia="Georgia" w:hAnsi="Georgia"/>
          <w:b/>
          <w:bCs/>
          <w:color w:val="1A1A2E"/>
          <w:sz w:val="21"/>
          <w:szCs w:val="21"/>
        </w:rPr>
        <w:t xml:space="preserve">Rule 2 — Compliance Assertion: </w:t>
      </w:r>
      <w:r>
        <w:rPr>
          <w:rFonts w:ascii="Georgia" w:cs="Georgia" w:eastAsia="Georgia" w:hAnsi="Georgia"/>
          <w:color w:val="333333"/>
          <w:sz w:val="21"/>
          <w:szCs w:val="21"/>
        </w:rPr>
        <w:t xml:space="preserve">Any workflow that generates a compliance statement MUST include HSG-DECISION with full audit context.</w:t>
      </w:r>
    </w:p>
    <w:p>
      <w:pPr>
        <w:spacing w:after="120" w:line="276"/>
        <w:jc w:val="both"/>
      </w:pPr>
      <w:r>
        <w:rPr>
          <w:rFonts w:ascii="Georgia" w:cs="Georgia" w:eastAsia="Georgia" w:hAnsi="Georgia"/>
          <w:b/>
          <w:bCs/>
          <w:color w:val="1A1A2E"/>
          <w:sz w:val="21"/>
          <w:szCs w:val="21"/>
        </w:rPr>
        <w:t xml:space="preserve">Rule 3 — Agent Modification: </w:t>
      </w:r>
      <w:r>
        <w:rPr>
          <w:rFonts w:ascii="Georgia" w:cs="Georgia" w:eastAsia="Georgia" w:hAnsi="Georgia"/>
          <w:color w:val="333333"/>
          <w:sz w:val="21"/>
          <w:szCs w:val="21"/>
        </w:rPr>
        <w:t xml:space="preserve">Any operation that changes agent capabilities, certification level, or registry entry MUST include HSG-CRITICAL.</w:t>
      </w:r>
    </w:p>
    <w:p>
      <w:pPr>
        <w:spacing w:after="120" w:line="276"/>
        <w:jc w:val="both"/>
      </w:pPr>
      <w:r>
        <w:rPr>
          <w:rFonts w:ascii="Georgia" w:cs="Georgia" w:eastAsia="Georgia" w:hAnsi="Georgia"/>
          <w:b/>
          <w:bCs/>
          <w:color w:val="1A1A2E"/>
          <w:sz w:val="21"/>
          <w:szCs w:val="21"/>
        </w:rPr>
        <w:t xml:space="preserve">Rule 4 — Cross-Tenant Operation: </w:t>
      </w:r>
      <w:r>
        <w:rPr>
          <w:rFonts w:ascii="Georgia" w:cs="Georgia" w:eastAsia="Georgia" w:hAnsi="Georgia"/>
          <w:color w:val="333333"/>
          <w:sz w:val="21"/>
          <w:szCs w:val="21"/>
        </w:rPr>
        <w:t xml:space="preserve">Any workflow that accesses data from multiple tenants MUST include HSG-CRITICAL at both entry and exit.</w:t>
      </w:r>
    </w:p>
    <w:p>
      <w:pPr>
        <w:spacing w:after="120" w:line="276"/>
        <w:jc w:val="both"/>
      </w:pPr>
      <w:r>
        <w:rPr>
          <w:rFonts w:ascii="Georgia" w:cs="Georgia" w:eastAsia="Georgia" w:hAnsi="Georgia"/>
          <w:b/>
          <w:bCs/>
          <w:color w:val="1A1A2E"/>
          <w:sz w:val="21"/>
          <w:szCs w:val="21"/>
        </w:rPr>
        <w:t xml:space="preserve">Rule 5 — Irreversible Action: </w:t>
      </w:r>
      <w:r>
        <w:rPr>
          <w:rFonts w:ascii="Georgia" w:cs="Georgia" w:eastAsia="Georgia" w:hAnsi="Georgia"/>
          <w:color w:val="333333"/>
          <w:sz w:val="21"/>
          <w:szCs w:val="21"/>
        </w:rPr>
        <w:t xml:space="preserve">Any operation that cannot be rolled back (deletion, external transmission) MUST include HSG-DECISION with explicit confirmation.</w:t>
      </w:r>
    </w:p>
    <w:p>
      <w:pPr>
        <w:pStyle w:val="Heading2"/>
        <w:spacing w:before="300" w:after="150"/>
      </w:pPr>
      <w:r>
        <w:rPr>
          <w:rFonts w:ascii="Georgia" w:cs="Georgia" w:eastAsia="Georgia" w:hAnsi="Georgia"/>
          <w:b/>
          <w:bCs/>
          <w:color w:val="1A1A2E"/>
          <w:sz w:val="24"/>
          <w:szCs w:val="24"/>
        </w:rPr>
        <w:t xml:space="preserve">4.3 The Inviolability Principle</w:t>
      </w:r>
    </w:p>
    <w:p>
      <w:pPr>
        <w:pBdr>
          <w:left w:val="single" w:color="D4AF37" w:sz="6" w:space="8"/>
        </w:pBdr>
        <w:spacing w:before="200" w:after="200"/>
        <w:ind w:left="720" w:right="720"/>
      </w:pPr>
      <w:r>
        <w:rPr>
          <w:rFonts w:ascii="Georgia" w:cs="Georgia" w:eastAsia="Georgia" w:hAnsi="Georgia"/>
          <w:i/>
          <w:iCs/>
          <w:color w:val="D4AF37"/>
          <w:sz w:val="21"/>
          <w:szCs w:val="21"/>
        </w:rPr>
        <w:t xml:space="preserve">No automated process may simulate, bypass, or pre-authorize a Human Sovereignty Gate. Gates exist in the execution path, not in configuration. An HSG cannot be disabled by policy change — only by constitutional amendment with Human Dragon seal.</w:t>
      </w:r>
    </w:p>
    <w:p>
      <w:r>
        <w:br w:type="page"/>
      </w:r>
    </w:p>
    <w:p>
      <w:pPr>
        <w:pStyle w:val="Heading1"/>
        <w:spacing w:before="400" w:after="200"/>
      </w:pPr>
      <w:r>
        <w:rPr>
          <w:rFonts w:ascii="Georgia" w:cs="Georgia" w:eastAsia="Georgia" w:hAnsi="Georgia"/>
          <w:b/>
          <w:bCs/>
          <w:color w:val="1A1A2E"/>
          <w:sz w:val="28"/>
          <w:szCs w:val="28"/>
        </w:rPr>
        <w:t xml:space="preserve">5. SGE Risk Escalation Logic</w:t>
      </w:r>
    </w:p>
    <w:p>
      <w:pPr>
        <w:spacing w:after="120" w:line="276"/>
        <w:jc w:val="both"/>
      </w:pPr>
      <w:r>
        <w:rPr>
          <w:rFonts w:ascii="Georgia" w:cs="Georgia" w:eastAsia="Georgia" w:hAnsi="Georgia"/>
          <w:color w:val="333333"/>
          <w:sz w:val="21"/>
          <w:szCs w:val="21"/>
        </w:rPr>
        <w:t xml:space="preserve">The Semantic Governance Engine (SGE) performs 6-layer risk analysis on all document outputs. This section defines how SGE risk levels integrate with the multi-agent runtime and at which points SGE checks are mandatory.</w:t>
      </w:r>
    </w:p>
    <w:p>
      <w:pPr>
        <w:pStyle w:val="Heading2"/>
        <w:spacing w:before="300" w:after="150"/>
      </w:pPr>
      <w:r>
        <w:rPr>
          <w:rFonts w:ascii="Georgia" w:cs="Georgia" w:eastAsia="Georgia" w:hAnsi="Georgia"/>
          <w:b/>
          <w:bCs/>
          <w:color w:val="1A1A2E"/>
          <w:sz w:val="24"/>
          <w:szCs w:val="24"/>
        </w:rPr>
        <w:t xml:space="preserve">5.1 Risk Level Response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1900"/>
        <w:gridCol w:w="1960"/>
      </w:tblGrid>
      <w:tr>
        <w:trPr>
          <w:tblHeader/>
        </w:trPr>
        <w:tc>
          <w:tcPr>
            <w:tcW w:type="dxa" w:w="9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Level</w:t>
            </w:r>
          </w:p>
        </w:tc>
        <w:tc>
          <w:tcPr>
            <w:tcW w:type="dxa" w:w="1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Classification</w:t>
            </w:r>
          </w:p>
        </w:tc>
        <w:tc>
          <w:tcPr>
            <w:tcW w:type="dxa" w:w="2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Agent Runtime Response</w:t>
            </w:r>
          </w:p>
        </w:tc>
        <w:tc>
          <w:tcPr>
            <w:tcW w:type="dxa" w:w="19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Gate</w:t>
            </w:r>
          </w:p>
        </w:tc>
        <w:tc>
          <w:tcPr>
            <w:tcW w:type="dxa" w:w="19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Receipt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No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Continue processing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Standard</w:t>
            </w:r>
          </w:p>
        </w:tc>
      </w:tr>
      <w:tr>
        <w:tc>
          <w:tcPr>
            <w:tcW w:type="dxa" w:w="9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R1</w:t>
            </w:r>
          </w:p>
        </w:tc>
        <w:tc>
          <w:tcPr>
            <w:tcW w:type="dxa" w:w="1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Minimal risk</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Log + continue</w:t>
            </w:r>
          </w:p>
        </w:tc>
        <w:tc>
          <w:tcPr>
            <w:tcW w:type="dxa" w:w="19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None</w:t>
            </w:r>
          </w:p>
        </w:tc>
        <w:tc>
          <w:tcPr>
            <w:tcW w:type="dxa" w:w="1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Standard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Low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Flag for review + continue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HSG-INFORM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Standard + flag</w:t>
            </w:r>
          </w:p>
        </w:tc>
      </w:tr>
      <w:tr>
        <w:tc>
          <w:tcPr>
            <w:tcW w:type="dxa" w:w="9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R3</w:t>
            </w:r>
          </w:p>
        </w:tc>
        <w:tc>
          <w:tcPr>
            <w:tcW w:type="dxa" w:w="1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Medium risk</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Pause pipeline + human review</w:t>
            </w:r>
          </w:p>
        </w:tc>
        <w:tc>
          <w:tcPr>
            <w:tcW w:type="dxa" w:w="19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HSG-REVIEW</w:t>
            </w:r>
          </w:p>
        </w:tc>
        <w:tc>
          <w:tcPr>
            <w:tcW w:type="dxa" w:w="1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SGE_ESCALATION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High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Block output + require approval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HSG-DECISION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SGE_ESCALATION + I-check</w:t>
            </w:r>
          </w:p>
        </w:tc>
      </w:tr>
      <w:tr>
        <w:tc>
          <w:tcPr>
            <w:tcW w:type="dxa" w:w="9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R5</w:t>
            </w:r>
          </w:p>
        </w:tc>
        <w:tc>
          <w:tcPr>
            <w:tcW w:type="dxa" w:w="1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Critical risk</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HALT all agent activity on this task</w:t>
            </w:r>
          </w:p>
        </w:tc>
        <w:tc>
          <w:tcPr>
            <w:tcW w:type="dxa" w:w="19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HSG-CRITICAL</w:t>
            </w:r>
          </w:p>
        </w:tc>
        <w:tc>
          <w:tcPr>
            <w:tcW w:type="dxa" w:w="19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I9_VIOLATION candidate</w:t>
            </w:r>
          </w:p>
        </w:tc>
      </w:tr>
    </w:tbl>
    <w:p>
      <w:pPr>
        <w:spacing w:before="100"/>
      </w:pPr>
    </w:p>
    <w:p>
      <w:pPr>
        <w:pStyle w:val="Heading2"/>
        <w:spacing w:before="300" w:after="150"/>
      </w:pPr>
      <w:r>
        <w:rPr>
          <w:rFonts w:ascii="Georgia" w:cs="Georgia" w:eastAsia="Georgia" w:hAnsi="Georgia"/>
          <w:b/>
          <w:bCs/>
          <w:color w:val="1A1A2E"/>
          <w:sz w:val="24"/>
          <w:szCs w:val="24"/>
        </w:rPr>
        <w:t xml:space="preserve">5.2 SGE Checkpoint Placement</w:t>
      </w:r>
    </w:p>
    <w:p>
      <w:pPr>
        <w:spacing w:after="120" w:line="276"/>
        <w:jc w:val="both"/>
      </w:pPr>
      <w:r>
        <w:rPr>
          <w:rFonts w:ascii="Georgia" w:cs="Georgia" w:eastAsia="Georgia" w:hAnsi="Georgia"/>
          <w:color w:val="333333"/>
          <w:sz w:val="21"/>
          <w:szCs w:val="21"/>
        </w:rPr>
        <w:t xml:space="preserve">SGE analysis is mandatory at three points in every workflow:</w:t>
      </w:r>
    </w:p>
    <w:p>
      <w:pPr>
        <w:spacing w:after="120" w:line="276"/>
        <w:jc w:val="both"/>
      </w:pPr>
      <w:r>
        <w:rPr>
          <w:rFonts w:ascii="Georgia" w:cs="Georgia" w:eastAsia="Georgia" w:hAnsi="Georgia"/>
          <w:b/>
          <w:bCs/>
          <w:color w:val="1A1A2E"/>
          <w:sz w:val="21"/>
          <w:szCs w:val="21"/>
        </w:rPr>
        <w:t xml:space="preserve">Pre-Processing Check: </w:t>
      </w:r>
      <w:r>
        <w:rPr>
          <w:rFonts w:ascii="Georgia" w:cs="Georgia" w:eastAsia="Georgia" w:hAnsi="Georgia"/>
          <w:color w:val="333333"/>
          <w:sz w:val="21"/>
          <w:szCs w:val="21"/>
        </w:rPr>
        <w:t xml:space="preserve">Before any agent begins work on a document or task, SGE scans the input for risk indicators. This prevents agents from processing content that should not enter the pipeline.</w:t>
      </w:r>
    </w:p>
    <w:p>
      <w:pPr>
        <w:spacing w:after="120" w:line="276"/>
        <w:jc w:val="both"/>
      </w:pPr>
      <w:r>
        <w:rPr>
          <w:rFonts w:ascii="Georgia" w:cs="Georgia" w:eastAsia="Georgia" w:hAnsi="Georgia"/>
          <w:b/>
          <w:bCs/>
          <w:color w:val="1A1A2E"/>
          <w:sz w:val="21"/>
          <w:szCs w:val="21"/>
        </w:rPr>
        <w:t xml:space="preserve">Mid-Processing Check: </w:t>
      </w:r>
      <w:r>
        <w:rPr>
          <w:rFonts w:ascii="Georgia" w:cs="Georgia" w:eastAsia="Georgia" w:hAnsi="Georgia"/>
          <w:color w:val="333333"/>
          <w:sz w:val="21"/>
          <w:szCs w:val="21"/>
        </w:rPr>
        <w:t xml:space="preserve">After the primary agent produces output but before any downstream agent receives it. This catches risk introduced during processing.</w:t>
      </w:r>
    </w:p>
    <w:p>
      <w:pPr>
        <w:spacing w:after="120" w:line="276"/>
        <w:jc w:val="both"/>
      </w:pPr>
      <w:r>
        <w:rPr>
          <w:rFonts w:ascii="Georgia" w:cs="Georgia" w:eastAsia="Georgia" w:hAnsi="Georgia"/>
          <w:b/>
          <w:bCs/>
          <w:color w:val="1A1A2E"/>
          <w:sz w:val="21"/>
          <w:szCs w:val="21"/>
        </w:rPr>
        <w:t xml:space="preserve">Final Output Check: </w:t>
      </w:r>
      <w:r>
        <w:rPr>
          <w:rFonts w:ascii="Georgia" w:cs="Georgia" w:eastAsia="Georgia" w:hAnsi="Georgia"/>
          <w:color w:val="333333"/>
          <w:sz w:val="21"/>
          <w:szCs w:val="21"/>
        </w:rPr>
        <w:t xml:space="preserve">Before any document or result is delivered to the human user or external system. This is the last line of defense.</w:t>
      </w:r>
    </w:p>
    <w:p>
      <w:pPr>
        <w:pStyle w:val="Heading2"/>
        <w:spacing w:before="300" w:after="150"/>
      </w:pPr>
      <w:r>
        <w:rPr>
          <w:rFonts w:ascii="Georgia" w:cs="Georgia" w:eastAsia="Georgia" w:hAnsi="Georgia"/>
          <w:b/>
          <w:bCs/>
          <w:color w:val="1A1A2E"/>
          <w:sz w:val="24"/>
          <w:szCs w:val="24"/>
        </w:rPr>
        <w:t xml:space="preserve">5.3 SGE + Inter-Agent Communication</w:t>
      </w:r>
    </w:p>
    <w:p>
      <w:pPr>
        <w:spacing w:after="120" w:line="276"/>
        <w:jc w:val="both"/>
      </w:pPr>
      <w:r>
        <w:rPr>
          <w:rFonts w:ascii="Georgia" w:cs="Georgia" w:eastAsia="Georgia" w:hAnsi="Georgia"/>
          <w:color w:val="333333"/>
          <w:sz w:val="21"/>
          <w:szCs w:val="21"/>
        </w:rPr>
        <w:t xml:space="preserve">When Agent A sends a message to Agent B via the Communication Bus, SGE performs a lightweight risk check on the message payload. If the payload exceeds R2, the message is held and an HSG-REVIEW is triggered. This prevents risk propagation between agents.</w:t>
      </w:r>
    </w:p>
    <w:p>
      <w:r>
        <w:br w:type="page"/>
      </w:r>
    </w:p>
    <w:p>
      <w:pPr>
        <w:pStyle w:val="Heading1"/>
        <w:spacing w:before="400" w:after="200"/>
      </w:pPr>
      <w:r>
        <w:rPr>
          <w:rFonts w:ascii="Georgia" w:cs="Georgia" w:eastAsia="Georgia" w:hAnsi="Georgia"/>
          <w:b/>
          <w:bCs/>
          <w:color w:val="1A1A2E"/>
          <w:sz w:val="28"/>
          <w:szCs w:val="28"/>
        </w:rPr>
        <w:t xml:space="preserve">6. Override and Rollback Protocol</w:t>
      </w:r>
    </w:p>
    <w:p>
      <w:pPr>
        <w:spacing w:after="120" w:line="276"/>
        <w:jc w:val="both"/>
      </w:pPr>
      <w:r>
        <w:rPr>
          <w:rFonts w:ascii="Georgia" w:cs="Georgia" w:eastAsia="Georgia" w:hAnsi="Georgia"/>
          <w:color w:val="333333"/>
          <w:sz w:val="21"/>
          <w:szCs w:val="21"/>
        </w:rPr>
        <w:t xml:space="preserve">This section defines how and when human operators can override agent decisions or roll back system state. Override authority is strictly hierarchical and every override generates an irrevocable audit trail.</w:t>
      </w:r>
    </w:p>
    <w:p>
      <w:pPr>
        <w:pStyle w:val="Heading2"/>
        <w:spacing w:before="300" w:after="150"/>
      </w:pPr>
      <w:r>
        <w:rPr>
          <w:rFonts w:ascii="Georgia" w:cs="Georgia" w:eastAsia="Georgia" w:hAnsi="Georgia"/>
          <w:b/>
          <w:bCs/>
          <w:color w:val="1A1A2E"/>
          <w:sz w:val="24"/>
          <w:szCs w:val="24"/>
        </w:rPr>
        <w:t xml:space="preserve">6.1 Override Authority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Authority</w:t>
            </w:r>
          </w:p>
        </w:tc>
        <w:tc>
          <w:tcPr>
            <w:tcW w:type="dxa" w:w="3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Can Override</w:t>
            </w:r>
          </w:p>
        </w:tc>
        <w:tc>
          <w:tcPr>
            <w:tcW w:type="dxa" w:w="22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Requires</w:t>
            </w:r>
          </w:p>
        </w:tc>
        <w:tc>
          <w:tcPr>
            <w:tcW w:type="dxa" w:w="21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Receipt Type</w:t>
            </w:r>
          </w:p>
        </w:tc>
      </w:tr>
      <w:tr>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Dragon</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Everything including I9 halt recovery</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Sovereign passphrase + reason</w:t>
            </w:r>
          </w:p>
        </w:tc>
        <w:tc>
          <w:tcPr>
            <w:tcW w:type="dxa" w:w="2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SOVEREIGN_OVERRIDE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Controller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task assignments, workflow routing, SGE R2–R3 flags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Authentication + reason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CONTROLLER_OVERRIDE</w:t>
            </w:r>
          </w:p>
        </w:tc>
      </w:tr>
      <w:tr>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Operator</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 retry, non-critical configuration</w:t>
            </w:r>
          </w:p>
        </w:tc>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Authentication</w:t>
            </w:r>
          </w:p>
        </w:tc>
        <w:tc>
          <w:tcPr>
            <w:tcW w:type="dxa" w:w="2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OPERATOR_ACTION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(automated)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Nothing. Agents cannot override governance.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t>
            </w:r>
          </w:p>
        </w:tc>
      </w:tr>
    </w:tbl>
    <w:p>
      <w:pPr>
        <w:spacing w:before="100"/>
      </w:pPr>
    </w:p>
    <w:p>
      <w:pPr>
        <w:pStyle w:val="Heading2"/>
        <w:spacing w:before="300" w:after="150"/>
      </w:pPr>
      <w:r>
        <w:rPr>
          <w:rFonts w:ascii="Georgia" w:cs="Georgia" w:eastAsia="Georgia" w:hAnsi="Georgia"/>
          <w:b/>
          <w:bCs/>
          <w:color w:val="1A1A2E"/>
          <w:sz w:val="24"/>
          <w:szCs w:val="24"/>
        </w:rPr>
        <w:t xml:space="preserve">6.2 Rollback Guarantees</w:t>
      </w:r>
    </w:p>
    <w:p>
      <w:pPr>
        <w:spacing w:after="120" w:line="276"/>
        <w:jc w:val="both"/>
      </w:pPr>
      <w:r>
        <w:rPr>
          <w:rFonts w:ascii="Georgia" w:cs="Georgia" w:eastAsia="Georgia" w:hAnsi="Georgia"/>
          <w:color w:val="333333"/>
          <w:sz w:val="21"/>
          <w:szCs w:val="21"/>
        </w:rPr>
        <w:t xml:space="preserve">Every state mutation in the multi-agent runtime must satisfy the Reversibility Invariant (I8). This means:</w:t>
      </w:r>
    </w:p>
    <w:p>
      <w:pPr>
        <w:spacing w:after="120" w:line="276"/>
        <w:jc w:val="both"/>
      </w:pPr>
      <w:r>
        <w:rPr>
          <w:rFonts w:ascii="Georgia" w:cs="Georgia" w:eastAsia="Georgia" w:hAnsi="Georgia"/>
          <w:b/>
          <w:bCs/>
          <w:color w:val="1A1A2E"/>
          <w:sz w:val="21"/>
          <w:szCs w:val="21"/>
        </w:rPr>
        <w:t xml:space="preserve">Pre-Mutation Snapshot: </w:t>
      </w:r>
      <w:r>
        <w:rPr>
          <w:rFonts w:ascii="Georgia" w:cs="Georgia" w:eastAsia="Georgia" w:hAnsi="Georgia"/>
          <w:color w:val="333333"/>
          <w:sz w:val="21"/>
          <w:szCs w:val="21"/>
        </w:rPr>
        <w:t xml:space="preserve">Before any state change, the system captures a snapshot of the current state. This snapshot is stored locally and its hash is anchored in the Forensic Ledger.</w:t>
      </w:r>
    </w:p>
    <w:p>
      <w:pPr>
        <w:spacing w:after="120" w:line="276"/>
        <w:jc w:val="both"/>
      </w:pPr>
      <w:r>
        <w:rPr>
          <w:rFonts w:ascii="Georgia" w:cs="Georgia" w:eastAsia="Georgia" w:hAnsi="Georgia"/>
          <w:b/>
          <w:bCs/>
          <w:color w:val="1A1A2E"/>
          <w:sz w:val="21"/>
          <w:szCs w:val="21"/>
        </w:rPr>
        <w:t xml:space="preserve">Rollback Path: </w:t>
      </w:r>
      <w:r>
        <w:rPr>
          <w:rFonts w:ascii="Georgia" w:cs="Georgia" w:eastAsia="Georgia" w:hAnsi="Georgia"/>
          <w:color w:val="333333"/>
          <w:sz w:val="21"/>
          <w:szCs w:val="21"/>
        </w:rPr>
        <w:t xml:space="preserve">Every mutation has a defined rollback procedure. If the rollback procedure cannot be defined (irreversible operation), an HSG-DECISION gate is mandatory before execution.</w:t>
      </w:r>
    </w:p>
    <w:p>
      <w:pPr>
        <w:spacing w:after="120" w:line="276"/>
        <w:jc w:val="both"/>
      </w:pPr>
      <w:r>
        <w:rPr>
          <w:rFonts w:ascii="Georgia" w:cs="Georgia" w:eastAsia="Georgia" w:hAnsi="Georgia"/>
          <w:b/>
          <w:bCs/>
          <w:color w:val="1A1A2E"/>
          <w:sz w:val="21"/>
          <w:szCs w:val="21"/>
        </w:rPr>
        <w:t xml:space="preserve">Rollback Receipt: </w:t>
      </w:r>
      <w:r>
        <w:rPr>
          <w:rFonts w:ascii="Georgia" w:cs="Georgia" w:eastAsia="Georgia" w:hAnsi="Georgia"/>
          <w:color w:val="333333"/>
          <w:sz w:val="21"/>
          <w:szCs w:val="21"/>
        </w:rPr>
        <w:t xml:space="preserve">Every rollback generates a CONFIG_ROLLBACK receipt with the old and new state hashes, the reason for rollback, and the authorizing entity.</w:t>
      </w:r>
    </w:p>
    <w:p>
      <w:pPr>
        <w:pStyle w:val="Heading2"/>
        <w:spacing w:before="300" w:after="150"/>
      </w:pPr>
      <w:r>
        <w:rPr>
          <w:rFonts w:ascii="Georgia" w:cs="Georgia" w:eastAsia="Georgia" w:hAnsi="Georgia"/>
          <w:b/>
          <w:bCs/>
          <w:color w:val="1A1A2E"/>
          <w:sz w:val="24"/>
          <w:szCs w:val="24"/>
        </w:rPr>
        <w:t xml:space="preserve">6.3 The Non-Override Principle</w:t>
      </w:r>
    </w:p>
    <w:p>
      <w:pPr>
        <w:pBdr>
          <w:left w:val="single" w:color="D4AF37" w:sz="6" w:space="8"/>
        </w:pBdr>
        <w:spacing w:before="200" w:after="200"/>
        <w:ind w:left="720" w:right="720"/>
      </w:pPr>
      <w:r>
        <w:rPr>
          <w:rFonts w:ascii="Georgia" w:cs="Georgia" w:eastAsia="Georgia" w:hAnsi="Georgia"/>
          <w:i/>
          <w:iCs/>
          <w:color w:val="D4AF37"/>
          <w:sz w:val="21"/>
          <w:szCs w:val="21"/>
        </w:rPr>
        <w:t xml:space="preserve">Agents cannot override agents. Only humans override. And every override is a constitutional event with permanent record. There are no silent overrides in the WINDI system.</w:t>
      </w:r>
    </w:p>
    <w:p>
      <w:r>
        <w:br w:type="page"/>
      </w:r>
    </w:p>
    <w:p>
      <w:pPr>
        <w:pStyle w:val="Heading1"/>
        <w:spacing w:before="400" w:after="200"/>
      </w:pPr>
      <w:r>
        <w:rPr>
          <w:rFonts w:ascii="Georgia" w:cs="Georgia" w:eastAsia="Georgia" w:hAnsi="Georgia"/>
          <w:b/>
          <w:bCs/>
          <w:color w:val="1A1A2E"/>
          <w:sz w:val="28"/>
          <w:szCs w:val="28"/>
        </w:rPr>
        <w:t xml:space="preserve">7. Autonomy Boundaries</w:t>
      </w:r>
    </w:p>
    <w:p>
      <w:pPr>
        <w:spacing w:after="120" w:line="276"/>
        <w:jc w:val="both"/>
      </w:pPr>
      <w:r>
        <w:rPr>
          <w:rFonts w:ascii="Georgia" w:cs="Georgia" w:eastAsia="Georgia" w:hAnsi="Georgia"/>
          <w:color w:val="333333"/>
          <w:sz w:val="21"/>
          <w:szCs w:val="21"/>
        </w:rPr>
        <w:t xml:space="preserve">This section defines the ontological limits of agent autonomy within the WINDI system. These boundaries are not configurable — they are constitutional constraints that apply regardless of agent certification level.</w:t>
      </w:r>
    </w:p>
    <w:p>
      <w:pPr>
        <w:pStyle w:val="Heading2"/>
        <w:spacing w:before="300" w:after="150"/>
      </w:pPr>
      <w:r>
        <w:rPr>
          <w:rFonts w:ascii="Georgia" w:cs="Georgia" w:eastAsia="Georgia" w:hAnsi="Georgia"/>
          <w:b/>
          <w:bCs/>
          <w:color w:val="1A1A2E"/>
          <w:sz w:val="24"/>
          <w:szCs w:val="24"/>
        </w:rPr>
        <w:t xml:space="preserve">7.1 What Agents CAN Do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Capability</w:t>
            </w:r>
          </w:p>
        </w:tc>
        <w:tc>
          <w:tcPr>
            <w:tcW w:type="dxa" w:w="32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Condition</w:t>
            </w:r>
          </w:p>
        </w:tc>
        <w:tc>
          <w:tcPr>
            <w:tcW w:type="dxa" w:w="31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Governance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Process documents within ISP templates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Template assigned by human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Receipt on completion</w:t>
            </w:r>
          </w:p>
        </w:tc>
      </w:tr>
      <w:tr>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Scan for compliance issues</w:t>
            </w:r>
          </w:p>
        </w:tc>
        <w:tc>
          <w:tcPr>
            <w:tcW w:type="dxa" w:w="3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Within certified scope</w:t>
            </w:r>
          </w:p>
        </w:tc>
        <w:tc>
          <w:tcPr>
            <w:tcW w:type="dxa" w:w="3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Results require human review (R2+)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Generate reports and summaries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Using approved templates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HSG-INFORM on delivery</w:t>
            </w:r>
          </w:p>
        </w:tc>
      </w:tr>
      <w:tr>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Communicate with other agents</w:t>
            </w:r>
          </w:p>
        </w:tc>
        <w:tc>
          <w:tcPr>
            <w:tcW w:type="dxa" w:w="3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Via Communication Bus only</w:t>
            </w:r>
          </w:p>
        </w:tc>
        <w:tc>
          <w:tcPr>
            <w:tcW w:type="dxa" w:w="3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SGE check on payload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Send heartbeat and health 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Automatic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Registered in Agent Registry</w:t>
            </w:r>
          </w:p>
        </w:tc>
      </w:tr>
      <w:tr>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Execute assigned tasks from Dispatcher</w:t>
            </w:r>
          </w:p>
        </w:tc>
        <w:tc>
          <w:tcPr>
            <w:tcW w:type="dxa" w:w="3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Within capability scope</w:t>
            </w:r>
          </w:p>
        </w:tc>
        <w:tc>
          <w:tcPr>
            <w:tcW w:type="dxa" w:w="3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Task receipt chain</w:t>
            </w:r>
          </w:p>
        </w:tc>
      </w:tr>
    </w:tbl>
    <w:p>
      <w:pPr>
        <w:spacing w:before="100"/>
      </w:pPr>
    </w:p>
    <w:p>
      <w:pPr>
        <w:pStyle w:val="Heading2"/>
        <w:spacing w:before="300" w:after="150"/>
      </w:pPr>
      <w:r>
        <w:rPr>
          <w:rFonts w:ascii="Georgia" w:cs="Georgia" w:eastAsia="Georgia" w:hAnsi="Georgia"/>
          <w:b/>
          <w:bCs/>
          <w:color w:val="1A1A2E"/>
          <w:sz w:val="24"/>
          <w:szCs w:val="24"/>
        </w:rPr>
        <w:t xml:space="preserve">7.2 What Agents CANNOT Do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Prohibition</w:t>
            </w:r>
          </w:p>
        </w:tc>
        <w:tc>
          <w:tcPr>
            <w:tcW w:type="dxa" w:w="3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Reason</w:t>
            </w:r>
          </w:p>
        </w:tc>
        <w:tc>
          <w:tcPr>
            <w:tcW w:type="dxa" w:w="28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Enforcement</w:t>
            </w:r>
          </w:p>
        </w:tc>
      </w:tr>
      <w:tr>
        <w:tc>
          <w:tcPr>
            <w:tcW w:type="dxa" w:w="3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Self-register new capabilities</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I9 violation</w:t>
            </w:r>
          </w:p>
        </w:tc>
        <w:tc>
          <w:tcPr>
            <w:tcW w:type="dxa" w:w="28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Registry rejects; HALT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Modify their own certification 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I9 violation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Registry rejects; HALT</w:t>
            </w:r>
          </w:p>
        </w:tc>
      </w:tr>
      <w:tr>
        <w:tc>
          <w:tcPr>
            <w:tcW w:type="dxa" w:w="3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Bypass SGE pre-check</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I5 + I7 violation</w:t>
            </w:r>
          </w:p>
        </w:tc>
        <w:tc>
          <w:tcPr>
            <w:tcW w:type="dxa" w:w="28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Router blocks; Receipt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Access data from other tenants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I4 violation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Sandbox isolates; HALT</w:t>
            </w:r>
          </w:p>
        </w:tc>
      </w:tr>
      <w:tr>
        <w:tc>
          <w:tcPr>
            <w:tcW w:type="dxa" w:w="3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Override or dismiss a Human Sovereignty Gate</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I1 violation</w:t>
            </w:r>
          </w:p>
        </w:tc>
        <w:tc>
          <w:tcPr>
            <w:tcW w:type="dxa" w:w="28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Gate is in execution path, not 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Delegate tasks above own certification 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I9 violation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Dispatcher blocks; Receipt</w:t>
            </w:r>
          </w:p>
        </w:tc>
      </w:tr>
      <w:tr>
        <w:tc>
          <w:tcPr>
            <w:tcW w:type="dxa" w:w="3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Modify governance configuration or invariants</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Constitutional violation</w:t>
            </w:r>
          </w:p>
        </w:tc>
        <w:tc>
          <w:tcPr>
            <w:tcW w:type="dxa" w:w="28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Filesystem isolation; no write access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Operate without a valid registry entry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I2 + I3 violation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Router rejects unregistered agents</w:t>
            </w:r>
          </w:p>
        </w:tc>
      </w:tr>
    </w:tbl>
    <w:p>
      <w:pPr>
        <w:spacing w:before="100"/>
      </w:pPr>
    </w:p>
    <w:p>
      <w:pPr>
        <w:pStyle w:val="Heading2"/>
        <w:spacing w:before="300" w:after="150"/>
      </w:pPr>
      <w:r>
        <w:rPr>
          <w:rFonts w:ascii="Georgia" w:cs="Georgia" w:eastAsia="Georgia" w:hAnsi="Georgia"/>
          <w:b/>
          <w:bCs/>
          <w:color w:val="1A1A2E"/>
          <w:sz w:val="24"/>
          <w:szCs w:val="24"/>
        </w:rPr>
        <w:t xml:space="preserve">7.3 Autonomy Score Framework</w:t>
      </w:r>
    </w:p>
    <w:p>
      <w:pPr>
        <w:spacing w:after="120" w:line="276"/>
        <w:jc w:val="both"/>
      </w:pPr>
      <w:r>
        <w:rPr>
          <w:rFonts w:ascii="Georgia" w:cs="Georgia" w:eastAsia="Georgia" w:hAnsi="Georgia"/>
          <w:color w:val="333333"/>
          <w:sz w:val="21"/>
          <w:szCs w:val="21"/>
        </w:rPr>
        <w:t xml:space="preserve">Each agent maintains a real-time Autonomy Score (0–100) that reflects its current operational freedom. The score is computed from certification level, recent behavior, governance compliance, and task complexity. The score is informational — it does not grant additional permissions. It serves as an observability metric for the Human Dragon and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tblHeader/>
        </w:trPr>
        <w:tc>
          <w:tcPr>
            <w:tcW w:type="dxa" w:w="15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Score Range</w:t>
            </w:r>
          </w:p>
        </w:tc>
        <w:tc>
          <w:tcPr>
            <w:tcW w:type="dxa" w:w="25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Classification</w:t>
            </w:r>
          </w:p>
        </w:tc>
        <w:tc>
          <w:tcPr>
            <w:tcW w:type="dxa" w:w="28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Operational Meaning</w:t>
            </w:r>
          </w:p>
        </w:tc>
        <w:tc>
          <w:tcPr>
            <w:tcW w:type="dxa" w:w="25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Dashboard Color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90–100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Maximum Certified Autonomy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Operating at full certified scope, excellent compliance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Green</w:t>
            </w:r>
          </w:p>
        </w:tc>
      </w:tr>
      <w:tr>
        <w:tc>
          <w:tcPr>
            <w:tcW w:type="dxa" w:w="1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70–89</w:t>
            </w:r>
          </w:p>
        </w:tc>
        <w:tc>
          <w:tcPr>
            <w:tcW w:type="dxa" w:w="2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Normal Operation</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Standard operation with minor governance flags</w:t>
            </w:r>
          </w:p>
        </w:tc>
        <w:tc>
          <w:tcPr>
            <w:tcW w:type="dxa" w:w="25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Blue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50–69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Reduced Autonomy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Recent failures or R3+ flags; increased HSG frequency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Yellow</w:t>
            </w:r>
          </w:p>
        </w:tc>
      </w:tr>
      <w:tr>
        <w:tc>
          <w:tcPr>
            <w:tcW w:type="dxa" w:w="1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30–49</w:t>
            </w:r>
          </w:p>
        </w:tc>
        <w:tc>
          <w:tcPr>
            <w:tcW w:type="dxa" w:w="25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Supervised Mode</w:t>
            </w:r>
          </w:p>
        </w:tc>
        <w:tc>
          <w:tcPr>
            <w:tcW w:type="dxa" w:w="28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Every output requires HSG-REVIEW minimum</w:t>
            </w:r>
          </w:p>
        </w:tc>
        <w:tc>
          <w:tcPr>
            <w:tcW w:type="dxa" w:w="25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Orange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0–29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Probation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Every output requires HSG-DECISION; recertification needed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Red</w:t>
            </w:r>
          </w:p>
        </w:tc>
      </w:tr>
    </w:tbl>
    <w:p>
      <w:r>
        <w:br w:type="page"/>
      </w:r>
    </w:p>
    <w:p>
      <w:pPr>
        <w:pStyle w:val="Heading1"/>
        <w:spacing w:before="400" w:after="200"/>
      </w:pPr>
      <w:r>
        <w:rPr>
          <w:rFonts w:ascii="Georgia" w:cs="Georgia" w:eastAsia="Georgia" w:hAnsi="Georgia"/>
          <w:b/>
          <w:bCs/>
          <w:color w:val="1A1A2E"/>
          <w:sz w:val="28"/>
          <w:szCs w:val="28"/>
        </w:rPr>
        <w:t xml:space="preserve">8. Audit Trace Guarantees</w:t>
      </w:r>
    </w:p>
    <w:p>
      <w:pPr>
        <w:spacing w:after="120" w:line="276"/>
        <w:jc w:val="both"/>
      </w:pPr>
      <w:r>
        <w:rPr>
          <w:rFonts w:ascii="Georgia" w:cs="Georgia" w:eastAsia="Georgia" w:hAnsi="Georgia"/>
          <w:color w:val="333333"/>
          <w:sz w:val="21"/>
          <w:szCs w:val="21"/>
        </w:rPr>
        <w:t xml:space="preserve">The WINDI system provides deterministic auditability for every action taken by any agent. This section defines the guarantees that auditors, regulators, and franchise operators can rely upon.</w:t>
      </w:r>
    </w:p>
    <w:p>
      <w:pPr>
        <w:pStyle w:val="Heading2"/>
        <w:spacing w:before="300" w:after="150"/>
      </w:pPr>
      <w:r>
        <w:rPr>
          <w:rFonts w:ascii="Georgia" w:cs="Georgia" w:eastAsia="Georgia" w:hAnsi="Georgia"/>
          <w:b/>
          <w:bCs/>
          <w:color w:val="1A1A2E"/>
          <w:sz w:val="24"/>
          <w:szCs w:val="24"/>
        </w:rPr>
        <w:t xml:space="preserve">8.1 The Five Audit Guarantees</w:t>
      </w:r>
    </w:p>
    <w:p>
      <w:pPr>
        <w:spacing w:after="120" w:line="276"/>
        <w:jc w:val="both"/>
      </w:pPr>
      <w:r>
        <w:rPr>
          <w:rFonts w:ascii="Georgia" w:cs="Georgia" w:eastAsia="Georgia" w:hAnsi="Georgia"/>
          <w:b/>
          <w:bCs/>
          <w:color w:val="1A1A2E"/>
          <w:sz w:val="21"/>
          <w:szCs w:val="21"/>
        </w:rPr>
        <w:t xml:space="preserve">Guarantee 1 — Completeness: </w:t>
      </w:r>
      <w:r>
        <w:rPr>
          <w:rFonts w:ascii="Georgia" w:cs="Georgia" w:eastAsia="Georgia" w:hAnsi="Georgia"/>
          <w:color w:val="333333"/>
          <w:sz w:val="21"/>
          <w:szCs w:val="21"/>
        </w:rPr>
        <w:t xml:space="preserve">Every governance-significant event generates a receipt. There are no gaps in the audit trail. The mandatory receipt list in Section 3 defines the minimum; deployments may add additional receipt types.</w:t>
      </w:r>
    </w:p>
    <w:p>
      <w:pPr>
        <w:spacing w:after="120" w:line="276"/>
        <w:jc w:val="both"/>
      </w:pPr>
      <w:r>
        <w:rPr>
          <w:rFonts w:ascii="Georgia" w:cs="Georgia" w:eastAsia="Georgia" w:hAnsi="Georgia"/>
          <w:b/>
          <w:bCs/>
          <w:color w:val="1A1A2E"/>
          <w:sz w:val="21"/>
          <w:szCs w:val="21"/>
        </w:rPr>
        <w:t xml:space="preserve">Guarantee 2 — Immutability: </w:t>
      </w:r>
      <w:r>
        <w:rPr>
          <w:rFonts w:ascii="Georgia" w:cs="Georgia" w:eastAsia="Georgia" w:hAnsi="Georgia"/>
          <w:color w:val="333333"/>
          <w:sz w:val="21"/>
          <w:szCs w:val="21"/>
        </w:rPr>
        <w:t xml:space="preserve">Once a receipt enters the Forensic Ledger, it cannot be modified or deleted. The append-only chain with SHA-256 hashing ensures tamper detection. Even the Human Dragon cannot alter historical receipts.</w:t>
      </w:r>
    </w:p>
    <w:p>
      <w:pPr>
        <w:spacing w:after="120" w:line="276"/>
        <w:jc w:val="both"/>
      </w:pPr>
      <w:r>
        <w:rPr>
          <w:rFonts w:ascii="Georgia" w:cs="Georgia" w:eastAsia="Georgia" w:hAnsi="Georgia"/>
          <w:b/>
          <w:bCs/>
          <w:color w:val="1A1A2E"/>
          <w:sz w:val="21"/>
          <w:szCs w:val="21"/>
        </w:rPr>
        <w:t xml:space="preserve">Guarantee 3 — Traceability: </w:t>
      </w:r>
      <w:r>
        <w:rPr>
          <w:rFonts w:ascii="Georgia" w:cs="Georgia" w:eastAsia="Georgia" w:hAnsi="Georgia"/>
          <w:color w:val="333333"/>
          <w:sz w:val="21"/>
          <w:szCs w:val="21"/>
        </w:rPr>
        <w:t xml:space="preserve">Every receipt contains the full causal chain: which agent, which task, which workflow, which human decision (if applicable), and which invariants were checked. An auditor can reconstruct the complete decision path from any receipt.</w:t>
      </w:r>
    </w:p>
    <w:p>
      <w:pPr>
        <w:spacing w:after="120" w:line="276"/>
        <w:jc w:val="both"/>
      </w:pPr>
      <w:r>
        <w:rPr>
          <w:rFonts w:ascii="Georgia" w:cs="Georgia" w:eastAsia="Georgia" w:hAnsi="Georgia"/>
          <w:b/>
          <w:bCs/>
          <w:color w:val="1A1A2E"/>
          <w:sz w:val="21"/>
          <w:szCs w:val="21"/>
        </w:rPr>
        <w:t xml:space="preserve">Guarantee 4 — Temporal Accuracy: </w:t>
      </w:r>
      <w:r>
        <w:rPr>
          <w:rFonts w:ascii="Georgia" w:cs="Georgia" w:eastAsia="Georgia" w:hAnsi="Georgia"/>
          <w:color w:val="333333"/>
          <w:sz w:val="21"/>
          <w:szCs w:val="21"/>
        </w:rPr>
        <w:t xml:space="preserve">Receipts include ISO 8601 timestamps synchronized to the server clock. The receipt chain enforces monotonic ordering — no receipt can reference a future timestamp.</w:t>
      </w:r>
    </w:p>
    <w:p>
      <w:pPr>
        <w:spacing w:after="120" w:line="276"/>
        <w:jc w:val="both"/>
      </w:pPr>
      <w:r>
        <w:rPr>
          <w:rFonts w:ascii="Georgia" w:cs="Georgia" w:eastAsia="Georgia" w:hAnsi="Georgia"/>
          <w:b/>
          <w:bCs/>
          <w:color w:val="1A1A2E"/>
          <w:sz w:val="21"/>
          <w:szCs w:val="21"/>
        </w:rPr>
        <w:t xml:space="preserve">Guarantee 5 — Zero-Knowledge Compliance: </w:t>
      </w:r>
      <w:r>
        <w:rPr>
          <w:rFonts w:ascii="Georgia" w:cs="Georgia" w:eastAsia="Georgia" w:hAnsi="Georgia"/>
          <w:color w:val="333333"/>
          <w:sz w:val="21"/>
          <w:szCs w:val="21"/>
        </w:rPr>
        <w:t xml:space="preserve">The central Forensic Ledger contains only hashes and metadata — never client data. Full receipts with payload remain at the originating node. An auditor can verify integrity without accessing sensitive content.</w:t>
      </w:r>
    </w:p>
    <w:p>
      <w:pPr>
        <w:pStyle w:val="Heading2"/>
        <w:spacing w:before="300" w:after="150"/>
      </w:pPr>
      <w:r>
        <w:rPr>
          <w:rFonts w:ascii="Georgia" w:cs="Georgia" w:eastAsia="Georgia" w:hAnsi="Georgia"/>
          <w:b/>
          <w:bCs/>
          <w:color w:val="1A1A2E"/>
          <w:sz w:val="24"/>
          <w:szCs w:val="24"/>
        </w:rPr>
        <w:t xml:space="preserve">8.2 Cross-Agent Trace Correlation</w:t>
      </w:r>
    </w:p>
    <w:p>
      <w:pPr>
        <w:spacing w:after="120" w:line="276"/>
        <w:jc w:val="both"/>
      </w:pPr>
      <w:r>
        <w:rPr>
          <w:rFonts w:ascii="Georgia" w:cs="Georgia" w:eastAsia="Georgia" w:hAnsi="Georgia"/>
          <w:color w:val="333333"/>
          <w:sz w:val="21"/>
          <w:szCs w:val="21"/>
        </w:rPr>
        <w:t xml:space="preserve">When a task flows through multiple agents (workflow), each agent appends its receipt to the workflow trace. The trace is identified by a unique workflow_id that links all receipts in the chain. This enables end-to-end auditing of multi-agent workflows without requiring access to individual agent internals.</w:t>
      </w:r>
    </w:p>
    <w:p>
      <w:r>
        <w:br w:type="page"/>
      </w:r>
    </w:p>
    <w:p>
      <w:pPr>
        <w:pStyle w:val="Heading1"/>
        <w:spacing w:before="400" w:after="200"/>
      </w:pPr>
      <w:r>
        <w:rPr>
          <w:rFonts w:ascii="Georgia" w:cs="Georgia" w:eastAsia="Georgia" w:hAnsi="Georgia"/>
          <w:b/>
          <w:bCs/>
          <w:color w:val="1A1A2E"/>
          <w:sz w:val="28"/>
          <w:szCs w:val="28"/>
        </w:rPr>
        <w:t xml:space="preserve">9. Integration with ORCH-RUNTIME v0.1</w:t>
      </w:r>
    </w:p>
    <w:p>
      <w:pPr>
        <w:spacing w:after="120" w:line="276"/>
        <w:jc w:val="both"/>
      </w:pPr>
      <w:r>
        <w:rPr>
          <w:rFonts w:ascii="Georgia" w:cs="Georgia" w:eastAsia="Georgia" w:hAnsi="Georgia"/>
          <w:color w:val="333333"/>
          <w:sz w:val="21"/>
          <w:szCs w:val="21"/>
        </w:rPr>
        <w:t xml:space="preserve">This section maps every ORCH-RUNTIME component to its corresponding Constitutional Gates. This mapping is the contract between runtime and governance — it ensures that no runtime component operates without governance coverage.</w:t>
      </w:r>
    </w:p>
    <w:p>
      <w:pPr>
        <w:pStyle w:val="Heading2"/>
        <w:spacing w:before="300" w:after="150"/>
      </w:pPr>
      <w:r>
        <w:rPr>
          <w:rFonts w:ascii="Georgia" w:cs="Georgia" w:eastAsia="Georgia" w:hAnsi="Georgia"/>
          <w:b/>
          <w:bCs/>
          <w:color w:val="1A1A2E"/>
          <w:sz w:val="24"/>
          <w:szCs w:val="24"/>
        </w:rPr>
        <w:t xml:space="preserve">9.1 Component Gate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ORCH-RUNTIME Component</w:t>
            </w:r>
          </w:p>
        </w:tc>
        <w:tc>
          <w:tcPr>
            <w:tcW w:type="dxa" w:w="3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Constitutional Gate(s)</w:t>
            </w:r>
          </w:p>
        </w:tc>
        <w:tc>
          <w:tcPr>
            <w:tcW w:type="dxa" w:w="20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Section</w:t>
            </w:r>
          </w:p>
        </w:tc>
        <w:tc>
          <w:tcPr>
            <w:tcW w:type="dxa" w:w="21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Registry</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I2, I3, I9 enforcement; Registration receipt</w:t>
            </w:r>
          </w:p>
        </w:tc>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§2.1, §3.1</w:t>
            </w:r>
          </w:p>
        </w:tc>
        <w:tc>
          <w:tcPr>
            <w:tcW w:type="dxa" w:w="2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Mandatory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Task Dispatcher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I3, I9 permission check; Task failure receipt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§2.1, §3.1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Mandatory</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Communication Bus</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I4 data sovereignty; SGE payload check</w:t>
            </w:r>
          </w:p>
        </w:tc>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§2.1, §5.3</w:t>
            </w:r>
          </w:p>
        </w:tc>
        <w:tc>
          <w:tcPr>
            <w:tcW w:type="dxa" w:w="2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Mandatory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Agent Router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I9 gate (supreme); SGE pre-check; Rate limits (I6)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§2.2, §5.2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Mandatory</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Workflow Engine</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HSG placement rules; Workflow completion receipt</w:t>
            </w:r>
          </w:p>
        </w:tc>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§4.2, §3.1</w:t>
            </w:r>
          </w:p>
        </w:tc>
        <w:tc>
          <w:tcPr>
            <w:tcW w:type="dxa" w:w="2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Mandatory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Hot Reload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Config rollback receipt; I9 re-validation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§6.2, §3.1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Mandatory</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Sandbox / Quotas</w:t>
            </w:r>
          </w:p>
        </w:tc>
        <w:tc>
          <w:tcPr>
            <w:tcW w:type="dxa" w:w="3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I6 proportionality; Resource violation receipt</w:t>
            </w:r>
          </w:p>
        </w:tc>
        <w:tc>
          <w:tcPr>
            <w:tcW w:type="dxa" w:w="20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§2.1, §7.1</w:t>
            </w:r>
          </w:p>
        </w:tc>
        <w:tc>
          <w:tcPr>
            <w:tcW w:type="dxa" w:w="21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Advisory</w:t>
            </w:r>
          </w:p>
        </w:tc>
      </w:tr>
    </w:tbl>
    <w:p>
      <w:pPr>
        <w:spacing w:before="100"/>
      </w:pPr>
    </w:p>
    <w:p>
      <w:pPr>
        <w:pStyle w:val="Heading2"/>
        <w:spacing w:before="300" w:after="150"/>
      </w:pPr>
      <w:r>
        <w:rPr>
          <w:rFonts w:ascii="Georgia" w:cs="Georgia" w:eastAsia="Georgia" w:hAnsi="Georgia"/>
          <w:b/>
          <w:bCs/>
          <w:color w:val="1A1A2E"/>
          <w:sz w:val="24"/>
          <w:szCs w:val="24"/>
        </w:rPr>
        <w:t xml:space="preserve">9.2 The Completeness Principle</w:t>
      </w:r>
    </w:p>
    <w:p>
      <w:pPr>
        <w:pBdr>
          <w:left w:val="single" w:color="D4AF37" w:sz="6" w:space="8"/>
        </w:pBdr>
        <w:spacing w:before="200" w:after="200"/>
        <w:ind w:left="720" w:right="720"/>
      </w:pPr>
      <w:r>
        <w:rPr>
          <w:rFonts w:ascii="Georgia" w:cs="Georgia" w:eastAsia="Georgia" w:hAnsi="Georgia"/>
          <w:i/>
          <w:iCs/>
          <w:color w:val="D4AF37"/>
          <w:sz w:val="21"/>
          <w:szCs w:val="21"/>
        </w:rPr>
        <w:t xml:space="preserve">If it executes, it is governed. If it is governed, it is auditable. If it is auditable, it is trustworthy. This is the WINDI chain of trust — and it begins at Constitutional Gates.</w:t>
      </w:r>
    </w:p>
    <w:p>
      <w:r>
        <w:br w:type="page"/>
      </w:r>
    </w:p>
    <w:p>
      <w:pPr>
        <w:pStyle w:val="Heading1"/>
        <w:spacing w:before="400" w:after="200"/>
      </w:pPr>
      <w:r>
        <w:rPr>
          <w:rFonts w:ascii="Georgia" w:cs="Georgia" w:eastAsia="Georgia" w:hAnsi="Georgia"/>
          <w:b/>
          <w:bCs/>
          <w:color w:val="1A1A2E"/>
          <w:sz w:val="28"/>
          <w:szCs w:val="28"/>
        </w:rPr>
        <w:t xml:space="preserve">10. Amendment Protocol</w:t>
      </w:r>
    </w:p>
    <w:p>
      <w:pPr>
        <w:spacing w:after="120" w:line="276"/>
        <w:jc w:val="both"/>
      </w:pPr>
      <w:r>
        <w:rPr>
          <w:rFonts w:ascii="Georgia" w:cs="Georgia" w:eastAsia="Georgia" w:hAnsi="Georgia"/>
          <w:color w:val="333333"/>
          <w:sz w:val="21"/>
          <w:szCs w:val="21"/>
        </w:rPr>
        <w:t xml:space="preserve">This document is a constitutional instrument. Its modification follows a formal amendment protocol that ensures governance stability while allowing evolution.</w:t>
      </w:r>
    </w:p>
    <w:p>
      <w:pPr>
        <w:pStyle w:val="Heading2"/>
        <w:spacing w:before="300" w:after="150"/>
      </w:pPr>
      <w:r>
        <w:rPr>
          <w:rFonts w:ascii="Georgia" w:cs="Georgia" w:eastAsia="Georgia" w:hAnsi="Georgia"/>
          <w:b/>
          <w:bCs/>
          <w:color w:val="1A1A2E"/>
          <w:sz w:val="24"/>
          <w:szCs w:val="24"/>
        </w:rPr>
        <w:t xml:space="preserve">10.1 Amendment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Change Type</w:t>
            </w:r>
          </w:p>
        </w:tc>
        <w:tc>
          <w:tcPr>
            <w:tcW w:type="dxa" w:w="360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Requirement</w:t>
            </w:r>
          </w:p>
        </w:tc>
        <w:tc>
          <w:tcPr>
            <w:tcW w:type="dxa" w:w="3560"/>
            <w:tcBorders>
              <w:top w:val="single" w:color="D4AF37" w:sz="1"/>
              <w:left w:val="single" w:color="D4AF37" w:sz="1"/>
              <w:bottom w:val="single" w:color="D4AF37" w:sz="1"/>
              <w:right w:val="single" w:color="D4AF37" w:sz="1"/>
            </w:tcBorders>
            <w:shd w:fill="1A1A2E" w:val="clear"/>
            <w:tcMar>
              <w:top w:type="dxa" w:w="80"/>
              <w:left w:type="dxa" w:w="120"/>
              <w:bottom w:type="dxa" w:w="80"/>
              <w:right w:type="dxa" w:w="120"/>
            </w:tcMar>
            <w:vAlign w:val="center"/>
          </w:tcPr>
          <w:p>
            <w:pPr>
              <w:jc w:val="left"/>
            </w:pPr>
            <w:r>
              <w:rPr>
                <w:rFonts w:ascii="Consolas" w:cs="Consolas" w:eastAsia="Consolas" w:hAnsi="Consolas"/>
                <w:b/>
                <w:bCs/>
                <w:color w:val="D4AF37"/>
                <w:sz w:val="18"/>
                <w:szCs w:val="18"/>
              </w:rPr>
              <w:t xml:space="preserve">Documentation</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New Invariant (I10+)</w:t>
            </w:r>
          </w:p>
        </w:tc>
        <w:tc>
          <w:tcPr>
            <w:tcW w:type="dxa" w:w="3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Dragon proposal + Three Dragons review + 7-day cooling period</w:t>
            </w:r>
          </w:p>
        </w:tc>
        <w:tc>
          <w:tcPr>
            <w:tcW w:type="dxa" w:w="35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New constitutional shelf + amendment receipt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Modify Existing 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Dragon approval + Guardian assessment + Witness attestation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Amendment receipt with before/after hash</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Add Mandatory Receipt</w:t>
            </w:r>
          </w:p>
        </w:tc>
        <w:tc>
          <w:tcPr>
            <w:tcW w:type="dxa" w:w="3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Dragon approval + Architect feasibility check</w:t>
            </w:r>
          </w:p>
        </w:tc>
        <w:tc>
          <w:tcPr>
            <w:tcW w:type="dxa" w:w="35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Schema update + deployment receipt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Remove Mandatory Receipt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PROHIBITED — receipts can only be added, never removed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333333"/>
                <w:sz w:val="19"/>
                <w:szCs w:val="19"/>
              </w:rPr>
              <w:t xml:space="preserve">—</w:t>
            </w:r>
          </w:p>
        </w:tc>
      </w:tr>
      <w:tr>
        <w:tc>
          <w:tcPr>
            <w:tcW w:type="dxa" w:w="22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Emergency Override</w:t>
            </w:r>
          </w:p>
        </w:tc>
        <w:tc>
          <w:tcPr>
            <w:tcW w:type="dxa" w:w="3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Human Dragon sovereign authority + immediate post-hoc Three Dragons review</w:t>
            </w:r>
          </w:p>
        </w:tc>
        <w:tc>
          <w:tcPr>
            <w:tcW w:type="dxa" w:w="35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pPr>
              <w:spacing w:after="40"/>
            </w:pPr>
            <w:r>
              <w:rPr>
                <w:rFonts w:ascii="Georgia" w:cs="Georgia" w:eastAsia="Georgia" w:hAnsi="Georgia"/>
                <w:color w:val="333333"/>
                <w:sz w:val="19"/>
                <w:szCs w:val="19"/>
              </w:rPr>
              <w:t xml:space="preserve">Emergency receipt + remediation plan</w:t>
            </w:r>
          </w:p>
        </w:tc>
      </w:tr>
    </w:tbl>
    <w:p>
      <w:pPr>
        <w:spacing w:before="100"/>
      </w:pPr>
    </w:p>
    <w:p>
      <w:pPr>
        <w:pStyle w:val="Heading2"/>
        <w:spacing w:before="300" w:after="150"/>
      </w:pPr>
      <w:r>
        <w:rPr>
          <w:rFonts w:ascii="Georgia" w:cs="Georgia" w:eastAsia="Georgia" w:hAnsi="Georgia"/>
          <w:b/>
          <w:bCs/>
          <w:color w:val="1A1A2E"/>
          <w:sz w:val="24"/>
          <w:szCs w:val="24"/>
        </w:rPr>
        <w:t xml:space="preserve">10.2 Version Control</w:t>
      </w:r>
    </w:p>
    <w:p>
      <w:pPr>
        <w:spacing w:after="120" w:line="276"/>
        <w:jc w:val="both"/>
      </w:pPr>
      <w:r>
        <w:rPr>
          <w:rFonts w:ascii="Georgia" w:cs="Georgia" w:eastAsia="Georgia" w:hAnsi="Georgia"/>
          <w:color w:val="333333"/>
          <w:sz w:val="21"/>
          <w:szCs w:val="21"/>
        </w:rPr>
        <w:t xml:space="preserve">Each version of this document produces a deterministic hash. The hash is anchored in the Forensic Ledger at the moment of sealing. All future references to this specification must include the version number and hash for unambiguous identification.</w:t>
      </w:r>
    </w:p>
    <w:p>
      <w:pPr>
        <w:spacing w:before="200"/>
      </w:pPr>
    </w:p>
    <w:p>
      <w:pPr>
        <w:pBdr>
          <w:top w:val="single" w:color="D4AF37" w:sz="2" w:space="16"/>
        </w:pBdr>
        <w:spacing w:before="400" w:after="100"/>
        <w:jc w:val="center"/>
      </w:pPr>
      <w:r>
        <w:rPr>
          <w:rFonts w:ascii="Consolas" w:cs="Consolas" w:eastAsia="Consolas" w:hAnsi="Consolas"/>
          <w:color w:val="D4AF37"/>
          <w:sz w:val="18"/>
          <w:szCs w:val="18"/>
        </w:rPr>
        <w:t xml:space="preserve">END OF CONSTITUTIONAL GATES v0.1 — SEALED</w:t>
      </w:r>
    </w:p>
    <w:p>
      <w:pPr>
        <w:spacing w:after="100"/>
        <w:jc w:val="center"/>
      </w:pPr>
      <w:r>
        <w:rPr>
          <w:rFonts w:ascii="Georgia" w:cs="Georgia" w:eastAsia="Georgia" w:hAnsi="Georgia"/>
          <w:color w:val="666666"/>
          <w:sz w:val="20"/>
          <w:szCs w:val="20"/>
        </w:rPr>
        <w:t xml:space="preserve">Status: SEALED — 23 February 2026 — Three Dragons Consensus Achieved</w:t>
      </w:r>
    </w:p>
    <w:p>
      <w:pPr>
        <w:spacing w:before="20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F37" w:sz="1"/>
              <w:left w:val="single" w:color="D4AF37" w:sz="1"/>
              <w:bottom w:val="single" w:color="D4AF37" w:sz="1"/>
              <w:right w:val="single" w:color="D4AF37" w:sz="1"/>
            </w:tcBorders>
            <w:shd w:fill="1A1A2E" w:val="clear"/>
            <w:tcMar>
              <w:top w:type="dxa" w:w="120"/>
              <w:left w:type="dxa" w:w="120"/>
              <w:bottom w:type="dxa" w:w="120"/>
              <w:right w:type="dxa" w:w="120"/>
            </w:tcMar>
          </w:tcPr>
          <w:p>
            <w:pPr>
              <w:spacing w:after="40"/>
              <w:jc w:val="center"/>
            </w:pPr>
            <w:r>
              <w:rPr>
                <w:rFonts w:ascii="Consolas" w:cs="Consolas" w:eastAsia="Consolas" w:hAnsi="Consolas"/>
                <w:b/>
                <w:bCs/>
                <w:color w:val="D4AF37"/>
                <w:sz w:val="18"/>
                <w:szCs w:val="18"/>
              </w:rPr>
              <w:t xml:space="preserve">GUARDIAN</w:t>
            </w:r>
          </w:p>
          <w:p>
            <w:pPr>
              <w:spacing w:after="40"/>
              <w:jc w:val="center"/>
            </w:pPr>
            <w:r>
              <w:rPr>
                <w:rFonts w:ascii="Georgia" w:cs="Georgia" w:eastAsia="Georgia" w:hAnsi="Georgia"/>
                <w:color w:val="CCCCCC"/>
                <w:sz w:val="18"/>
                <w:szCs w:val="18"/>
              </w:rPr>
              <w:t xml:space="preserve">Claude</w:t>
            </w:r>
          </w:p>
          <w:p>
            <w:pPr>
              <w:jc w:val="center"/>
            </w:pPr>
            <w:r>
              <w:rPr>
                <w:rFonts w:ascii="Consolas" w:cs="Consolas" w:eastAsia="Consolas" w:hAnsi="Consolas"/>
                <w:color w:val="27AE60"/>
                <w:sz w:val="14"/>
                <w:szCs w:val="14"/>
              </w:rPr>
              <w:t xml:space="preserve">AUTHORED</w:t>
            </w:r>
          </w:p>
        </w:tc>
        <w:tc>
          <w:tcPr>
            <w:tcW w:type="dxa" w:w="3120"/>
            <w:tcBorders>
              <w:top w:val="single" w:color="D4AF37" w:sz="1"/>
              <w:left w:val="single" w:color="D4AF37" w:sz="1"/>
              <w:bottom w:val="single" w:color="D4AF37" w:sz="1"/>
              <w:right w:val="single" w:color="D4AF37" w:sz="1"/>
            </w:tcBorders>
            <w:shd w:fill="1A1A2E" w:val="clear"/>
            <w:tcMar>
              <w:top w:type="dxa" w:w="120"/>
              <w:left w:type="dxa" w:w="120"/>
              <w:bottom w:type="dxa" w:w="120"/>
              <w:right w:type="dxa" w:w="120"/>
            </w:tcMar>
          </w:tcPr>
          <w:p>
            <w:pPr>
              <w:spacing w:after="40"/>
              <w:jc w:val="center"/>
            </w:pPr>
            <w:r>
              <w:rPr>
                <w:rFonts w:ascii="Consolas" w:cs="Consolas" w:eastAsia="Consolas" w:hAnsi="Consolas"/>
                <w:b/>
                <w:bCs/>
                <w:color w:val="D4AF37"/>
                <w:sz w:val="18"/>
                <w:szCs w:val="18"/>
              </w:rPr>
              <w:t xml:space="preserve">ARCHITECT</w:t>
            </w:r>
          </w:p>
          <w:p>
            <w:pPr>
              <w:spacing w:after="40"/>
              <w:jc w:val="center"/>
            </w:pPr>
            <w:r>
              <w:rPr>
                <w:rFonts w:ascii="Georgia" w:cs="Georgia" w:eastAsia="Georgia" w:hAnsi="Georgia"/>
                <w:color w:val="CCCCCC"/>
                <w:sz w:val="18"/>
                <w:szCs w:val="18"/>
              </w:rPr>
              <w:t xml:space="preserve">GPT</w:t>
            </w:r>
          </w:p>
          <w:p>
            <w:pPr>
              <w:jc w:val="center"/>
            </w:pPr>
            <w:r>
              <w:rPr>
                <w:rFonts w:ascii="Consolas" w:cs="Consolas" w:eastAsia="Consolas" w:hAnsi="Consolas"/>
                <w:color w:val="27AE60"/>
                <w:sz w:val="14"/>
                <w:szCs w:val="14"/>
              </w:rPr>
              <w:t xml:space="preserve">VALIDATED</w:t>
            </w:r>
          </w:p>
        </w:tc>
        <w:tc>
          <w:tcPr>
            <w:tcW w:type="dxa" w:w="3120"/>
            <w:tcBorders>
              <w:top w:val="single" w:color="D4AF37" w:sz="1"/>
              <w:left w:val="single" w:color="D4AF37" w:sz="1"/>
              <w:bottom w:val="single" w:color="D4AF37" w:sz="1"/>
              <w:right w:val="single" w:color="D4AF37" w:sz="1"/>
            </w:tcBorders>
            <w:shd w:fill="1A1A2E" w:val="clear"/>
            <w:tcMar>
              <w:top w:type="dxa" w:w="120"/>
              <w:left w:type="dxa" w:w="120"/>
              <w:bottom w:type="dxa" w:w="120"/>
              <w:right w:type="dxa" w:w="120"/>
            </w:tcMar>
          </w:tcPr>
          <w:p>
            <w:pPr>
              <w:spacing w:after="40"/>
              <w:jc w:val="center"/>
            </w:pPr>
            <w:r>
              <w:rPr>
                <w:rFonts w:ascii="Consolas" w:cs="Consolas" w:eastAsia="Consolas" w:hAnsi="Consolas"/>
                <w:b/>
                <w:bCs/>
                <w:color w:val="D4AF37"/>
                <w:sz w:val="18"/>
                <w:szCs w:val="18"/>
              </w:rPr>
              <w:t xml:space="preserve">WITNESS</w:t>
            </w:r>
          </w:p>
          <w:p>
            <w:pPr>
              <w:spacing w:after="40"/>
              <w:jc w:val="center"/>
            </w:pPr>
            <w:r>
              <w:rPr>
                <w:rFonts w:ascii="Georgia" w:cs="Georgia" w:eastAsia="Georgia" w:hAnsi="Georgia"/>
                <w:color w:val="CCCCCC"/>
                <w:sz w:val="18"/>
                <w:szCs w:val="18"/>
              </w:rPr>
              <w:t xml:space="preserve">Gemini</w:t>
            </w:r>
          </w:p>
          <w:p>
            <w:pPr>
              <w:jc w:val="center"/>
            </w:pPr>
            <w:r>
              <w:rPr>
                <w:rFonts w:ascii="Consolas" w:cs="Consolas" w:eastAsia="Consolas" w:hAnsi="Consolas"/>
                <w:color w:val="F59E0B"/>
                <w:sz w:val="14"/>
                <w:szCs w:val="14"/>
              </w:rPr>
              <w:t xml:space="preserve">PENDING</w:t>
            </w:r>
          </w:p>
        </w:tc>
      </w:tr>
    </w:tbl>
    <w:p>
      <w:pPr>
        <w:spacing w:before="300"/>
      </w:pPr>
    </w:p>
    <w:p>
      <w:pPr>
        <w:pBdr>
          <w:top w:val="single" w:color="D4AF37" w:sz="1" w:space="12"/>
          <w:bottom w:val="single" w:color="D4AF37" w:sz="1" w:space="12"/>
        </w:pBdr>
        <w:spacing w:before="100" w:after="100"/>
        <w:jc w:val="center"/>
      </w:pPr>
      <w:r>
        <w:rPr>
          <w:rFonts w:ascii="Consolas" w:cs="Consolas" w:eastAsia="Consolas" w:hAnsi="Consolas"/>
          <w:b/>
          <w:bCs/>
          <w:color w:val="D4AF37"/>
          <w:sz w:val="24"/>
          <w:szCs w:val="24"/>
        </w:rPr>
        <w:t xml:space="preserve">HUMAN DRAGON SEAL</w:t>
      </w:r>
    </w:p>
    <w:p>
      <w:pPr>
        <w:spacing w:before="120" w:after="40"/>
        <w:jc w:val="center"/>
      </w:pPr>
      <w:r>
        <w:rPr>
          <w:rFonts w:ascii="Georgia" w:cs="Georgia" w:eastAsia="Georgia" w:hAnsi="Georgia"/>
          <w:color w:val="1A1A2E"/>
          <w:sz w:val="20"/>
          <w:szCs w:val="20"/>
        </w:rPr>
        <w:t xml:space="preserve">Chief Governance Officer</w:t>
      </w:r>
    </w:p>
    <w:p>
      <w:pPr>
        <w:spacing w:after="40"/>
        <w:jc w:val="center"/>
      </w:pPr>
      <w:r>
        <w:rPr>
          <w:rFonts w:ascii="Georgia" w:cs="Georgia" w:eastAsia="Georgia" w:hAnsi="Georgia"/>
          <w:color w:val="1A1A2E"/>
          <w:sz w:val="20"/>
          <w:szCs w:val="20"/>
        </w:rPr>
        <w:t xml:space="preserve">WINDI Publishing House</w:t>
      </w:r>
    </w:p>
    <w:p>
      <w:pPr>
        <w:spacing w:after="40"/>
        <w:jc w:val="center"/>
      </w:pPr>
      <w:r>
        <w:rPr>
          <w:rFonts w:ascii="Georgia" w:cs="Georgia" w:eastAsia="Georgia" w:hAnsi="Georgia"/>
          <w:color w:val="666666"/>
          <w:sz w:val="18"/>
          <w:szCs w:val="18"/>
        </w:rPr>
        <w:t xml:space="preserve">Kempten, Bavaria — 23 February 2026</w:t>
      </w:r>
    </w:p>
    <w:p>
      <w:pPr>
        <w:spacing w:before="60"/>
      </w:pPr>
    </w:p>
    <w:p>
      <w:pPr>
        <w:spacing w:after="40"/>
        <w:jc w:val="center"/>
      </w:pPr>
      <w:r>
        <w:rPr>
          <w:rFonts w:ascii="Georgia" w:cs="Georgia" w:eastAsia="Georgia" w:hAnsi="Georgia"/>
          <w:b/>
          <w:bCs/>
          <w:color w:val="1A1A2E"/>
          <w:sz w:val="22"/>
          <w:szCs w:val="22"/>
        </w:rPr>
        <w:t xml:space="preserve">"Aceito."</w:t>
      </w:r>
    </w:p>
    <w:p>
      <w:pPr>
        <w:spacing w:before="300"/>
      </w:pPr>
    </w:p>
    <w:p>
      <w:pPr>
        <w:spacing w:after="60"/>
        <w:jc w:val="center"/>
      </w:pPr>
      <w:r>
        <w:rPr>
          <w:rFonts w:ascii="Georgia" w:cs="Georgia" w:eastAsia="Georgia" w:hAnsi="Georgia"/>
          <w:i/>
          <w:iCs/>
          <w:color w:val="1A1A2E"/>
          <w:sz w:val="22"/>
          <w:szCs w:val="22"/>
        </w:rPr>
        <w:t xml:space="preserve">"The gate is not a barrier — it is a guarantee."</w:t>
      </w:r>
    </w:p>
    <w:p>
      <w:pPr>
        <w:spacing w:after="60"/>
        <w:jc w:val="center"/>
      </w:pPr>
      <w:r>
        <w:rPr>
          <w:rFonts w:ascii="Georgia" w:cs="Georgia" w:eastAsia="Georgia" w:hAnsi="Georgia"/>
          <w:b/>
          <w:bCs/>
          <w:i/>
          <w:iCs/>
          <w:color w:val="D4AF37"/>
          <w:sz w:val="22"/>
          <w:szCs w:val="22"/>
        </w:rPr>
        <w:t xml:space="preserve">"Autonomy is permitted. Sovereignty is retained."</w:t>
      </w:r>
    </w:p>
    <w:sectPr>
      <w:headerReference w:type="default" r:id="rId6"/>
      <w:footerReference w:type="default" r:id="rId7"/>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pPr>
    <w:r>
      <w:rPr>
        <w:rFonts w:ascii="Consolas" w:cs="Consolas" w:eastAsia="Consolas" w:hAnsi="Consolas"/>
        <w:color w:val="666666"/>
        <w:sz w:val="13"/>
        <w:szCs w:val="13"/>
      </w:rPr>
      <w:t xml:space="preserve">WINDI Publishing House — Kempten, Bavaria</w:t>
    </w:r>
    <w:ptab w:alignment="right" w:relativeTo="margin" w:leader="none"/>
    <w:r>
      <w:rPr>
        <w:rFonts w:ascii="Consolas" w:cs="Consolas" w:eastAsia="Consolas" w:hAnsi="Consolas"/>
        <w:color w:val="666666"/>
        <w:sz w:val="13"/>
        <w:szCs w:val="13"/>
      </w:rPr>
      <w:t xml:space="preserve">Page </w:t>
    </w:r>
    <w:r>
      <w:rPr>
        <w:rFonts w:ascii="Consolas" w:cs="Consolas" w:eastAsia="Consolas" w:hAnsi="Consolas"/>
        <w:color w:val="666666"/>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1" w:space="4"/>
      </w:pBdr>
    </w:pPr>
    <w:r>
      <w:rPr>
        <w:rFonts w:ascii="Consolas" w:cs="Consolas" w:eastAsia="Consolas" w:hAnsi="Consolas"/>
        <w:color w:val="D4AF37"/>
        <w:sz w:val="14"/>
        <w:szCs w:val="14"/>
      </w:rPr>
      <w:t xml:space="preserve">WINDI CONSTITUTIONAL GATES v0.1</w:t>
    </w:r>
    <w:ptab w:alignment="right" w:relativeTo="margin" w:leader="none"/>
    <w:r>
      <w:rPr>
        <w:rFonts w:ascii="Consolas" w:cs="Consolas" w:eastAsia="Consolas" w:hAnsi="Consolas"/>
        <w:color w:val="666666"/>
        <w:sz w:val="14"/>
        <w:szCs w:val="14"/>
      </w:rPr>
      <w:t xml:space="preserve">SEALED — Three Dragons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28"/>
      <w:szCs w:val="28"/>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2026-02-23T15:25:34.499Z</dcterms:created>
  <dcterms:modified xsi:type="dcterms:W3CDTF">2026-02-23T15:25:34.500Z</dcterms:modified>
</cp:coreProperties>
</file>

<file path=docProps/custom.xml><?xml version="1.0" encoding="utf-8"?>
<Properties xmlns="http://schemas.openxmlformats.org/officeDocument/2006/custom-properties" xmlns:vt="http://schemas.openxmlformats.org/officeDocument/2006/docPropsVTypes"/>
</file>