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Bricolage Grotesque" w:cs="Bricolage Grotesque" w:eastAsia="Bricolage Grotesque" w:hAnsi="Bricolage Grotesque"/>
          <w:b/>
          <w:bCs/>
          <w:color w:val="1A1A2E"/>
          <w:sz w:val="56"/>
          <w:szCs w:val="56"/>
        </w:rPr>
        <w:t xml:space="preserve">WINDI MARKETPLACE</w:t>
      </w:r>
    </w:p>
    <w:p>
      <w:pPr>
        <w:spacing w:after="100"/>
        <w:jc w:val="center"/>
      </w:pPr>
      <w:r>
        <w:rPr>
          <w:rFonts w:ascii="Bricolage Grotesque" w:cs="Bricolage Grotesque" w:eastAsia="Bricolage Grotesque" w:hAnsi="Bricolage Grotesque"/>
          <w:color w:val="C9A84C"/>
          <w:sz w:val="36"/>
          <w:szCs w:val="36"/>
        </w:rPr>
        <w:t xml:space="preserve">ECOSYSTEM ARCHITECTURE</w:t>
      </w:r>
    </w:p>
    <w:p>
      <w:pPr>
        <w:pBdr>
          <w:bottom w:val="single" w:color="C9A84C" w:sz="3"/>
        </w:pBdr>
        <w:spacing w:after="600"/>
        <w:jc w:val="center"/>
      </w:pPr>
      <w:r>
        <w:rPr>
          <w:sz w:val="4"/>
          <w:szCs w:val="4"/>
        </w:rPr>
        <w:t xml:space="preserve"> </w:t>
      </w:r>
    </w:p>
    <w:p>
      <w:pPr>
        <w:spacing w:after="100"/>
        <w:jc w:val="center"/>
      </w:pPr>
      <w:r>
        <w:rPr>
          <w:rFonts w:ascii="Outfit" w:cs="Outfit" w:eastAsia="Outfit" w:hAnsi="Outfit"/>
          <w:color w:val="4A4A5A"/>
          <w:sz w:val="28"/>
          <w:szCs w:val="28"/>
        </w:rPr>
        <w:t xml:space="preserve">From Governance Engine to Platform Economy</w:t>
      </w:r>
    </w:p>
    <w:p>
      <w:pPr>
        <w:spacing w:after="100"/>
        <w:jc w:val="center"/>
      </w:pPr>
      <w:r>
        <w:rPr>
          <w:rFonts w:ascii="Outfit" w:cs="Outfit" w:eastAsia="Outfit" w:hAnsi="Outfit"/>
          <w:color w:val="4A4A5A"/>
          <w:sz w:val="24"/>
          <w:szCs w:val="24"/>
        </w:rPr>
        <w:t xml:space="preserve">76% Autonomous | 24% LLM-Enhanced | 100% Sovereign</w:t>
      </w:r>
    </w:p>
    <w:p>
      <w:pPr>
        <w:spacing w:before="2000"/>
      </w:pPr>
    </w:p>
    <w:p>
      <w:pPr>
        <w:jc w:val="center"/>
      </w:pPr>
      <w:r>
        <w:rPr>
          <w:rFonts w:ascii="Outfit" w:cs="Outfit" w:eastAsia="Outfit" w:hAnsi="Outfit"/>
          <w:color w:val="4A4A5A"/>
          <w:sz w:val="22"/>
          <w:szCs w:val="22"/>
        </w:rPr>
        <w:t xml:space="preserve">WINDI Publishing House | Kempten (Allgäu), Germany</w:t>
      </w:r>
    </w:p>
    <w:p>
      <w:pPr>
        <w:jc w:val="center"/>
      </w:pPr>
      <w:r>
        <w:rPr>
          <w:rFonts w:ascii="Outfit" w:cs="Outfit" w:eastAsia="Outfit" w:hAnsi="Outfit"/>
          <w:color w:val="4A4A5A"/>
          <w:sz w:val="22"/>
          <w:szCs w:val="22"/>
        </w:rPr>
        <w:t xml:space="preserve">Version 1.0 | 10 February 2026</w:t>
      </w:r>
    </w:p>
    <w:p>
      <w:pPr>
        <w:spacing w:before="200"/>
        <w:jc w:val="center"/>
      </w:pPr>
      <w:r>
        <w:rPr>
          <w:rFonts w:ascii="Outfit" w:cs="Outfit" w:eastAsia="Outfit" w:hAnsi="Outfit"/>
          <w:i/>
          <w:iCs/>
          <w:color w:val="C9A84C"/>
          <w:sz w:val="20"/>
          <w:szCs w:val="20"/>
        </w:rPr>
        <w:t xml:space="preserve">"AI processes. Human decides. WINDI guarantees."</w:t>
      </w:r>
    </w:p>
    <w:p>
      <w:pPr>
        <w:sectPr>
          <w:pgSz w:w="11906" w:h="16838"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t xml:space="preserve"/>
      </w:r>
    </w:p>
    <w:p>
      <w:pPr>
        <w:sectPr>
          <w:pgSz w:w="11906" w:h="16838" w:orient="portrait"/>
          <w:pgMar w:top="1440" w:right="1440" w:bottom="1440" w:left="1440" w:header="708" w:footer="708" w:gutter="0"/>
          <w:pgNumType/>
          <w:docGrid w:linePitch="360"/>
        </w:sectPr>
      </w:pPr>
    </w:p>
    <w:p>
      <w:pPr>
        <w:pStyle w:val="Heading1"/>
      </w:pPr>
      <w:r>
        <w:t xml:space="preserve">1. Strategic Foundation</w:t>
      </w:r>
    </w:p>
    <w:p>
      <w:pPr>
        <w:spacing w:after="120"/>
      </w:pPr>
      <w:r>
        <w:rPr>
          <w:rFonts w:ascii="Outfit" w:cs="Outfit" w:eastAsia="Outfit" w:hAnsi="Outfit"/>
          <w:color w:val="4A4A5A"/>
          <w:sz w:val="22"/>
          <w:szCs w:val="22"/>
        </w:rPr>
        <w:t xml:space="preserve">The WINDI Marketplace is not an app store. It is a Governance Economy — a platform where every component sold, shared, or deployed operates under constitutional constraints. The marketplace inherits the same I1-I9 invariants that govern the core engine, ensuring that ecosystem expansion never compromises sovereignty.</w:t>
      </w:r>
    </w:p>
    <w:p>
      <w:pPr>
        <w:spacing w:after="120"/>
      </w:pPr>
      <w:r>
        <w:rPr>
          <w:rFonts w:ascii="Outfit" w:cs="Outfit" w:eastAsia="Outfit" w:hAnsi="Outfit"/>
          <w:color w:val="4A4A5A"/>
          <w:sz w:val="22"/>
          <w:szCs w:val="22"/>
        </w:rPr>
        <w:t xml:space="preserve">The 76/24 architecture split creates a natural marketplace boundary: the autonomous governance layer (76%) forms the FREE foundation that attracts organizations, while the LLM-enhanced intelligence layer (24%) creates premium value that drives revenue. Every marketplace product exists on this spectrum.</w:t>
      </w:r>
    </w:p>
    <w:p>
      <w:pPr>
        <w:shd w:fill="C9A84C" w:val="clear"/>
        <w:spacing w:before="300" w:after="200"/>
      </w:pPr>
      <w:r>
        <w:rPr>
          <w:rFonts w:ascii="Bricolage Grotesque" w:cs="Bricolage Grotesque" w:eastAsia="Bricolage Grotesque" w:hAnsi="Bricolage Grotesque"/>
          <w:b/>
          <w:bCs/>
          <w:color w:val="FFFFFF"/>
          <w:sz w:val="28"/>
          <w:szCs w:val="28"/>
        </w:rPr>
        <w:t xml:space="preserve">  CORE PRINCIPLE</w:t>
      </w:r>
    </w:p>
    <w:p>
      <w:pPr>
        <w:spacing w:after="120"/>
      </w:pPr>
      <w:r>
        <w:rPr>
          <w:rFonts w:ascii="Outfit" w:cs="Outfit" w:eastAsia="Outfit" w:hAnsi="Outfit"/>
          <w:color w:val="4A4A5A"/>
          <w:sz w:val="22"/>
          <w:szCs w:val="22"/>
        </w:rPr>
        <w:t xml:space="preserve">Every item in the WINDI Marketplace must pass the Constitutional Gate before deployment. No marketplace product can override human decision authority, escalate its own permissions, or operate outside the I9 boundary. The marketplace sells instruments, never autonomy.</w:t>
      </w:r>
    </w:p>
    <w:p>
      <w:pPr>
        <w:pBdr>
          <w:bottom w:val="single" w:color="C9A84C" w:sz="1"/>
        </w:pBdr>
        <w:spacing w:before="100" w:after="100"/>
      </w:pPr>
      <w:r>
        <w:rPr>
          <w:sz w:val="4"/>
          <w:szCs w:val="4"/>
        </w:rPr>
        <w:t xml:space="preserve"> </w:t>
      </w:r>
    </w:p>
    <w:p>
      <w:pPr>
        <w:pStyle w:val="Heading1"/>
      </w:pPr>
      <w:r>
        <w:t xml:space="preserve">2. Marketplace Verticals</w:t>
      </w:r>
    </w:p>
    <w:p>
      <w:pPr>
        <w:spacing w:after="120"/>
      </w:pPr>
      <w:r>
        <w:rPr>
          <w:rFonts w:ascii="Outfit" w:cs="Outfit" w:eastAsia="Outfit" w:hAnsi="Outfit"/>
          <w:color w:val="4A4A5A"/>
          <w:sz w:val="22"/>
          <w:szCs w:val="22"/>
        </w:rPr>
        <w:t xml:space="preserve">The WINDI Marketplace operates across seven interconnected verticals, each serving a distinct customer need while feeding the governance ecosystem. These verticals are not independent silos — they share the Constitutional Gate, the Forensic Ledger, and the ISP infrastructure.</w:t>
      </w:r>
    </w:p>
    <w:p>
      <w:pPr>
        <w:pStyle w:val="Heading2"/>
      </w:pPr>
      <w:r>
        <w:t xml:space="preserve">2.1 The Seven Verticals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00"/>
        <w:gridCol w:w="1500"/>
        <w:gridCol w:w="1226"/>
        <w:gridCol w:w="1500"/>
      </w:tblGrid>
      <w:tr>
        <w:tc>
          <w:tcPr>
            <w:tcW w:type="dxa" w:w="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Vertical</w:t>
            </w:r>
          </w:p>
        </w:tc>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Tier</w:t>
            </w:r>
          </w:p>
        </w:tc>
        <w:tc>
          <w:tcPr>
            <w:tcW w:type="dxa" w:w="12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LLM?</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Revenue Model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ISP 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Pre-built Institutional Style Profiles for industries &amp; orgs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FREE+PRO</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Per-ISP license</w:t>
            </w:r>
          </w:p>
        </w:tc>
      </w:tr>
      <w:tr>
        <w:tc>
          <w:tcPr>
            <w:tcW w:type="dxa" w:w="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V2</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Agent Bazaar</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Specialized agents (Compliance, Audit, DSGVO, ESG, Anti-Fraud)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PRO+ENT</w:t>
            </w:r>
          </w:p>
        </w:tc>
        <w:tc>
          <w:tcPr>
            <w:tcW w:type="dxa" w:w="12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Required</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Per-agent/month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Template Market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Governance-enabled doc templates (contracts, reports, Bescheide)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FREE+PRO</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Per-template</w:t>
            </w:r>
          </w:p>
        </w:tc>
      </w:tr>
      <w:tr>
        <w:tc>
          <w:tcPr>
            <w:tcW w:type="dxa" w:w="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V4</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Connector Hub</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Integrations: SAP, Salesforce, SharePoint, DATEV, BMD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PRO+ENT</w:t>
            </w:r>
          </w:p>
        </w:tc>
        <w:tc>
          <w:tcPr>
            <w:tcW w:type="dxa" w:w="12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Varies</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Per-connector/month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Compliance Packs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Regulatory packages: EU AI Act, DSGVO, ISO 27001, BSI C5, SOX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PRO+ENT</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Required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Annual license</w:t>
            </w:r>
          </w:p>
        </w:tc>
      </w:tr>
      <w:tr>
        <w:tc>
          <w:tcPr>
            <w:tcW w:type="dxa" w:w="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V6</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Intelligence Layer</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Analytics, benchmarks, industry governance scoring, risk heatmaps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ENTERPRISE</w:t>
            </w:r>
          </w:p>
        </w:tc>
        <w:tc>
          <w:tcPr>
            <w:tcW w:type="dxa" w:w="12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Required</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Per-seat/month</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Developer SDK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APIs, SDKs, and tools for third-party developers to build on WINDI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FREE+PRO</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Rev share + API calls</w:t>
            </w:r>
          </w:p>
        </w:tc>
      </w:tr>
    </w:tbl>
    <w:p>
      <w:pPr>
        <w:spacing w:after="200"/>
      </w:pPr>
    </w:p>
    <w:p>
      <w:pPr>
        <w:pStyle w:val="Heading2"/>
      </w:pPr>
      <w:r>
        <w:t xml:space="preserve">2.2 V1: ISP Store — The Foundation</w:t>
      </w:r>
    </w:p>
    <w:p>
      <w:pPr>
        <w:spacing w:after="120"/>
      </w:pPr>
      <w:r>
        <w:rPr>
          <w:rFonts w:ascii="Outfit" w:cs="Outfit" w:eastAsia="Outfit" w:hAnsi="Outfit"/>
          <w:color w:val="4A4A5A"/>
          <w:sz w:val="22"/>
          <w:szCs w:val="22"/>
        </w:rPr>
        <w:t xml:space="preserve">The ISP Store is the marketplace anchor. Every organization needs document governance profiles, and WINDI already has 17 production-ready ISPs. The store transforms these from internal assets into licensable products.</w:t>
      </w:r>
    </w:p>
    <w:p>
      <w:pPr>
        <w:pStyle w:val="Heading3"/>
      </w:pPr>
      <w:r>
        <w:t xml:space="preserve">ISP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26"/>
        <w:gridCol w:w="1500"/>
        <w:gridCol w:w="1500"/>
      </w:tblGrid>
      <w:tr>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Examples</w:t>
            </w:r>
          </w:p>
        </w:tc>
        <w:tc>
          <w:tcPr>
            <w:tcW w:type="dxa" w:w="15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Risk Level</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Price Range</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LLM Need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Government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Bundesregierung, Landesregierung, Kommune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€200-500/yr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r>
      <w:tr>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Corporate</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Deutsche Bahn, Siemens, Bosch, BMW</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HIGH</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€300-800/yr</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Financial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ECB, BaFin, Bundesbank, KfW</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€500-1500/yr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Healthcare</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Kliniken, Kassenverbände, Pharma</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CRITICAL</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€400-1200/yr</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Legal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Kanzleien, Notare, Gerichte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€250-700/yr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r>
      <w:tr>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Industry-Specific</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Food (Verpackung), Energy, Logistics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MEDIUM</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€150-400/yr</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Education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Universitäten, Schulen, Forschung</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€100-250/yr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No</w:t>
            </w:r>
          </w:p>
        </w:tc>
      </w:tr>
      <w:tr>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Community</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User-created, open-source ISPs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LOW</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FREE</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No</w:t>
            </w:r>
          </w:p>
        </w:tc>
      </w:tr>
    </w:tbl>
    <w:p>
      <w:pPr>
        <w:spacing w:after="200"/>
      </w:pPr>
    </w:p>
    <w:p>
      <w:pPr>
        <w:spacing w:after="120"/>
      </w:pPr>
      <w:r>
        <w:rPr>
          <w:rFonts w:ascii="Outfit" w:cs="Outfit" w:eastAsia="Outfit" w:hAnsi="Outfit"/>
          <w:b/>
          <w:bCs/>
          <w:color w:val="1A1A2E"/>
          <w:sz w:val="22"/>
          <w:szCs w:val="22"/>
        </w:rPr>
        <w:t xml:space="preserve">Revenue Potential: </w:t>
      </w:r>
      <w:r>
        <w:rPr>
          <w:rFonts w:ascii="Outfit" w:cs="Outfit" w:eastAsia="Outfit" w:hAnsi="Outfit"/>
          <w:color w:val="4A4A5A"/>
          <w:sz w:val="22"/>
          <w:szCs w:val="22"/>
        </w:rPr>
        <w:t xml:space="preserve">With 17 ISPs today scaling to 200+ within 18 months, and an average license of €350/year, the ISP Store alone can generate €500K-2M ARR with zero LLM cost on the basic tier.</w:t>
      </w:r>
    </w:p>
    <w:p>
      <w:pPr>
        <w:spacing w:after="120"/>
      </w:pPr>
      <w:r>
        <w:rPr>
          <w:rFonts w:ascii="Outfit" w:cs="Outfit" w:eastAsia="Outfit" w:hAnsi="Outfit"/>
          <w:b/>
          <w:bCs/>
          <w:color w:val="1A1A2E"/>
          <w:sz w:val="22"/>
          <w:szCs w:val="22"/>
        </w:rPr>
        <w:t xml:space="preserve">Community Model: </w:t>
      </w:r>
      <w:r>
        <w:rPr>
          <w:rFonts w:ascii="Outfit" w:cs="Outfit" w:eastAsia="Outfit" w:hAnsi="Outfit"/>
          <w:color w:val="4A4A5A"/>
          <w:sz w:val="22"/>
          <w:szCs w:val="22"/>
        </w:rPr>
        <w:t xml:space="preserve">Certified partners and users can create and sell ISPs through the store, with WINDI taking 20-30% commission. Every community ISP must pass Constitutional Gate validation before listing.</w:t>
      </w:r>
    </w:p>
    <w:p>
      <w:pPr>
        <w:pStyle w:val="Heading2"/>
      </w:pPr>
      <w:r>
        <w:t xml:space="preserve">2.3 V2: Agent Bazaar — The Premium Engine</w:t>
      </w:r>
    </w:p>
    <w:p>
      <w:pPr>
        <w:spacing w:after="120"/>
      </w:pPr>
      <w:r>
        <w:rPr>
          <w:rFonts w:ascii="Outfit" w:cs="Outfit" w:eastAsia="Outfit" w:hAnsi="Outfit"/>
          <w:color w:val="4A4A5A"/>
          <w:sz w:val="22"/>
          <w:szCs w:val="22"/>
        </w:rPr>
        <w:t xml:space="preserve">The Agent Bazaar sells specialized AI agents that operate within the WINDI constitutional framework. Each agent is born with a Manifest, bound by I9, and subordinate to human operators. This is where the 24% LLM dependency becomes premium value.</w:t>
      </w:r>
    </w:p>
    <w:p>
      <w:pPr>
        <w:pStyle w:val="Heading3"/>
      </w:pPr>
      <w:r>
        <w:t xml:space="preserve">Agent Catalogue (Planned)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1426"/>
        <w:gridCol w:w="1500"/>
      </w:tblGrid>
      <w:tr>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Agent</w:t>
            </w:r>
          </w:p>
        </w:tc>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Function</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LLM Provider</w:t>
            </w:r>
          </w:p>
        </w:tc>
        <w:tc>
          <w:tcPr>
            <w:tcW w:type="dxa" w:w="14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Price</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Praktikant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Document preparation, verification, organization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Claude/GPT</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Included PRO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LIVE</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Compliance Officer</w:t>
            </w:r>
          </w:p>
        </w:tc>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Regulatory scanning, gap analysis, audit prep</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w:t>
            </w:r>
          </w:p>
        </w:tc>
        <w:tc>
          <w:tcPr>
            <w:tcW w:type="dxa" w:w="14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PLANNED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ISP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Profile creation, validation, lifecycle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Optional</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Included PRO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v1.0 READY</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Diagramador</w:t>
            </w:r>
          </w:p>
        </w:tc>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Document layout, visual formatting, brand compliance</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Claude/GPT</w:t>
            </w:r>
          </w:p>
        </w:tc>
        <w:tc>
          <w:tcPr>
            <w:tcW w:type="dxa" w:w="14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PLANNED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DSGVO Guardian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Privacy impact assessment, data mapping, consent tracking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€20/user/mo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ROADMAP</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ESG Reporter</w:t>
            </w:r>
          </w:p>
        </w:tc>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Sustainability reporting, CSRD compliance, carbon tracking</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Claude/Gemini</w:t>
            </w:r>
          </w:p>
        </w:tc>
        <w:tc>
          <w:tcPr>
            <w:tcW w:type="dxa" w:w="14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ROADMAP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Anti-Fraud Sentinel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DeepDOCFakes detection, document authenticity verification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€30/user/mo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ROADMAP</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Contract Analyst</w:t>
            </w:r>
          </w:p>
        </w:tc>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Clause extraction, risk flagging, renewal tracking</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Claude/GPT</w:t>
            </w:r>
          </w:p>
        </w:tc>
        <w:tc>
          <w:tcPr>
            <w:tcW w:type="dxa" w:w="14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€20/user/mo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ROADMAP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Audit Trail Keeper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Complete decision chain documentation, Merkle proof generation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None (rule-based)</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Included 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ROADMAP</w:t>
            </w:r>
          </w:p>
        </w:tc>
      </w:tr>
    </w:tbl>
    <w:p>
      <w:pPr>
        <w:spacing w:after="200"/>
      </w:pPr>
    </w:p>
    <w:p>
      <w:pPr>
        <w:shd w:fill="C9A84C" w:val="clear"/>
        <w:spacing w:before="300" w:after="200"/>
      </w:pPr>
      <w:r>
        <w:rPr>
          <w:rFonts w:ascii="Bricolage Grotesque" w:cs="Bricolage Grotesque" w:eastAsia="Bricolage Grotesque" w:hAnsi="Bricolage Grotesque"/>
          <w:b/>
          <w:bCs/>
          <w:color w:val="FFFFFF"/>
          <w:sz w:val="28"/>
          <w:szCs w:val="28"/>
        </w:rPr>
        <w:t xml:space="preserve">  AGENT MARKETPLACE RULES</w:t>
      </w:r>
    </w:p>
    <w:p>
      <w:pPr>
        <w:spacing w:after="120"/>
      </w:pPr>
      <w:r>
        <w:rPr>
          <w:rFonts w:ascii="Outfit" w:cs="Outfit" w:eastAsia="Outfit" w:hAnsi="Outfit"/>
          <w:color w:val="4A4A5A"/>
          <w:sz w:val="22"/>
          <w:szCs w:val="22"/>
        </w:rPr>
        <w:t xml:space="preserve">Every agent listed in the Bazaar must include: (1) a Manifest with declared capabilities and restrictions, (2) I9 compliance certification, (3) a Constitutional Capsule with invariant bindings, (4) declared LLM dependencies with fallback to rule-based operation, and (5) a Forensic Ledger integration for audit trails. Third-party developers can submit agents for certification.</w:t>
      </w:r>
    </w:p>
    <w:p>
      <w:pPr>
        <w:pStyle w:val="Heading2"/>
      </w:pPr>
      <w:r>
        <w:t xml:space="preserve">2.4 V3: Template Market</w:t>
      </w:r>
    </w:p>
    <w:p>
      <w:pPr>
        <w:spacing w:after="120"/>
      </w:pPr>
      <w:r>
        <w:rPr>
          <w:rFonts w:ascii="Outfit" w:cs="Outfit" w:eastAsia="Outfit" w:hAnsi="Outfit"/>
          <w:color w:val="4A4A5A"/>
          <w:sz w:val="22"/>
          <w:szCs w:val="22"/>
        </w:rPr>
        <w:t xml:space="preserve">Governance-enabled document templates that combine visual formatting (ISP layer) with constitutional constraints (governance layer). Unlike traditional template stores, every WINDI template carries embedded governance metadata, SGE classification hooks, and Forensic Receipt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026"/>
      </w:tblGrid>
      <w:t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Template Type</w:t>
            </w:r>
          </w:p>
        </w:tc>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Use Cases</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Governance Level</w:t>
            </w:r>
          </w:p>
        </w:tc>
        <w:tc>
          <w:tcPr>
            <w:tcW w:type="dxa" w:w="20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Bescheid (Official Notice)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Government decisions, permits, approvals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L3 - Full Audit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€50-150/template</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Vertrag (Contract)</w:t>
            </w:r>
          </w:p>
        </w:tc>
        <w:tc>
          <w:tcPr>
            <w:tcW w:type="dxa" w:w="3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Commercial agreements, NDAs, SLAs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L2 - Tracked</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€30-100/template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Bericht (Report)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Financial reports, ESG disclosures, audits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L2 - Tracked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€25-80/template</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Protokoll (Minutes)</w:t>
            </w:r>
          </w:p>
        </w:tc>
        <w:tc>
          <w:tcPr>
            <w:tcW w:type="dxa" w:w="3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Board meetings, committee decisions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L2 - Tracked</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€20-50/template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Antrag (Application)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Permit applications, funding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L1 - Basic</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€15-40/template</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Community Templates</w:t>
            </w:r>
          </w:p>
        </w:tc>
        <w:tc>
          <w:tcPr>
            <w:tcW w:type="dxa" w:w="3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User-created, peer-reviewed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L1 - Basic</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FREE</w:t>
            </w:r>
          </w:p>
        </w:tc>
      </w:tr>
    </w:tbl>
    <w:p>
      <w:pPr>
        <w:spacing w:after="200"/>
      </w:pPr>
    </w:p>
    <w:p>
      <w:pPr>
        <w:pStyle w:val="Heading2"/>
      </w:pPr>
      <w:r>
        <w:t xml:space="preserve">2.5 V4: Connector Hub</w:t>
      </w:r>
    </w:p>
    <w:p>
      <w:pPr>
        <w:spacing w:after="120"/>
      </w:pPr>
      <w:r>
        <w:rPr>
          <w:rFonts w:ascii="Outfit" w:cs="Outfit" w:eastAsia="Outfit" w:hAnsi="Outfit"/>
          <w:color w:val="4A4A5A"/>
          <w:sz w:val="22"/>
          <w:szCs w:val="22"/>
        </w:rPr>
        <w:t xml:space="preserve">Enterprise integrations that bridge WINDI governance into existing infrastructure. Each connector wraps external system interactions in Constitutional Gate validation, ensuring that governance rules follow documents across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500"/>
        <w:gridCol w:w="1726"/>
        <w:gridCol w:w="1500"/>
      </w:tblGrid>
      <w:tr>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Connector</w:t>
            </w:r>
          </w:p>
        </w:tc>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Integration Scope</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Priority</w:t>
            </w:r>
          </w:p>
        </w:tc>
        <w:tc>
          <w:tcPr>
            <w:tcW w:type="dxa" w:w="17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Price</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Timeline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SAP S/4HANA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Document flows, approval chains, compliance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P0 - Critical</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€50-100/user/mo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Q3 2026</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Microsoft 365</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SharePoint, Teams, Outlook governance overlay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P0 - Critical</w:t>
            </w:r>
          </w:p>
        </w:tc>
        <w:tc>
          <w:tcPr>
            <w:tcW w:type="dxa" w:w="17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€20-40/user/mo</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Q3 2026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DATEV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Tax documents, financial records, Steuerberater workflow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P1 - High</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€30-60/user/mo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Q4 2026</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Salesforce</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Contract lifecycle, proposal governance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P1 - High</w:t>
            </w:r>
          </w:p>
        </w:tc>
        <w:tc>
          <w:tcPr>
            <w:tcW w:type="dxa" w:w="17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€25-50/user/mo</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Q4 2026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DocuSign/Adobe Sign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Signature workflow with governance pre-validation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P1 - High</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€15-30/user/mo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Q1 2027</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Jira/Confluence</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Project documentation governance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P2 - Medium</w:t>
            </w:r>
          </w:p>
        </w:tc>
        <w:tc>
          <w:tcPr>
            <w:tcW w:type="dxa" w:w="17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€10-20/user/mo</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Q1 2027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Custom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REST/GraphQL connector framework for any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P2 - Medium</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Dev SDK included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Q2 2027</w:t>
            </w:r>
          </w:p>
        </w:tc>
      </w:tr>
    </w:tbl>
    <w:p>
      <w:pPr>
        <w:spacing w:after="200"/>
      </w:pPr>
    </w:p>
    <w:p>
      <w:pPr>
        <w:pStyle w:val="Heading2"/>
      </w:pPr>
      <w:r>
        <w:t xml:space="preserve">2.6 V5: Compliance Packs</w:t>
      </w:r>
    </w:p>
    <w:p>
      <w:pPr>
        <w:spacing w:after="120"/>
      </w:pPr>
      <w:r>
        <w:rPr>
          <w:rFonts w:ascii="Outfit" w:cs="Outfit" w:eastAsia="Outfit" w:hAnsi="Outfit"/>
          <w:color w:val="4A4A5A"/>
          <w:sz w:val="22"/>
          <w:szCs w:val="22"/>
        </w:rPr>
        <w:t xml:space="preserve">Pre-configured regulatory compliance packages that combine ISPs, agent rules, SGE patterns, and audit templates into turnkey solutions. Each pack maps to specific regulatory frameworks and includes automatic update subscriptions as regulations evolve.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26"/>
        <w:gridCol w:w="2000"/>
      </w:tblGrid>
      <w:tr>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Compliance Pack</w:t>
            </w:r>
          </w:p>
        </w:tc>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Coverage</w:t>
            </w:r>
          </w:p>
        </w:tc>
        <w:tc>
          <w:tcPr>
            <w:tcW w:type="dxa" w:w="20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Target Market</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Annual License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EU AI Act Complete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Risk classification, transparency, human oversight documentation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All EU AI deployers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€2,000-8,000</w:t>
            </w:r>
          </w:p>
        </w:tc>
      </w:tr>
      <w:tr>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DSGVO/GDPR Full</w:t>
            </w:r>
          </w:p>
        </w:tc>
        <w:tc>
          <w:tcPr>
            <w:tcW w:type="dxa" w:w="3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DPIAs, consent records, breach notifications, Art. 30 registry</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All EU data controllers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€1,500-5,000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ISO 27001 + BSI C5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Information security policies, risk assessments, audit evidence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German 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€3,000-10,000</w:t>
            </w:r>
          </w:p>
        </w:tc>
      </w:tr>
      <w:tr>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CSRD/ESG Reporting</w:t>
            </w:r>
          </w:p>
        </w:tc>
        <w:tc>
          <w:tcPr>
            <w:tcW w:type="dxa" w:w="3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Sustainability disclosures, double materiality, taxonomy alignment</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EU large companies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€2,500-7,000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Financial Services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MiFID II, BaFin requirements, AML/KYC documentation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Banks, insurers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€5,000-15,000</w:t>
            </w:r>
          </w:p>
        </w:tc>
      </w:tr>
      <w:tr>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Healthcare (SGB V)</w:t>
            </w:r>
          </w:p>
        </w:tc>
        <w:tc>
          <w:tcPr>
            <w:tcW w:type="dxa" w:w="3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Patient data governance, clinical documentation, MDR compliance</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Hospitals, pharma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€3,000-12,000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SOX Compliance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Internal controls, financial reporting integrity, audit trails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US-listed companies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€4,000-12,000</w:t>
            </w:r>
          </w:p>
        </w:tc>
      </w:tr>
    </w:tbl>
    <w:p>
      <w:pPr>
        <w:spacing w:after="200"/>
      </w:pPr>
    </w:p>
    <w:p>
      <w:pPr>
        <w:pStyle w:val="Heading2"/>
      </w:pPr>
      <w:r>
        <w:t xml:space="preserve">2.7 V6: Intelligence Layer</w:t>
      </w:r>
    </w:p>
    <w:p>
      <w:pPr>
        <w:spacing w:after="120"/>
      </w:pPr>
      <w:r>
        <w:rPr>
          <w:rFonts w:ascii="Outfit" w:cs="Outfit" w:eastAsia="Outfit" w:hAnsi="Outfit"/>
          <w:color w:val="4A4A5A"/>
          <w:sz w:val="22"/>
          <w:szCs w:val="22"/>
        </w:rPr>
        <w:t xml:space="preserve">The premium analytics tier that transforms governance data into strategic intelligence. This layer requires LLM inference and is exclusively Enterprise tier. It positions WINDI as the "Ethical Bloomberg for Governance" — real-time visibility into organizational document health, risk patterns, and compliance posture.</w:t>
      </w:r>
    </w:p>
    <w:p>
      <w:pPr>
        <w:spacing w:after="120"/>
      </w:pPr>
      <w:r>
        <w:rPr>
          <w:rFonts w:ascii="Outfit" w:cs="Outfit" w:eastAsia="Outfit" w:hAnsi="Outfit"/>
          <w:b/>
          <w:bCs/>
          <w:color w:val="1A1A2E"/>
          <w:sz w:val="22"/>
          <w:szCs w:val="22"/>
        </w:rPr>
        <w:t xml:space="preserve">Key Products: </w:t>
      </w:r>
      <w:r>
        <w:rPr>
          <w:rFonts w:ascii="Outfit" w:cs="Outfit" w:eastAsia="Outfit" w:hAnsi="Outfit"/>
          <w:color w:val="4A4A5A"/>
          <w:sz w:val="22"/>
          <w:szCs w:val="22"/>
        </w:rPr>
        <w:t xml:space="preserve">Governance Risk Heatmaps (real-time risk visualization across departments), Industry Benchmark Reports (anonymized cross-client governance scoring), Compliance Prediction Engine (AI-powered regulatory change impact analysis), Decision Pattern Analytics (how, when, and why governance decisions are made), and Digital Twin Simulations (“What-if” scenario modeling for policy changes).</w:t>
      </w:r>
    </w:p>
    <w:p>
      <w:pPr>
        <w:spacing w:after="120"/>
      </w:pPr>
      <w:r>
        <w:rPr>
          <w:rFonts w:ascii="Outfit" w:cs="Outfit" w:eastAsia="Outfit" w:hAnsi="Outfit"/>
          <w:b/>
          <w:bCs/>
          <w:color w:val="1A1A2E"/>
          <w:sz w:val="22"/>
          <w:szCs w:val="22"/>
        </w:rPr>
        <w:t xml:space="preserve">Pricing: </w:t>
      </w:r>
      <w:r>
        <w:rPr>
          <w:rFonts w:ascii="Outfit" w:cs="Outfit" w:eastAsia="Outfit" w:hAnsi="Outfit"/>
          <w:color w:val="4A4A5A"/>
          <w:sz w:val="22"/>
          <w:szCs w:val="22"/>
        </w:rPr>
        <w:t xml:space="preserve">€80-120/user/month for Enterprise tier, with custom pricing for dedicated analytics instances.</w:t>
      </w:r>
    </w:p>
    <w:p>
      <w:pPr>
        <w:pStyle w:val="Heading2"/>
      </w:pPr>
      <w:r>
        <w:t xml:space="preserve">2.8 V7: Developer SDK</w:t>
      </w:r>
    </w:p>
    <w:p>
      <w:pPr>
        <w:spacing w:after="120"/>
      </w:pPr>
      <w:r>
        <w:rPr>
          <w:rFonts w:ascii="Outfit" w:cs="Outfit" w:eastAsia="Outfit" w:hAnsi="Outfit"/>
          <w:color w:val="4A4A5A"/>
          <w:sz w:val="22"/>
          <w:szCs w:val="22"/>
        </w:rPr>
        <w:t xml:space="preserve">The open developer ecosystem that allows third parties to build on the WINDI governance infrastructure. The SDK provides Constitutional Gate APIs, ISP creation tools, Agent framework templates, and Forensic Ledger integration libraries.</w:t>
      </w:r>
    </w:p>
    <w:p>
      <w:pPr>
        <w:spacing w:after="120"/>
      </w:pPr>
      <w:r>
        <w:rPr>
          <w:rFonts w:ascii="Outfit" w:cs="Outfit" w:eastAsia="Outfit" w:hAnsi="Outfit"/>
          <w:b/>
          <w:bCs/>
          <w:color w:val="1A1A2E"/>
          <w:sz w:val="22"/>
          <w:szCs w:val="22"/>
        </w:rPr>
        <w:t xml:space="preserve">Developer Tiers: </w:t>
      </w:r>
      <w:r>
        <w:rPr>
          <w:rFonts w:ascii="Outfit" w:cs="Outfit" w:eastAsia="Outfit" w:hAnsi="Outfit"/>
          <w:color w:val="4A4A5A"/>
          <w:sz w:val="22"/>
          <w:szCs w:val="22"/>
        </w:rPr>
        <w:t xml:space="preserve">Free tier includes API access (1,000 calls/month), documentation, and sandbox environment. Pro Developer at €99/month adds production API access (50,000 calls/month), agent certification pipeline, and marketplace listing capability. Enterprise Partner includes custom SLAs, white-label options, and revenue sharing agreements.</w:t>
      </w:r>
    </w:p>
    <w:p>
      <w:pPr>
        <w:spacing w:after="120"/>
      </w:pPr>
      <w:r>
        <w:rPr>
          <w:rFonts w:ascii="Outfit" w:cs="Outfit" w:eastAsia="Outfit" w:hAnsi="Outfit"/>
          <w:b/>
          <w:bCs/>
          <w:color w:val="1A1A2E"/>
          <w:sz w:val="22"/>
          <w:szCs w:val="22"/>
        </w:rPr>
        <w:t xml:space="preserve">Revenue Share: </w:t>
      </w:r>
      <w:r>
        <w:rPr>
          <w:rFonts w:ascii="Outfit" w:cs="Outfit" w:eastAsia="Outfit" w:hAnsi="Outfit"/>
          <w:color w:val="4A4A5A"/>
          <w:sz w:val="22"/>
          <w:szCs w:val="22"/>
        </w:rPr>
        <w:t xml:space="preserve">WINDI takes 20% commission on all marketplace sales from third-party developers, with volume discounts for partners exceeding €50K annual sales.</w:t>
      </w:r>
    </w:p>
    <w:p>
      <w:pPr>
        <w:pBdr>
          <w:bottom w:val="single" w:color="C9A84C" w:sz="1"/>
        </w:pBdr>
        <w:spacing w:before="100" w:after="100"/>
      </w:pPr>
      <w:r>
        <w:rPr>
          <w:sz w:val="4"/>
          <w:szCs w:val="4"/>
        </w:rPr>
        <w:t xml:space="preserve"> </w:t>
      </w:r>
    </w:p>
    <w:p>
      <w:pPr>
        <w:pStyle w:val="Heading1"/>
      </w:pPr>
      <w:r>
        <w:t xml:space="preserve">3. Pricing Architecture</w:t>
      </w:r>
    </w:p>
    <w:p>
      <w:pPr>
        <w:spacing w:after="120"/>
      </w:pPr>
      <w:r>
        <w:rPr>
          <w:rFonts w:ascii="Outfit" w:cs="Outfit" w:eastAsia="Outfit" w:hAnsi="Outfit"/>
          <w:color w:val="4A4A5A"/>
          <w:sz w:val="22"/>
          <w:szCs w:val="22"/>
        </w:rPr>
        <w:t xml:space="preserve">The WINDI pricing model is built on the 76/24 split. The FREE tier delivers the full autonomous governance engine — not a trial, not a demo, but production-grade governance. This creates an unbeatable entry point that no competitor can match because their governance is typically locked behind enterprise paywalls.</w:t>
      </w:r>
    </w:p>
    <w:p>
      <w:pPr>
        <w:pStyle w:val="Heading2"/>
      </w:pPr>
      <w:r>
        <w:t xml:space="preserve">3.1 Tier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2200"/>
        <w:gridCol w:w="2126"/>
      </w:tblGrid>
      <w:tr>
        <w:tc>
          <w:tcPr>
            <w:tcW w:type="dxa" w:w="1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Governance (76%)</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Intelligence (24%)</w:t>
            </w:r>
          </w:p>
        </w:tc>
        <w:tc>
          <w:tcPr>
            <w:tcW w:type="dxa" w:w="21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Marketplace Access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Full: Gate, Ledger, ISPs, Receipts, Health, Manifests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None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Community ISPs + Templates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PRO</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€25-40/user/mo</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Full + Priority support</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SGE deep analysis, chat, summaries, risk narratives</w:t>
            </w:r>
          </w:p>
        </w:tc>
        <w:tc>
          <w:tcPr>
            <w:tcW w:type="dxa" w:w="21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All ISPs + Templates + Praktikant + ISP Manager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ENTERPRISE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€80-120/user/mo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Full + SLA + Multi-node + Custom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All Intelligence Layer + Custom agents + Digital Twin</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Full marketplace + Connectors + Compliance Packs + SDK</w:t>
            </w:r>
          </w:p>
        </w:tc>
      </w:tr>
    </w:tbl>
    <w:p>
      <w:pPr>
        <w:spacing w:after="200"/>
      </w:pPr>
    </w:p>
    <w:p>
      <w:pPr>
        <w:pStyle w:val="Heading2"/>
      </w:pPr>
      <w:r>
        <w:t xml:space="preserve">3.2 Unit Economics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FREE</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PRO</w:t>
            </w:r>
          </w:p>
        </w:tc>
        <w:tc>
          <w:tcPr>
            <w:tcW w:type="dxa" w:w="21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ENTERPRISE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Infrastructure cost/user/mo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€0.50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€8-15</w:t>
            </w:r>
          </w:p>
        </w:tc>
      </w:tr>
      <w:tr>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LLM cost/user/mo</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€0</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€3-8</w:t>
            </w:r>
          </w:p>
        </w:tc>
        <w:tc>
          <w:tcPr>
            <w:tcW w:type="dxa" w:w="21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Gross margin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N/A (lead gen)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60-75%</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70-80%</w:t>
            </w:r>
          </w:p>
        </w:tc>
      </w:tr>
      <w:tr>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Expected conversion rate</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100% (entry)</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15-25% of FREE</w:t>
            </w:r>
          </w:p>
        </w:tc>
        <w:tc>
          <w:tcPr>
            <w:tcW w:type="dxa" w:w="21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5-10% of PRO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LTV estimate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Conversion 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€3,600-5,760/user</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€19,200-28,800/user</w:t>
            </w:r>
          </w:p>
        </w:tc>
      </w:tr>
    </w:tbl>
    <w:p>
      <w:pPr>
        <w:spacing w:after="200"/>
      </w:pPr>
    </w:p>
    <w:p>
      <w:pPr>
        <w:pBdr>
          <w:bottom w:val="single" w:color="C9A84C" w:sz="1"/>
        </w:pBdr>
        <w:spacing w:before="100" w:after="100"/>
      </w:pPr>
      <w:r>
        <w:rPr>
          <w:sz w:val="4"/>
          <w:szCs w:val="4"/>
        </w:rPr>
        <w:t xml:space="preserve"> </w:t>
      </w:r>
    </w:p>
    <w:p>
      <w:pPr>
        <w:pStyle w:val="Heading1"/>
      </w:pPr>
      <w:r>
        <w:t xml:space="preserve">4. Revenue Projections</w:t>
      </w:r>
    </w:p>
    <w:p>
      <w:pPr>
        <w:pStyle w:val="Heading2"/>
      </w:pPr>
      <w:r>
        <w:t xml:space="preserve">4.1 Conservative 3-Year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026"/>
      </w:tblGrid>
      <w:t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Revenue Stream</w:t>
            </w:r>
          </w:p>
        </w:tc>
        <w:tc>
          <w:tcPr>
            <w:tcW w:type="dxa" w:w="21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Year 1</w:t>
            </w:r>
          </w:p>
        </w:tc>
        <w:tc>
          <w:tcPr>
            <w:tcW w:type="dxa" w:w="21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Year 2</w:t>
            </w:r>
          </w:p>
        </w:tc>
        <w:tc>
          <w:tcPr>
            <w:tcW w:type="dxa" w:w="20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Year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PRO Subscriptions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€180K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€720K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€2.1M</w:t>
            </w:r>
          </w:p>
        </w:tc>
      </w:tr>
      <w:tr>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Enterprise Subscriptions</w:t>
            </w:r>
          </w:p>
        </w:tc>
        <w:tc>
          <w:tcPr>
            <w:tcW w:type="dxa" w:w="21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€120K</w:t>
            </w:r>
          </w:p>
        </w:tc>
        <w:tc>
          <w:tcPr>
            <w:tcW w:type="dxa" w:w="21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€600K</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€2.4M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ISP Store Licenses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€250K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€800K</w:t>
            </w:r>
          </w:p>
        </w:tc>
      </w:tr>
      <w:tr>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Agent Bazaar</w:t>
            </w:r>
          </w:p>
        </w:tc>
        <w:tc>
          <w:tcPr>
            <w:tcW w:type="dxa" w:w="21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€30K</w:t>
            </w:r>
          </w:p>
        </w:tc>
        <w:tc>
          <w:tcPr>
            <w:tcW w:type="dxa" w:w="21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€200K</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€750K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Compliance Packs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€80K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€400K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€1.5M</w:t>
            </w:r>
          </w:p>
        </w:tc>
      </w:tr>
      <w:tr>
        <w:tc>
          <w:tcPr>
            <w:tcW w:type="dxa" w:w="2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Connector Hub</w:t>
            </w:r>
          </w:p>
        </w:tc>
        <w:tc>
          <w:tcPr>
            <w:tcW w:type="dxa" w:w="21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€20K</w:t>
            </w:r>
          </w:p>
        </w:tc>
        <w:tc>
          <w:tcPr>
            <w:tcW w:type="dxa" w:w="21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€150K</w:t>
            </w:r>
          </w:p>
        </w:tc>
        <w:tc>
          <w:tcPr>
            <w:tcW w:type="dxa" w:w="20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€600K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Developer SDK / API Calls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€80K</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€350K</w:t>
            </w:r>
          </w:p>
        </w:tc>
      </w:tr>
      <w:t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TOTAL ARR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€490K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€2.4M</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€8.5M</w:t>
            </w:r>
          </w:p>
        </w:tc>
      </w:tr>
    </w:tbl>
    <w:p>
      <w:pPr>
        <w:spacing w:after="200"/>
      </w:pPr>
    </w:p>
    <w:p>
      <w:pPr>
        <w:spacing w:after="120"/>
      </w:pPr>
      <w:r>
        <w:rPr>
          <w:rFonts w:ascii="Outfit" w:cs="Outfit" w:eastAsia="Outfit" w:hAnsi="Outfit"/>
          <w:b/>
          <w:bCs/>
          <w:color w:val="1A1A2E"/>
          <w:sz w:val="22"/>
          <w:szCs w:val="22"/>
        </w:rPr>
        <w:t xml:space="preserve">Key Assumptions: </w:t>
      </w:r>
      <w:r>
        <w:rPr>
          <w:rFonts w:ascii="Outfit" w:cs="Outfit" w:eastAsia="Outfit" w:hAnsi="Outfit"/>
          <w:color w:val="4A4A5A"/>
          <w:sz w:val="22"/>
          <w:szCs w:val="22"/>
        </w:rPr>
        <w:t xml:space="preserve">50 FREE organizations Year 1 growing to 500 by Year 3. PRO conversion at 20%. Enterprise conversion at 8% of PRO. Average 15 users per organization. 30% annual churn on FREE, 10% on PRO, 5% on Enterprise. ISP catalogue growing from 17 to 200+ profiles.</w:t>
      </w:r>
    </w:p>
    <w:p>
      <w:pPr>
        <w:pBdr>
          <w:bottom w:val="single" w:color="C9A84C" w:sz="1"/>
        </w:pBdr>
        <w:spacing w:before="100" w:after="100"/>
      </w:pPr>
      <w:r>
        <w:rPr>
          <w:sz w:val="4"/>
          <w:szCs w:val="4"/>
        </w:rPr>
        <w:t xml:space="preserve"> </w:t>
      </w:r>
    </w:p>
    <w:p>
      <w:pPr>
        <w:pStyle w:val="Heading1"/>
      </w:pPr>
      <w:r>
        <w:t xml:space="preserve">5. Competitive Moat</w:t>
      </w:r>
    </w:p>
    <w:p>
      <w:pPr>
        <w:spacing w:after="120"/>
      </w:pPr>
      <w:r>
        <w:rPr>
          <w:rFonts w:ascii="Outfit" w:cs="Outfit" w:eastAsia="Outfit" w:hAnsi="Outfit"/>
          <w:color w:val="4A4A5A"/>
          <w:sz w:val="22"/>
          <w:szCs w:val="22"/>
        </w:rPr>
        <w:t xml:space="preserve">The WINDI Marketplace has four structural advantages that are extremely difficult for competitors to replicate:</w:t>
      </w:r>
    </w:p>
    <w:p>
      <w:pPr>
        <w:pStyle w:val="Heading2"/>
      </w:pPr>
      <w:r>
        <w:t xml:space="preserve">5.1 The Constitutional Lock-In</w:t>
      </w:r>
    </w:p>
    <w:p>
      <w:pPr>
        <w:spacing w:after="120"/>
      </w:pPr>
      <w:r>
        <w:rPr>
          <w:rFonts w:ascii="Outfit" w:cs="Outfit" w:eastAsia="Outfit" w:hAnsi="Outfit"/>
          <w:color w:val="4A4A5A"/>
          <w:sz w:val="22"/>
          <w:szCs w:val="22"/>
        </w:rPr>
        <w:t xml:space="preserve">Every marketplace item — ISP, agent, template, connector — is bound to the WINDI Constitutional Gate. This means ecosystem participants build on a governance standard, not just an API. Switching away means rebuilding governance from scratch. This is the deepest form of platform lock-in: not data lock-in (which is adversarial) but governance lock-in (which is protective).</w:t>
      </w:r>
    </w:p>
    <w:p>
      <w:pPr>
        <w:pStyle w:val="Heading2"/>
      </w:pPr>
      <w:r>
        <w:t xml:space="preserve">5.2 The Zero-Knowledge Advantage</w:t>
      </w:r>
    </w:p>
    <w:p>
      <w:pPr>
        <w:spacing w:after="120"/>
      </w:pPr>
      <w:r>
        <w:rPr>
          <w:rFonts w:ascii="Outfit" w:cs="Outfit" w:eastAsia="Outfit" w:hAnsi="Outfit"/>
          <w:color w:val="4A4A5A"/>
          <w:sz w:val="22"/>
          <w:szCs w:val="22"/>
        </w:rPr>
        <w:t xml:space="preserve">WINDI stores governance proofs, never data. This is the inverse of every SaaS platform. Competitors need access to customer data to provide value. WINDI proves value by never seeing the data. This eliminates the #1 objection in enterprise sales: data sovereignty concerns. Banks, governments, and healthcare organizations can use the marketplace without exposing sensitive documents.</w:t>
      </w:r>
    </w:p>
    <w:p>
      <w:pPr>
        <w:pStyle w:val="Heading2"/>
      </w:pPr>
      <w:r>
        <w:t xml:space="preserve">5.3 The Network Effect</w:t>
      </w:r>
    </w:p>
    <w:p>
      <w:pPr>
        <w:spacing w:after="120"/>
      </w:pPr>
      <w:r>
        <w:rPr>
          <w:rFonts w:ascii="Outfit" w:cs="Outfit" w:eastAsia="Outfit" w:hAnsi="Outfit"/>
          <w:color w:val="4A4A5A"/>
          <w:sz w:val="22"/>
          <w:szCs w:val="22"/>
        </w:rPr>
        <w:t xml:space="preserve">Each ISP created, each agent certified, each compliance pack validated makes the ecosystem more valuable for everyone. Community ISPs attract new users. New users create demand for agents. Agent demand attracts developers. Developer activity creates connectors. Connectors bring enterprise clients. Enterprise clients fund compliance packs. This is a self-reinforcing flywheel that accelerates with each vertical.</w:t>
      </w:r>
    </w:p>
    <w:p>
      <w:pPr>
        <w:pStyle w:val="Heading2"/>
      </w:pPr>
      <w:r>
        <w:t xml:space="preserve">5.4 The 76% Free Moat</w:t>
      </w:r>
    </w:p>
    <w:p>
      <w:pPr>
        <w:spacing w:after="120"/>
      </w:pPr>
      <w:r>
        <w:rPr>
          <w:rFonts w:ascii="Outfit" w:cs="Outfit" w:eastAsia="Outfit" w:hAnsi="Outfit"/>
          <w:color w:val="4A4A5A"/>
          <w:sz w:val="22"/>
          <w:szCs w:val="22"/>
        </w:rPr>
        <w:t xml:space="preserve">No competitor can offer production-grade governance for free because their governance typically depends on proprietary intelligence. WINDI can offer it for free because 76% of the system runs on autonomous, zero-LLM-cost infrastructure. The free tier is not a loss leader — it is a structural advantage built into the architecture.</w:t>
      </w:r>
    </w:p>
    <w:p>
      <w:pPr>
        <w:pBdr>
          <w:bottom w:val="single" w:color="C9A84C" w:sz="1"/>
        </w:pBdr>
        <w:spacing w:before="100" w:after="100"/>
      </w:pPr>
      <w:r>
        <w:rPr>
          <w:sz w:val="4"/>
          <w:szCs w:val="4"/>
        </w:rPr>
        <w:t xml:space="preserve"> </w:t>
      </w:r>
    </w:p>
    <w:p>
      <w:pPr>
        <w:pStyle w:val="Heading1"/>
      </w:pPr>
      <w:r>
        <w:t xml:space="preserve">6. Expansion Roadmap</w:t>
      </w:r>
    </w:p>
    <w:p>
      <w:pPr>
        <w:pStyle w:val="Heading2"/>
      </w:pPr>
      <w:r>
        <w:t xml:space="preserve">6.1 Phase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1526"/>
        <w:gridCol w:w="1500"/>
      </w:tblGrid>
      <w:tr>
        <w:tc>
          <w:tcPr>
            <w:tcW w:type="dxa" w:w="1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Timeline</w:t>
            </w:r>
          </w:p>
        </w:tc>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Deliverables</w:t>
            </w:r>
          </w:p>
        </w:tc>
        <w:tc>
          <w:tcPr>
            <w:tcW w:type="dxa" w:w="15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Revenue Target</w:t>
            </w:r>
          </w:p>
        </w:tc>
        <w:tc>
          <w:tcPr>
            <w:tcW w:type="dxa" w:w="1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SEED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Q1-Q2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ISP Store (17 profiles), Praktikant agent, Template Market (10 templates), Developer docs</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€50K ARR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50 orgs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1565C0"/>
                <w:sz w:val="20"/>
                <w:szCs w:val="20"/>
              </w:rPr>
              <w:t xml:space="preserve">GROW</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Q3-Q4 2026</w:t>
            </w:r>
          </w:p>
        </w:tc>
        <w:tc>
          <w:tcPr>
            <w:tcW w:type="dxa" w:w="3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Agent Bazaar (5 agents), Compliance Packs (EU AI Act, DSGVO), SAP + M365 connectors, Community ISP submissions</w:t>
            </w:r>
          </w:p>
        </w:tc>
        <w:tc>
          <w:tcPr>
            <w:tcW w:type="dxa" w:w="1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€250K ARR</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150 orgs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SCALE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2027 H1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Intelligence Layer, Developer SDK, Partner program, 100+ ISPs, Multi-node federation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€1.5M ARR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400 orgs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DOMINATE</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2027 H2+</w:t>
            </w:r>
          </w:p>
        </w:tc>
        <w:tc>
          <w:tcPr>
            <w:tcW w:type="dxa" w:w="3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Full marketplace economy, international expansion (AT, CH, EU), industry-specific verticals, white-label partnerships</w:t>
            </w:r>
          </w:p>
        </w:tc>
        <w:tc>
          <w:tcPr>
            <w:tcW w:type="dxa" w:w="1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€5M+ ARR</w:t>
            </w:r>
          </w:p>
        </w:tc>
        <w:tc>
          <w:tcPr>
            <w:tcW w:type="dxa" w:w="1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1000+ orgs</w:t>
            </w:r>
          </w:p>
        </w:tc>
      </w:tr>
    </w:tbl>
    <w:p>
      <w:pPr>
        <w:spacing w:after="200"/>
      </w:pPr>
    </w:p>
    <w:p>
      <w:pPr>
        <w:pStyle w:val="Heading2"/>
      </w:pPr>
      <w:r>
        <w:t xml:space="preserve">6.2 Geographic Expansion</w:t>
      </w:r>
    </w:p>
    <w:p>
      <w:pPr>
        <w:spacing w:after="120"/>
      </w:pPr>
      <w:r>
        <w:rPr>
          <w:rFonts w:ascii="Outfit" w:cs="Outfit" w:eastAsia="Outfit" w:hAnsi="Outfit"/>
          <w:color w:val="4A4A5A"/>
          <w:sz w:val="22"/>
          <w:szCs w:val="22"/>
        </w:rPr>
        <w:t xml:space="preserve">The WINDI Marketplace follows a concentric expansion model anchored in the DACH region (Germany, Austria, Switzerland) where regulatory complexity creates the highest demand for governance tools. Phase 1 targets Germany exclusively, leveraging Strato hosting for BSI C5 compliance. Phase 2 expands to DACH with localized ISPs and compliance packs. Phase 3 enters the broader EU market, with the EU AI Act creating a natural demand driver. Phase 4 explores regulated markets globally (Singapore, Japan, Brazil) where governance infrastructure is valued.</w:t>
      </w:r>
    </w:p>
    <w:p>
      <w:pPr>
        <w:pStyle w:val="Heading2"/>
      </w:pPr>
      <w:r>
        <w:t xml:space="preserve">6.3 Industry Vertical Expansion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900"/>
        <w:gridCol w:w="1526"/>
      </w:tblGrid>
      <w:tr>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Industry</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Entry Point</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Key ISPs</w:t>
            </w:r>
          </w:p>
        </w:tc>
        <w:tc>
          <w:tcPr>
            <w:tcW w:type="dxa" w:w="19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Key Agents</w:t>
            </w:r>
          </w:p>
        </w:tc>
        <w:tc>
          <w:tcPr>
            <w:tcW w:type="dxa" w:w="15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TAM (DE)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Public Sector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Bescheid governance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Bundesregierung, Kommune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Compliance Officer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€2.5B</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Financial Services</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Regulatory reporting</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ECB, BaFin, KfW</w:t>
            </w:r>
          </w:p>
        </w:tc>
        <w:tc>
          <w:tcPr>
            <w:tcW w:type="dxa" w:w="19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Anti-Fraud, Contract</w:t>
            </w:r>
          </w:p>
        </w:tc>
        <w:tc>
          <w:tcPr>
            <w:tcW w:type="dxa" w:w="1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€4.2B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Automotive/Mfg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Supply chain docs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Deutsche Bahn, Siemens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ESG Reporter</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€3.8B</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Healthcare</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Patient data governance</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Klinik, Pharma</w:t>
            </w:r>
          </w:p>
        </w:tc>
        <w:tc>
          <w:tcPr>
            <w:tcW w:type="dxa" w:w="19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DSGVO Guardian</w:t>
            </w:r>
          </w:p>
        </w:tc>
        <w:tc>
          <w:tcPr>
            <w:tcW w:type="dxa" w:w="1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€1.8B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Legal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Contract lifecycle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Kanzlei, Notar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Contract Analyst</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€1.2B</w:t>
            </w:r>
          </w:p>
        </w:tc>
      </w:tr>
      <w:tr>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Food/Agriculture</w:t>
            </w:r>
          </w:p>
        </w:tc>
        <w:tc>
          <w:tcPr>
            <w:tcW w:type="dxa" w:w="18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Packaging compliance</w:t>
            </w:r>
          </w:p>
        </w:tc>
        <w:tc>
          <w:tcPr>
            <w:tcW w:type="dxa" w:w="20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Verpackung-Lucid</w:t>
            </w:r>
          </w:p>
        </w:tc>
        <w:tc>
          <w:tcPr>
            <w:tcW w:type="dxa" w:w="19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Compliance Officer</w:t>
            </w:r>
          </w:p>
        </w:tc>
        <w:tc>
          <w:tcPr>
            <w:tcW w:type="dxa" w:w="1526"/>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€0.8B</w:t>
            </w:r>
          </w:p>
        </w:tc>
      </w:tr>
      <w:tr>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
            </w:r>
          </w:p>
        </w:tc>
        <w:tc>
          <w:tcPr>
            <w:tcW w:type="dxa" w:w="19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TOTAL TAM</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9A84C"/>
                <w:sz w:val="20"/>
                <w:szCs w:val="20"/>
              </w:rPr>
              <w:t xml:space="preserve">€14.3B</w:t>
            </w:r>
          </w:p>
        </w:tc>
      </w:tr>
    </w:tbl>
    <w:p>
      <w:pPr>
        <w:spacing w:after="200"/>
      </w:pPr>
    </w:p>
    <w:p>
      <w:pPr>
        <w:pBdr>
          <w:bottom w:val="single" w:color="C9A84C" w:sz="1"/>
        </w:pBdr>
        <w:spacing w:before="100" w:after="100"/>
      </w:pPr>
      <w:r>
        <w:rPr>
          <w:sz w:val="4"/>
          <w:szCs w:val="4"/>
        </w:rPr>
        <w:t xml:space="preserve"> </w:t>
      </w:r>
    </w:p>
    <w:p>
      <w:pPr>
        <w:pStyle w:val="Heading1"/>
      </w:pPr>
      <w:r>
        <w:t xml:space="preserve">7. Technical Infrastructure</w:t>
      </w:r>
    </w:p>
    <w:p>
      <w:pPr>
        <w:spacing w:after="120"/>
      </w:pPr>
      <w:r>
        <w:rPr>
          <w:rFonts w:ascii="Outfit" w:cs="Outfit" w:eastAsia="Outfit" w:hAnsi="Outfit"/>
          <w:color w:val="4A4A5A"/>
          <w:sz w:val="22"/>
          <w:szCs w:val="22"/>
        </w:rPr>
        <w:t xml:space="preserve">The marketplace requires four technical layers beyond the existing WINDI infrastructure:</w:t>
      </w:r>
    </w:p>
    <w:p>
      <w:pPr>
        <w:pStyle w:val="Heading2"/>
      </w:pPr>
      <w:r>
        <w:t xml:space="preserve">7.1 Marketplace API Gateway</w:t>
      </w:r>
    </w:p>
    <w:p>
      <w:pPr>
        <w:spacing w:after="120"/>
      </w:pPr>
      <w:r>
        <w:rPr>
          <w:rFonts w:ascii="Outfit" w:cs="Outfit" w:eastAsia="Outfit" w:hAnsi="Outfit"/>
          <w:b/>
          <w:bCs/>
          <w:color w:val="1A1A2E"/>
          <w:sz w:val="22"/>
          <w:szCs w:val="22"/>
        </w:rPr>
        <w:t xml:space="preserve">Registry Service: </w:t>
      </w:r>
      <w:r>
        <w:rPr>
          <w:rFonts w:ascii="Outfit" w:cs="Outfit" w:eastAsia="Outfit" w:hAnsi="Outfit"/>
          <w:color w:val="4A4A5A"/>
          <w:sz w:val="22"/>
          <w:szCs w:val="22"/>
        </w:rPr>
        <w:t xml:space="preserve">Central catalogue of all marketplace items (ISPs, agents, templates, connectors, compliance packs) with versioning, dependency tracking, and Constitutional Gate certification status. Runs on existing Strato infrastructure, port 8092.</w:t>
      </w:r>
    </w:p>
    <w:p>
      <w:pPr>
        <w:spacing w:after="120"/>
      </w:pPr>
      <w:r>
        <w:rPr>
          <w:rFonts w:ascii="Outfit" w:cs="Outfit" w:eastAsia="Outfit" w:hAnsi="Outfit"/>
          <w:b/>
          <w:bCs/>
          <w:color w:val="1A1A2E"/>
          <w:sz w:val="22"/>
          <w:szCs w:val="22"/>
        </w:rPr>
        <w:t xml:space="preserve">Distribution Service: </w:t>
      </w:r>
      <w:r>
        <w:rPr>
          <w:rFonts w:ascii="Outfit" w:cs="Outfit" w:eastAsia="Outfit" w:hAnsi="Outfit"/>
          <w:color w:val="4A4A5A"/>
          <w:sz w:val="22"/>
          <w:szCs w:val="22"/>
        </w:rPr>
        <w:t xml:space="preserve">Secure delivery of marketplace items to customer WINDI nodes. Uses signed packages with integrity hashes verified against the Forensic Ledger. Every installation generates a Virtue Receipt.</w:t>
      </w:r>
    </w:p>
    <w:p>
      <w:pPr>
        <w:spacing w:after="120"/>
      </w:pPr>
      <w:r>
        <w:rPr>
          <w:rFonts w:ascii="Outfit" w:cs="Outfit" w:eastAsia="Outfit" w:hAnsi="Outfit"/>
          <w:b/>
          <w:bCs/>
          <w:color w:val="1A1A2E"/>
          <w:sz w:val="22"/>
          <w:szCs w:val="22"/>
        </w:rPr>
        <w:t xml:space="preserve">Licensing Service: </w:t>
      </w:r>
      <w:r>
        <w:rPr>
          <w:rFonts w:ascii="Outfit" w:cs="Outfit" w:eastAsia="Outfit" w:hAnsi="Outfit"/>
          <w:color w:val="4A4A5A"/>
          <w:sz w:val="22"/>
          <w:szCs w:val="22"/>
        </w:rPr>
        <w:t xml:space="preserve">Manages per-item, per-user, and per-organization licenses. Supports time-based (annual), usage-based (API calls), and hybrid licensing models. Integrates with Stripe for payment processing.</w:t>
      </w:r>
    </w:p>
    <w:p>
      <w:pPr>
        <w:spacing w:after="120"/>
      </w:pPr>
      <w:r>
        <w:rPr>
          <w:rFonts w:ascii="Outfit" w:cs="Outfit" w:eastAsia="Outfit" w:hAnsi="Outfit"/>
          <w:b/>
          <w:bCs/>
          <w:color w:val="1A1A2E"/>
          <w:sz w:val="22"/>
          <w:szCs w:val="22"/>
        </w:rPr>
        <w:t xml:space="preserve">Certification Pipeline: </w:t>
      </w:r>
      <w:r>
        <w:rPr>
          <w:rFonts w:ascii="Outfit" w:cs="Outfit" w:eastAsia="Outfit" w:hAnsi="Outfit"/>
          <w:color w:val="4A4A5A"/>
          <w:sz w:val="22"/>
          <w:szCs w:val="22"/>
        </w:rPr>
        <w:t xml:space="preserve">Automated and manual review process for third-party submissions. Includes Constitutional Gate validation, I9 compliance checking, security scanning, and quality assessment. Estimated review time: 48-72 hours for standard items, 2 weeks for agents.</w:t>
      </w:r>
    </w:p>
    <w:p>
      <w:pPr>
        <w:pStyle w:val="Heading2"/>
      </w:pPr>
      <w:r>
        <w:t xml:space="preserve">7.2 LLM Abstraction Layer</w:t>
      </w:r>
    </w:p>
    <w:p>
      <w:pPr>
        <w:spacing w:after="120"/>
      </w:pPr>
      <w:r>
        <w:rPr>
          <w:rFonts w:ascii="Outfit" w:cs="Outfit" w:eastAsia="Outfit" w:hAnsi="Outfit"/>
          <w:color w:val="4A4A5A"/>
          <w:sz w:val="22"/>
          <w:szCs w:val="22"/>
        </w:rPr>
        <w:t xml:space="preserve">The 24% LLM-dependent functionality must support provider switching without marketplace disruption. The abstraction layer routes inference requests through a unified API that supports Claude (primary), GPT (fallback), Gemini (specialized), and local models (Llama/Mistral for air-gapped deployments). Each marketplace item declares its LLM requirements in its Manifest, and the abstraction layer handles routing, failover, and cost optimization.</w:t>
      </w:r>
    </w:p>
    <w:p>
      <w:pPr>
        <w:pStyle w:val="Heading2"/>
      </w:pPr>
      <w:r>
        <w:t xml:space="preserve">7.3 Federation Protocol</w:t>
      </w:r>
    </w:p>
    <w:p>
      <w:pPr>
        <w:spacing w:after="120"/>
      </w:pPr>
      <w:r>
        <w:rPr>
          <w:rFonts w:ascii="Outfit" w:cs="Outfit" w:eastAsia="Outfit" w:hAnsi="Outfit"/>
          <w:color w:val="4A4A5A"/>
          <w:sz w:val="22"/>
          <w:szCs w:val="22"/>
        </w:rPr>
        <w:t xml:space="preserve">As WINDI nodes multiply (W-001, W-002, W-003...), the marketplace must support federated deployment. The Clone Light CommSpec v0.9 provides the foundation. Marketplace items install locally on each node while licensing and certification remain centrally managed. This ensures Zero-Knowledge Architecture is preserved: governance proofs flow to the hub, but documents and data never leave the customer node.</w:t>
      </w:r>
    </w:p>
    <w:p>
      <w:pPr>
        <w:pBdr>
          <w:bottom w:val="single" w:color="C9A84C" w:sz="1"/>
        </w:pBdr>
        <w:spacing w:before="100" w:after="100"/>
      </w:pPr>
      <w:r>
        <w:rPr>
          <w:sz w:val="4"/>
          <w:szCs w:val="4"/>
        </w:rPr>
        <w:t xml:space="preserve"> </w:t>
      </w:r>
    </w:p>
    <w:p>
      <w:pPr>
        <w:pStyle w:val="Heading1"/>
      </w:pPr>
      <w:r>
        <w:t xml:space="preserve">8. Strategic Decision: FREE vs. Paid Boundary</w:t>
      </w:r>
    </w:p>
    <w:p>
      <w:pPr>
        <w:shd w:fill="C9A84C" w:val="clear"/>
        <w:spacing w:before="300" w:after="200"/>
      </w:pPr>
      <w:r>
        <w:rPr>
          <w:rFonts w:ascii="Bricolage Grotesque" w:cs="Bricolage Grotesque" w:eastAsia="Bricolage Grotesque" w:hAnsi="Bricolage Grotesque"/>
          <w:b/>
          <w:bCs/>
          <w:color w:val="FFFFFF"/>
          <w:sz w:val="28"/>
          <w:szCs w:val="28"/>
        </w:rPr>
        <w:t xml:space="preserve">  THE FUNDAMENTAL QUESTION</w:t>
      </w:r>
    </w:p>
    <w:p>
      <w:pPr>
        <w:spacing w:after="120"/>
      </w:pPr>
      <w:r>
        <w:rPr>
          <w:rFonts w:ascii="Outfit" w:cs="Outfit" w:eastAsia="Outfit" w:hAnsi="Outfit"/>
          <w:color w:val="4A4A5A"/>
          <w:sz w:val="22"/>
          <w:szCs w:val="22"/>
        </w:rPr>
        <w:t xml:space="preserve">Where exactly does FREE end and PAID begin? The 76/24 split provides the architectural answer, but the marketplace boundary requires a business decision that balances three competing objectives: maximum adoption (give more away), maximum revenue (gate more behind payment), and maximum trust (prove value before asking for money).</w:t>
      </w:r>
    </w:p>
    <w:p>
      <w:pPr>
        <w:pStyle w:val="Heading2"/>
      </w:pPr>
      <w:r>
        <w:t xml:space="preserve">8.1 Recommended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900"/>
        <w:gridCol w:w="1826"/>
      </w:tblGrid>
      <w:tr>
        <w:tc>
          <w:tcPr>
            <w:tcW w:type="dxa" w:w="3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FREE</w:t>
            </w:r>
          </w:p>
        </w:tc>
        <w:tc>
          <w:tcPr>
            <w:tcW w:type="dxa" w:w="19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PRO</w:t>
            </w:r>
          </w:p>
        </w:tc>
        <w:tc>
          <w:tcPr>
            <w:tcW w:type="dxa" w:w="18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ENTERPRISE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Constitutional Gate (I1-I9)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Forensic Ledger + Virtue Receipts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ISPs (Community)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ISPs (Professional/Industry)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3 included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 + Custom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SGE Rule-Based Classification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SGE Deep Semantic Analysis (LLM)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Agent: Praktikant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Agent: Specialized (DSGVO, ESG,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Add-on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Templates (Community)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Templates (Professional)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3 included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 + Custom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Connectors (SAP, M365,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Compliance Packs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1 included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Intelligence Layer / Analytics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Multi-Node Federation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4A4A5A"/>
                <w:sz w:val="20"/>
                <w:szCs w:val="20"/>
              </w:rPr>
              <w:t xml:space="preser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Developer SDK /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1K calls/mo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50K calls/mo</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Unlimited</w:t>
            </w:r>
          </w:p>
        </w:tc>
      </w:tr>
      <w:tr>
        <w:tc>
          <w:tcPr>
            <w:tcW w:type="dxa" w:w="3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Users per Organization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Unlimited</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Unlimited</w:t>
            </w:r>
          </w:p>
        </w:tc>
      </w:tr>
    </w:tbl>
    <w:p>
      <w:pPr>
        <w:spacing w:after="200"/>
      </w:pPr>
    </w:p>
    <w:p>
      <w:pPr>
        <w:shd w:fill="C9A84C" w:val="clear"/>
        <w:spacing w:before="300" w:after="200"/>
      </w:pPr>
      <w:r>
        <w:rPr>
          <w:rFonts w:ascii="Bricolage Grotesque" w:cs="Bricolage Grotesque" w:eastAsia="Bricolage Grotesque" w:hAnsi="Bricolage Grotesque"/>
          <w:b/>
          <w:bCs/>
          <w:color w:val="FFFFFF"/>
          <w:sz w:val="28"/>
          <w:szCs w:val="28"/>
        </w:rPr>
        <w:t xml:space="preserve">  THE STRATEGIC LOGIC</w:t>
      </w:r>
    </w:p>
    <w:p>
      <w:pPr>
        <w:spacing w:after="120"/>
      </w:pPr>
      <w:r>
        <w:rPr>
          <w:rFonts w:ascii="Outfit" w:cs="Outfit" w:eastAsia="Outfit" w:hAnsi="Outfit"/>
          <w:color w:val="4A4A5A"/>
          <w:sz w:val="22"/>
          <w:szCs w:val="22"/>
        </w:rPr>
        <w:t xml:space="preserve">The FREE tier gives away everything that costs nothing to operate (the 76% autonomous layer) and gates everything that has marginal cost (LLM inference). This means free users get real governance — not a sandbox — and the moment they need intelligence on top of governance, the upgrade is a natural, obvious decision. The product sells itself because users experience the value before they pay.</w:t>
      </w:r>
    </w:p>
    <w:p>
      <w:pPr>
        <w:pBdr>
          <w:bottom w:val="single" w:color="C9A84C" w:sz="1"/>
        </w:pBdr>
        <w:spacing w:before="100" w:after="100"/>
      </w:pPr>
      <w:r>
        <w:rPr>
          <w:sz w:val="4"/>
          <w:szCs w:val="4"/>
        </w:rPr>
        <w:t xml:space="preserve"> </w:t>
      </w:r>
    </w:p>
    <w:p>
      <w:pPr>
        <w:pStyle w:val="Heading1"/>
      </w:pPr>
      <w:r>
        <w:t xml:space="preserve">9. Marketplace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126"/>
      </w:tblGrid>
      <w:t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Risk</w:t>
            </w:r>
          </w:p>
        </w:tc>
        <w:tc>
          <w:tcPr>
            <w:tcW w:type="dxa" w:w="25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Impact</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Mitigation</w:t>
            </w:r>
          </w:p>
        </w:tc>
        <w:tc>
          <w:tcPr>
            <w:tcW w:type="dxa" w:w="2126"/>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vAlign w:val="center"/>
          </w:tcPr>
          <w:p>
            <w:r>
              <w:rPr>
                <w:rFonts w:ascii="Outfit" w:cs="Outfit" w:eastAsia="Outfit" w:hAnsi="Outfit"/>
                <w:b/>
                <w:bCs/>
                <w:color w:val="FFFFFF"/>
                <w:sz w:val="20"/>
                <w:szCs w:val="20"/>
              </w:rPr>
              <w:t xml:space="preserve">Severity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LLM provider price increase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PRO margins compressed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Multi-provider abstraction + local model fallback</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Malicious marketplace submissions</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Governance integrity compromised</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Constitutional Gate certification + human review</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Large competitor enters GRC market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Customer acquisition cost increases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76% free moat + Zero-Knowledge advantage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Regulatory change invalidates ISPs</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Marketplace items become outdated</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Compliance Pack auto-update subscriptions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E65100"/>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bCs/>
                <w:color w:val="4A4A5A"/>
                <w:sz w:val="20"/>
                <w:szCs w:val="20"/>
              </w:rPr>
              <w:t xml:space="preserve">Slow developer ecosystem adoption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Limited marketplace variety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First-party content + partner incentives</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C62828"/>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bCs/>
                <w:color w:val="4A4A5A"/>
                <w:sz w:val="20"/>
                <w:szCs w:val="20"/>
              </w:rPr>
              <w:t xml:space="preserve">Data breach at customer node</w:t>
            </w:r>
          </w:p>
        </w:tc>
        <w:tc>
          <w:tcPr>
            <w:tcW w:type="dxa" w:w="25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Reputational damage</w:t>
            </w:r>
          </w:p>
        </w:tc>
        <w:tc>
          <w:tcPr>
            <w:tcW w:type="dxa" w:w="2200"/>
            <w:tcBorders>
              <w:top w:val="single" w:color="CCCCCC" w:sz="1"/>
              <w:left w:val="single" w:color="CCCCCC" w:sz="1"/>
              <w:bottom w:val="single" w:color="CCCCCC" w:sz="1"/>
              <w:right w:val="single" w:color="CCCCCC" w:sz="1"/>
            </w:tcBorders>
            <w:shd w:fill="F8F8F4" w:val="clear"/>
            <w:tcMar>
              <w:top w:type="dxa" w:w="80"/>
              <w:left w:type="dxa" w:w="120"/>
              <w:bottom w:type="dxa" w:w="80"/>
              <w:right w:type="dxa" w:w="120"/>
            </w:tcMar>
            <w:vAlign w:val="center"/>
          </w:tcPr>
          <w:p>
            <w:r>
              <w:rPr>
                <w:rFonts w:ascii="Outfit" w:cs="Outfit" w:eastAsia="Outfit" w:hAnsi="Outfit"/>
                <w:b w:val="false"/>
                <w:bCs w:val="false"/>
                <w:color w:val="4A4A5A"/>
                <w:sz w:val="20"/>
                <w:szCs w:val="20"/>
              </w:rPr>
              <w:t xml:space="preserve">Zero-Knowledge = WINDI never had the data</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JetBrains Mono" w:cs="JetBrains Mono" w:eastAsia="JetBrains Mono" w:hAnsi="JetBrains Mono"/>
                <w:b/>
                <w:bCs/>
                <w:color w:val="2E7D32"/>
                <w:sz w:val="20"/>
                <w:szCs w:val="20"/>
              </w:rPr>
              <w:t xml:space="preserve">LOW</w:t>
            </w:r>
          </w:p>
        </w:tc>
      </w:tr>
    </w:tbl>
    <w:p>
      <w:pPr>
        <w:spacing w:after="300"/>
      </w:pPr>
    </w:p>
    <w:p>
      <w:pPr>
        <w:pBdr>
          <w:bottom w:val="single" w:color="C9A84C" w:sz="1"/>
        </w:pBdr>
        <w:spacing w:before="100" w:after="100"/>
      </w:pPr>
      <w:r>
        <w:rPr>
          <w:sz w:val="4"/>
          <w:szCs w:val="4"/>
        </w:rPr>
        <w:t xml:space="preserve"> </w:t>
      </w:r>
    </w:p>
    <w:p>
      <w:pPr>
        <w:pStyle w:val="Heading1"/>
      </w:pPr>
      <w:r>
        <w:t xml:space="preserve">10. The WINDI Marketplace Vision</w:t>
      </w:r>
    </w:p>
    <w:p>
      <w:pPr>
        <w:spacing w:after="120"/>
      </w:pPr>
      <w:r>
        <w:rPr>
          <w:rFonts w:ascii="Outfit" w:cs="Outfit" w:eastAsia="Outfit" w:hAnsi="Outfit"/>
          <w:color w:val="4A4A5A"/>
          <w:sz w:val="22"/>
          <w:szCs w:val="22"/>
        </w:rPr>
        <w:t xml:space="preserve">The WINDI Marketplace is not a feature addition. It is the natural evolution of the governance engine into a platform economy. The 76/24 architecture split creates a unique market position: a governance platform that can afford to be generous with its free tier because the valuable layer (governance infrastructure) costs nothing to operate, while the premium layer (semantic intelligence) creates high-margin, high-value services.</w:t>
      </w:r>
    </w:p>
    <w:p>
      <w:pPr>
        <w:spacing w:after="120"/>
      </w:pPr>
      <w:r>
        <w:rPr>
          <w:rFonts w:ascii="Outfit" w:cs="Outfit" w:eastAsia="Outfit" w:hAnsi="Outfit"/>
          <w:color w:val="4A4A5A"/>
          <w:sz w:val="22"/>
          <w:szCs w:val="22"/>
        </w:rPr>
        <w:t xml:space="preserve">Every marketplace item strengthens the constitutional foundation. Every new ISP, agent, template, and connector extends the governance reach without diluting sovereignty. The Constitutional Gate ensures that marketplace growth equals governance growth, never governance erosion.</w:t>
      </w:r>
    </w:p>
    <w:p>
      <w:pPr>
        <w:spacing w:after="120"/>
      </w:pPr>
      <w:r>
        <w:rPr>
          <w:rFonts w:ascii="Outfit" w:cs="Outfit" w:eastAsia="Outfit" w:hAnsi="Outfit"/>
          <w:color w:val="4A4A5A"/>
          <w:sz w:val="22"/>
          <w:szCs w:val="22"/>
        </w:rPr>
        <w:t xml:space="preserve">The total addressable market in Germany alone exceeds €14 billion across six industry verticals. The WINDI Marketplace is positioned to capture a meaningful share by offering something no competitor can match: production-grade governance for free, with intelligence on demand.</w:t>
      </w:r>
    </w:p>
    <w:p>
      <w:pPr>
        <w:shd w:fill="C9A84C" w:val="clear"/>
        <w:spacing w:before="300" w:after="200"/>
      </w:pPr>
      <w:r>
        <w:rPr>
          <w:rFonts w:ascii="Bricolage Grotesque" w:cs="Bricolage Grotesque" w:eastAsia="Bricolage Grotesque" w:hAnsi="Bricolage Grotesque"/>
          <w:b/>
          <w:bCs/>
          <w:color w:val="FFFFFF"/>
          <w:sz w:val="28"/>
          <w:szCs w:val="28"/>
        </w:rPr>
        <w:t xml:space="preserve">  "WINDI SELLS INSTRUMENTS, NEVER AUTONOMY."</w:t>
      </w:r>
    </w:p>
    <w:p>
      <w:pPr>
        <w:spacing w:after="200"/>
      </w:pPr>
    </w:p>
    <w:p>
      <w:pPr>
        <w:spacing w:before="400"/>
        <w:jc w:val="center"/>
      </w:pPr>
      <w:r>
        <w:rPr>
          <w:rFonts w:ascii="Outfit" w:cs="Outfit" w:eastAsia="Outfit" w:hAnsi="Outfit"/>
          <w:i/>
          <w:iCs/>
          <w:color w:val="C9A84C"/>
          <w:sz w:val="20"/>
          <w:szCs w:val="20"/>
        </w:rPr>
        <w:t xml:space="preserve">"AI processes. Human decides. WINDI guarantees." 🐉🛡️</w:t>
      </w:r>
    </w:p>
    <w:p>
      <w:pPr>
        <w:spacing w:before="100"/>
        <w:jc w:val="center"/>
      </w:pPr>
      <w:r>
        <w:rPr>
          <w:rFonts w:ascii="Outfit" w:cs="Outfit" w:eastAsia="Outfit" w:hAnsi="Outfit"/>
          <w:color w:val="4A4A5A"/>
          <w:sz w:val="18"/>
          <w:szCs w:val="18"/>
        </w:rPr>
        <w:t xml:space="preserve">WINDI Publishing House | Kempten (Allgäu), Germany | 10 February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Outfit" w:cs="Outfit" w:eastAsia="Outfit" w:hAnsi="Outfit"/>
        <w:color w:val="4A4A5A"/>
        <w:sz w:val="16"/>
        <w:szCs w:val="16"/>
      </w:rPr>
      <w:t xml:space="preserve">WINDI Publishing House  |  Page </w:t>
    </w:r>
    <w:r>
      <w:rPr>
        <w:rFonts w:ascii="Outfit" w:cs="Outfit" w:eastAsia="Outfit" w:hAnsi="Outfit"/>
        <w:color w:val="4A4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ricolage Grotesque" w:cs="Bricolage Grotesque" w:eastAsia="Bricolage Grotesque" w:hAnsi="Bricolage Grotesque"/>
        <w:color w:val="C9A84C"/>
        <w:sz w:val="16"/>
        <w:szCs w:val="16"/>
      </w:rPr>
      <w:t xml:space="preserve">WINDI MARKETPLACE ARCHITECTURE</w:t>
    </w:r>
    <w:r>
      <w:rPr>
        <w:rFonts w:ascii="Outfit" w:cs="Outfit" w:eastAsia="Outfit" w:hAnsi="Outfit"/>
        <w:color w:val="4A4A5A"/>
        <w:sz w:val="16"/>
        <w:szCs w:val="16"/>
      </w:rPr>
      <w:t xml:space="preserv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utfit" w:cs="Outfit" w:eastAsia="Outfit" w:hAnsi="Outfi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Bricolage Grotesque" w:cs="Bricolage Grotesque" w:eastAsia="Bricolage Grotesque" w:hAnsi="Bricolage Grotesque"/>
      <w:b/>
      <w:bCs/>
      <w:color w:val="1A1A2E"/>
      <w:sz w:val="40"/>
      <w:szCs w:val="40"/>
    </w:rPr>
  </w:style>
  <w:style w:type="paragraph" w:styleId="Heading2">
    <w:name w:val="Heading 2"/>
    <w:basedOn w:val="Normal"/>
    <w:next w:val="Normal"/>
    <w:qFormat/>
    <w:pPr>
      <w:spacing w:before="280" w:after="160"/>
      <w:outlineLvl w:val="1"/>
    </w:pPr>
    <w:rPr>
      <w:rFonts w:ascii="Bricolage Grotesque" w:cs="Bricolage Grotesque" w:eastAsia="Bricolage Grotesque" w:hAnsi="Bricolage Grotesque"/>
      <w:b/>
      <w:bCs/>
      <w:color w:val="8B7332"/>
      <w:sz w:val="32"/>
      <w:szCs w:val="32"/>
    </w:rPr>
  </w:style>
  <w:style w:type="paragraph" w:styleId="Heading3">
    <w:name w:val="Heading 3"/>
    <w:basedOn w:val="Normal"/>
    <w:next w:val="Normal"/>
    <w:qFormat/>
    <w:pPr>
      <w:spacing w:before="200" w:after="120"/>
      <w:outlineLvl w:val="2"/>
    </w:pPr>
    <w:rPr>
      <w:rFonts w:ascii="Outfit" w:cs="Outfit" w:eastAsia="Outfit" w:hAnsi="Outfit"/>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2026-02-10T10:37:58.563Z</dcterms:created>
  <dcterms:modified xsi:type="dcterms:W3CDTF">2026-02-10T10:37:58.564Z</dcterms:modified>
</cp:coreProperties>
</file>

<file path=docProps/custom.xml><?xml version="1.0" encoding="utf-8"?>
<Properties xmlns="http://schemas.openxmlformats.org/officeDocument/2006/custom-properties" xmlns:vt="http://schemas.openxmlformats.org/officeDocument/2006/docPropsVTypes"/>
</file>