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6002" w14:textId="77777777" w:rsidR="00764A31" w:rsidRPr="00764A31" w:rsidRDefault="00764A31" w:rsidP="00764A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Description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Imagine the team is conducting a field experiment to assess the effectiveness of different Facebook ad campaigns in increasing COVID-19 vaccine uptake. The experiment involves two distinct ad strategies appealing to reason and emotions, respectively.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Total participants: 5,000 across the US.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Random assignment: 1/3 receive the first ad (reason), 1/3 the second ad (emotions), and 1/3 none (control group).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Baseline survey completed by all participants; endline survey completed by 4,500 participants.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Task Description:</w:t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br/>
        <w:t>Data Simulation: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Write a script to simulate the raw data:</w:t>
      </w:r>
    </w:p>
    <w:p w14:paraId="464FD75C" w14:textId="77777777" w:rsidR="00764A31" w:rsidRPr="00764A31" w:rsidRDefault="00764A31" w:rsidP="00764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One dataset for the baseline survey (e.g., with a unique identifier, some basic demographic information, and related questions)</w:t>
      </w:r>
    </w:p>
    <w:p w14:paraId="0005CBD4" w14:textId="77777777" w:rsidR="00764A31" w:rsidRPr="00764A31" w:rsidRDefault="00764A31" w:rsidP="00764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One dataset that contains information on the random assignment</w:t>
      </w:r>
    </w:p>
    <w:p w14:paraId="7969419A" w14:textId="77777777" w:rsidR="00764A31" w:rsidRPr="00764A31" w:rsidRDefault="00764A31" w:rsidP="00764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One dataset for the endline survey</w:t>
      </w:r>
    </w:p>
    <w:p w14:paraId="71C9D4C1" w14:textId="77777777" w:rsidR="003D6604" w:rsidRDefault="003D6604" w:rsidP="00764A31">
      <w:pPr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</w:p>
    <w:p w14:paraId="614FA904" w14:textId="2346E4F2" w:rsidR="002A3322" w:rsidRDefault="00764A31" w:rsidP="00764A31"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Analysis and Reporting: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Merge the simulated datasets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Produce tables or figures to evaluate the effectiveness of each campaign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Documentation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Provide comprehensive documentation in a README file. This should include how to run the pipeline, any dependencies, and an overview of the logic and 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lastRenderedPageBreak/>
        <w:t>methodologies used.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Code Quality: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The code should be well-organized, commented, and follow best coding practices.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Evaluation Criteria: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Realism and sophistication of the data simulation.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Insightfulness and clarity of the analysis and reporting.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Adherence to coding standards and quality documentation.</w:t>
      </w:r>
    </w:p>
    <w:p w14:paraId="4AA33FAE" w14:textId="77777777" w:rsidR="002A3322" w:rsidRDefault="002A3322"/>
    <w:p w14:paraId="2803047A" w14:textId="2B8B38EF" w:rsidR="003B1BF1" w:rsidRDefault="003B1BF1"/>
    <w:sectPr w:rsidR="003B1BF1" w:rsidSect="00E32103">
      <w:type w:val="continuous"/>
      <w:pgSz w:w="12240" w:h="15840" w:code="1"/>
      <w:pgMar w:top="660" w:right="132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510C"/>
    <w:multiLevelType w:val="multilevel"/>
    <w:tmpl w:val="E2C6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57D99"/>
    <w:multiLevelType w:val="hybridMultilevel"/>
    <w:tmpl w:val="94365862"/>
    <w:lvl w:ilvl="0" w:tplc="A00C89E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40130">
    <w:abstractNumId w:val="1"/>
  </w:num>
  <w:num w:numId="2" w16cid:durableId="152590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ABiY3MDA3NLQ0MLEyUdpeDU4uLM/DyQAsNaALlJriUsAAAA"/>
  </w:docVars>
  <w:rsids>
    <w:rsidRoot w:val="002A3322"/>
    <w:rsid w:val="0001006A"/>
    <w:rsid w:val="0001610E"/>
    <w:rsid w:val="002A3322"/>
    <w:rsid w:val="003B1BF1"/>
    <w:rsid w:val="003D6604"/>
    <w:rsid w:val="004C6140"/>
    <w:rsid w:val="00612206"/>
    <w:rsid w:val="0070659C"/>
    <w:rsid w:val="00764A31"/>
    <w:rsid w:val="007A0ED8"/>
    <w:rsid w:val="0084034B"/>
    <w:rsid w:val="00C46817"/>
    <w:rsid w:val="00CC3FC1"/>
    <w:rsid w:val="00DC0DA6"/>
    <w:rsid w:val="00E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B512"/>
  <w15:chartTrackingRefBased/>
  <w15:docId w15:val="{543A63B4-B9B1-4059-8436-4083D6D0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4A31"/>
    <w:rPr>
      <w:b/>
      <w:bCs/>
    </w:rPr>
  </w:style>
  <w:style w:type="character" w:styleId="Hyperlink">
    <w:name w:val="Hyperlink"/>
    <w:basedOn w:val="DefaultParagraphFont"/>
    <w:uiPriority w:val="99"/>
    <w:unhideWhenUsed/>
    <w:rsid w:val="00C468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Bingsong Li</dc:creator>
  <cp:keywords/>
  <dc:description/>
  <cp:lastModifiedBy>Bingsong Li</cp:lastModifiedBy>
  <cp:revision>2</cp:revision>
  <dcterms:created xsi:type="dcterms:W3CDTF">2025-03-29T20:32:00Z</dcterms:created>
  <dcterms:modified xsi:type="dcterms:W3CDTF">2025-04-06T04:12:00Z</dcterms:modified>
</cp:coreProperties>
</file>