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HCV Assay Evaluation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Simulated Diagnostic Performance Analysis</w:t>
      </w:r>
    </w:p>
    <w:p>
      <w:pPr>
        <w:pBdr>
          <w:bottom w:val="single" w:color="1F4E79" w:sz="6" w:space="2"/>
        </w:pBdr>
        <w:spacing w:after="28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Biniam Degaga  ·  M.S. Data Science  ·  Medical Laboratory Scientist</w:t>
      </w:r>
    </w:p>
    <w:p>
      <w:pPr>
        <w:pBdr>
          <w:bottom w:val="single" w:color="1F4E79" w:sz="8" w:space="2"/>
        </w:pBdr>
        <w:spacing w:after="80" w:before="320"/>
      </w:pPr>
      <w:r>
        <w:rPr>
          <w:rFonts w:ascii="Arial" w:cs="Arial" w:eastAsia="Arial" w:hAnsi="Arial"/>
          <w:b/>
          <w:bCs/>
          <w:caps/>
          <w:color w:val="1F4E79"/>
          <w:sz w:val="28"/>
          <w:szCs w:val="28"/>
        </w:rPr>
        <w:t xml:space="preserve">Project Overview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>A Python-based simulation and evaluation of a Hepatitis C Core Antigen assay compared to Nucleic Acid Amplification Testing (NAAT), modeled after published clinical assay evaluation research including a multi-center study published in Microbiology Spectrum (2024).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>This project demonstrates a full diagnostic data science workflow — from synthetic data generation through algorithm evaluation — applied to a real-world clinical problem: how well does an HCV antigen assay detect viremia compared to the gold-standard NAAT method?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>The simulation reflects the structure and analytical challenges of actual assay evaluation studies, including relational patient/specimen datasets, probabilistic viral load distributions, antigen signal modeling, and deliberate injection of discordant cases (false negatives at low viral loads).</w:t>
      </w:r>
    </w:p>
    <w:p>
      <w:pPr>
        <w:pBdr>
          <w:bottom w:val="single" w:color="1F4E79" w:sz="8" w:space="2"/>
        </w:pBdr>
        <w:spacing w:after="80" w:before="320"/>
      </w:pPr>
      <w:r>
        <w:rPr>
          <w:rFonts w:ascii="Arial" w:cs="Arial" w:eastAsia="Arial" w:hAnsi="Arial"/>
          <w:b/>
          <w:bCs/>
          <w:caps/>
          <w:color w:val="1F4E79"/>
          <w:sz w:val="28"/>
          <w:szCs w:val="28"/>
        </w:rPr>
        <w:t xml:space="preserve">Key Results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Sensitivity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9"/>
                <w:szCs w:val="19"/>
              </w:rPr>
              <w:t xml:space="preserve">96.6%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Specificity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9"/>
                <w:szCs w:val="19"/>
              </w:rPr>
              <w:t xml:space="preserve">100.0%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Overall Concordance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9"/>
                <w:szCs w:val="19"/>
              </w:rPr>
              <w:t xml:space="preserve">97.3%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Cohen's Kappa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9"/>
                <w:szCs w:val="19"/>
              </w:rPr>
              <w:t xml:space="preserve">0.914 (near-perfect agreement)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Discordant Cases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9"/>
                <w:szCs w:val="19"/>
              </w:rPr>
              <w:t xml:space="preserve">14 of 512 specimens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Discordance Pattern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9"/>
                <w:szCs w:val="19"/>
              </w:rPr>
              <w:t xml:space="preserve">All false negatives; low viral loads (500–5,000 IU/mL)</w:t>
            </w:r>
          </w:p>
        </w:tc>
      </w:tr>
    </w:tbl>
    <w:p>
      <w:pPr>
        <w:spacing w:after="120"/>
      </w:pPr>
    </w:p>
    <w:p>
      <w:pPr>
        <w:pBdr>
          <w:left w:val="single" w:color="1F4E79" w:sz="12" w:space="8"/>
        </w:pBdr>
        <w:spacing w:after="100" w:before="100"/>
        <w:ind w:left="5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Discordant cases were concentrated in the low viral load range, consistent with published findings on antigen assay detection limits — a clinically meaningful pattern relevant to treatment monitoring populations.</w:t>
      </w:r>
    </w:p>
    <w:p>
      <w:pPr>
        <w:pBdr>
          <w:bottom w:val="single" w:color="1F4E79" w:sz="8" w:space="2"/>
        </w:pBdr>
        <w:spacing w:after="80" w:before="320"/>
      </w:pPr>
      <w:r>
        <w:rPr>
          <w:rFonts w:ascii="Arial" w:cs="Arial" w:eastAsia="Arial" w:hAnsi="Arial"/>
          <w:b/>
          <w:bCs/>
          <w:caps/>
          <w:color w:val="1F4E79"/>
          <w:sz w:val="28"/>
          <w:szCs w:val="28"/>
        </w:rPr>
        <w:t xml:space="preserve">Dataset Structure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>The simulation generates two linked relational datasets: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Patient-level  (n = 450 patients)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Patient ID, age (normal distribution, clipped 3–87), sex (M/F)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Specimen-level  (n = 512 specimens)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Specimen ID, patient ID, specimen number, specimen type (Screening / Monitoring)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Collection date (2023–2024)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Viral load (log-normal distribution for positives; zero for negatives)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NAAT result (ground truth, derived from viral 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Antigen signal (log10 viral load + Gaussian noise, clipped ≥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Antigen result (positive/negative, with engineered false negatives at low viral loads)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>This two-table relational structure mirrors the data architecture of real multi-specimen clinical studies.</w:t>
      </w:r>
    </w:p>
    <w:p>
      <w:pPr>
        <w:pBdr>
          <w:bottom w:val="single" w:color="1F4E79" w:sz="8" w:space="2"/>
        </w:pBdr>
        <w:spacing w:after="80" w:before="320"/>
      </w:pPr>
      <w:r>
        <w:rPr>
          <w:rFonts w:ascii="Arial" w:cs="Arial" w:eastAsia="Arial" w:hAnsi="Arial"/>
          <w:b/>
          <w:bCs/>
          <w:caps/>
          <w:color w:val="1F4E79"/>
          <w:sz w:val="28"/>
          <w:szCs w:val="28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Data simulation: numpy probabilistic modeling (normal, log-normal, choice distributions); rule-based discordant case injection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Exploratory data analysis: viral load distributions, specimen type breakdowns, signal summary statistics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Diagnostic performance: sensitivity, specificity, concordance, confusion matrix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Agreement analysis: Cohen's kappa (scikit-learn)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Visualization: viral load histogram, viral load vs. antigen signal scatterplot (linear and log-scaled), confusion matrix heatmap</w:t>
      </w:r>
    </w:p>
    <w:p>
      <w:pPr>
        <w:pBdr>
          <w:bottom w:val="single" w:color="1F4E79" w:sz="8" w:space="2"/>
        </w:pBdr>
        <w:spacing w:after="80" w:before="320"/>
      </w:pPr>
      <w:r>
        <w:rPr>
          <w:rFonts w:ascii="Arial" w:cs="Arial" w:eastAsia="Arial" w:hAnsi="Arial"/>
          <w:b/>
          <w:bCs/>
          <w:caps/>
          <w:color w:val="1F4E79"/>
          <w:sz w:val="28"/>
          <w:szCs w:val="28"/>
        </w:rPr>
        <w:t xml:space="preserve">Clinical Context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>HCV core antigen assays offer a lower-cost alternative to NAAT for viremia detection, particularly in resource-limited or high-throughput screening settings. However, their sensitivity at low viral loads — relevant to post-treatment monitoring — remains a key limitation. This project models that limitation explicitly and quantifies it using standard clinical performance metrics.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>This simulation was informed by:</w:t>
      </w:r>
    </w:p>
    <w:p>
      <w:pPr>
        <w:pBdr>
          <w:left w:val="single" w:color="1F4E79" w:sz="12" w:space="8"/>
        </w:pBdr>
        <w:spacing w:after="100" w:before="100"/>
        <w:ind w:left="5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Degaga B. et al. "Comparison of a Hepatitis C Core Antigen Assay to Nucleic Acid Amplification Testing for Detection of HCV Viremia in a U.S. Population." Microbiology Spectrum, 2024. Presented as a poster at the AACC Annual Scientific Meeting &amp; Clinical Lab Expo, 2023.</w:t>
      </w:r>
    </w:p>
    <w:p>
      <w:pPr>
        <w:pBdr>
          <w:bottom w:val="single" w:color="1F4E79" w:sz="8" w:space="2"/>
        </w:pBdr>
        <w:spacing w:after="80" w:before="320"/>
      </w:pPr>
      <w:r>
        <w:rPr>
          <w:rFonts w:ascii="Arial" w:cs="Arial" w:eastAsia="Arial" w:hAnsi="Arial"/>
          <w:b/>
          <w:bCs/>
          <w:caps/>
          <w:color w:val="1F4E79"/>
          <w:sz w:val="28"/>
          <w:szCs w:val="28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Python 3.11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pandas, numpy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scikit-learn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matplotlib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Jupyter Notebook</w:t>
      </w:r>
    </w:p>
    <w:p>
      <w:pPr>
        <w:pBdr>
          <w:bottom w:val="single" w:color="1F4E79" w:sz="8" w:space="2"/>
        </w:pBdr>
        <w:spacing w:after="80" w:before="320"/>
      </w:pPr>
      <w:r>
        <w:rPr>
          <w:rFonts w:ascii="Arial" w:cs="Arial" w:eastAsia="Arial" w:hAnsi="Arial"/>
          <w:b/>
          <w:bCs/>
          <w:caps/>
          <w:color w:val="1F4E79"/>
          <w:sz w:val="28"/>
          <w:szCs w:val="28"/>
        </w:rPr>
        <w:t xml:space="preserve">Repository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hcv_assay_project.ipynb — full simulation and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README.md — project documentation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2026-05-22T23:57:50.701Z</dcterms:created>
  <dcterms:modified xsi:type="dcterms:W3CDTF">2026-05-22T23:57:50.716Z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