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BDA6" w14:textId="112590E8" w:rsidR="00DB308C" w:rsidRDefault="00B31476">
      <w:pPr>
        <w:rPr>
          <w:b/>
          <w:bCs/>
          <w:sz w:val="36"/>
          <w:szCs w:val="36"/>
        </w:rPr>
      </w:pPr>
      <w:r w:rsidRPr="007C1736">
        <w:rPr>
          <w:b/>
          <w:bCs/>
          <w:sz w:val="36"/>
          <w:szCs w:val="36"/>
        </w:rPr>
        <w:t>Results for the pre-module</w:t>
      </w:r>
    </w:p>
    <w:p w14:paraId="680823BB" w14:textId="18F108D4" w:rsidR="002368B8" w:rsidRDefault="002368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TOOLS USED</w:t>
      </w:r>
    </w:p>
    <w:p w14:paraId="173E10EB" w14:textId="490A1529" w:rsidR="002368B8" w:rsidRPr="002368B8" w:rsidRDefault="002368B8">
      <w:pPr>
        <w:rPr>
          <w:sz w:val="36"/>
          <w:szCs w:val="36"/>
        </w:rPr>
      </w:pPr>
      <w:r w:rsidRPr="002368B8">
        <w:rPr>
          <w:sz w:val="36"/>
          <w:szCs w:val="36"/>
        </w:rPr>
        <w:t>SAS</w:t>
      </w:r>
    </w:p>
    <w:p w14:paraId="7C197CAD" w14:textId="22B9C5C0" w:rsidR="007C1736" w:rsidRPr="002368B8" w:rsidRDefault="002368B8" w:rsidP="007C1736">
      <w:r w:rsidRPr="002368B8">
        <w:t>Question 1</w:t>
      </w:r>
    </w:p>
    <w:p w14:paraId="039BCCD5" w14:textId="57087FBE" w:rsidR="007C1736" w:rsidRDefault="007C1736" w:rsidP="007C1736">
      <w:pPr>
        <w:rPr>
          <w:b/>
          <w:bCs/>
        </w:rPr>
      </w:pPr>
      <w:r w:rsidRPr="009E2B2B">
        <w:rPr>
          <w:b/>
          <w:bCs/>
        </w:rPr>
        <w:t xml:space="preserve">Step </w:t>
      </w:r>
      <w:r>
        <w:rPr>
          <w:b/>
          <w:bCs/>
        </w:rPr>
        <w:t>2</w:t>
      </w:r>
      <w:r w:rsidRPr="009E2B2B">
        <w:rPr>
          <w:b/>
          <w:bCs/>
        </w:rPr>
        <w:t xml:space="preserve">: Identify the </w:t>
      </w:r>
      <w:r>
        <w:rPr>
          <w:b/>
          <w:bCs/>
        </w:rPr>
        <w:t xml:space="preserve">most common types of the </w:t>
      </w:r>
      <w:r w:rsidRPr="009E2B2B">
        <w:rPr>
          <w:b/>
          <w:bCs/>
        </w:rPr>
        <w:t>RA</w:t>
      </w:r>
    </w:p>
    <w:p w14:paraId="2AB1DA33" w14:textId="1ED60F14" w:rsidR="00B31476" w:rsidRDefault="007C1736">
      <w:r w:rsidRPr="007C1736">
        <w:rPr>
          <w:noProof/>
        </w:rPr>
        <w:drawing>
          <wp:inline distT="0" distB="0" distL="0" distR="0" wp14:anchorId="150D35EE" wp14:editId="45FE392A">
            <wp:extent cx="5943600" cy="1405255"/>
            <wp:effectExtent l="0" t="0" r="0" b="4445"/>
            <wp:docPr id="1934985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856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665" w14:textId="1A884273" w:rsidR="001373A7" w:rsidRPr="001373A7" w:rsidRDefault="001373A7">
      <w:r w:rsidRPr="001373A7">
        <w:t xml:space="preserve">In the </w:t>
      </w:r>
      <w:r w:rsidRPr="001373A7">
        <w:rPr>
          <w:rStyle w:val="Strong"/>
          <w:b w:val="0"/>
          <w:bCs w:val="0"/>
        </w:rPr>
        <w:t>Chronic RA</w:t>
      </w:r>
      <w:r w:rsidRPr="001373A7">
        <w:t xml:space="preserve"> group, the most frequently occurring code is </w:t>
      </w:r>
      <w:r w:rsidRPr="001373A7">
        <w:rPr>
          <w:rStyle w:val="Strong"/>
          <w:b w:val="0"/>
          <w:bCs w:val="0"/>
        </w:rPr>
        <w:t>M069</w:t>
      </w:r>
      <w:r w:rsidRPr="001373A7">
        <w:rPr>
          <w:b/>
          <w:bCs/>
        </w:rPr>
        <w:t>,</w:t>
      </w:r>
      <w:r w:rsidRPr="001373A7">
        <w:t xml:space="preserve"> with </w:t>
      </w:r>
      <w:r w:rsidRPr="001373A7">
        <w:rPr>
          <w:rStyle w:val="Strong"/>
          <w:b w:val="0"/>
          <w:bCs w:val="0"/>
        </w:rPr>
        <w:t>712 cases</w:t>
      </w:r>
      <w:r w:rsidRPr="001373A7">
        <w:t xml:space="preserve">, making it the dominant diagnosis. The second most common code, </w:t>
      </w:r>
      <w:r w:rsidRPr="001373A7">
        <w:rPr>
          <w:rStyle w:val="Strong"/>
          <w:b w:val="0"/>
          <w:bCs w:val="0"/>
        </w:rPr>
        <w:t>M0579</w:t>
      </w:r>
      <w:r w:rsidRPr="001373A7">
        <w:rPr>
          <w:b/>
          <w:bCs/>
        </w:rPr>
        <w:t>,</w:t>
      </w:r>
      <w:r w:rsidRPr="001373A7">
        <w:t xml:space="preserve"> appears in </w:t>
      </w:r>
      <w:r w:rsidRPr="001373A7">
        <w:rPr>
          <w:rStyle w:val="Strong"/>
          <w:b w:val="0"/>
          <w:bCs w:val="0"/>
        </w:rPr>
        <w:t>15 cases</w:t>
      </w:r>
      <w:r w:rsidRPr="001373A7">
        <w:t>, while</w:t>
      </w:r>
      <w:r w:rsidRPr="001373A7">
        <w:rPr>
          <w:b/>
          <w:bCs/>
        </w:rPr>
        <w:t xml:space="preserve"> </w:t>
      </w:r>
      <w:r w:rsidRPr="001373A7">
        <w:rPr>
          <w:rStyle w:val="Strong"/>
          <w:b w:val="0"/>
          <w:bCs w:val="0"/>
        </w:rPr>
        <w:t>M059</w:t>
      </w:r>
      <w:r w:rsidRPr="001373A7">
        <w:t xml:space="preserve"> is recorded in </w:t>
      </w:r>
      <w:r w:rsidRPr="001373A7">
        <w:rPr>
          <w:rStyle w:val="Strong"/>
          <w:b w:val="0"/>
          <w:bCs w:val="0"/>
        </w:rPr>
        <w:t>8 cases</w:t>
      </w:r>
      <w:r w:rsidRPr="001373A7">
        <w:t xml:space="preserve">. In the </w:t>
      </w:r>
      <w:r w:rsidRPr="001373A7">
        <w:rPr>
          <w:rStyle w:val="Strong"/>
          <w:b w:val="0"/>
          <w:bCs w:val="0"/>
        </w:rPr>
        <w:t>Systemic RA</w:t>
      </w:r>
      <w:r w:rsidRPr="001373A7">
        <w:t xml:space="preserve"> group, the most frequently recorded code is </w:t>
      </w:r>
      <w:r w:rsidRPr="001373A7">
        <w:rPr>
          <w:rStyle w:val="Strong"/>
          <w:b w:val="0"/>
          <w:bCs w:val="0"/>
        </w:rPr>
        <w:t>M0510</w:t>
      </w:r>
      <w:r w:rsidRPr="001373A7">
        <w:t xml:space="preserve">, with </w:t>
      </w:r>
      <w:r w:rsidRPr="001373A7">
        <w:rPr>
          <w:rStyle w:val="Strong"/>
          <w:b w:val="0"/>
          <w:bCs w:val="0"/>
        </w:rPr>
        <w:t>18 cases</w:t>
      </w:r>
      <w:r w:rsidRPr="001373A7">
        <w:rPr>
          <w:b/>
          <w:bCs/>
        </w:rPr>
        <w:t>.</w:t>
      </w:r>
      <w:r w:rsidRPr="001373A7">
        <w:t xml:space="preserve"> The codes </w:t>
      </w:r>
      <w:r w:rsidRPr="001373A7">
        <w:rPr>
          <w:rStyle w:val="Strong"/>
          <w:b w:val="0"/>
          <w:bCs w:val="0"/>
        </w:rPr>
        <w:t>M0519</w:t>
      </w:r>
      <w:r w:rsidRPr="001373A7">
        <w:rPr>
          <w:b/>
          <w:bCs/>
        </w:rPr>
        <w:t xml:space="preserve"> </w:t>
      </w:r>
      <w:r w:rsidRPr="001373A7">
        <w:t xml:space="preserve">and </w:t>
      </w:r>
      <w:r w:rsidRPr="001373A7">
        <w:rPr>
          <w:rStyle w:val="Strong"/>
          <w:b w:val="0"/>
          <w:bCs w:val="0"/>
        </w:rPr>
        <w:t>M05671</w:t>
      </w:r>
      <w:r w:rsidRPr="001373A7">
        <w:rPr>
          <w:b/>
          <w:bCs/>
        </w:rPr>
        <w:t xml:space="preserve"> </w:t>
      </w:r>
      <w:r w:rsidRPr="001373A7">
        <w:t xml:space="preserve">are much less frequent, each appearing in only </w:t>
      </w:r>
      <w:r w:rsidRPr="001373A7">
        <w:rPr>
          <w:rStyle w:val="Strong"/>
          <w:b w:val="0"/>
          <w:bCs w:val="0"/>
        </w:rPr>
        <w:t>2 cases</w:t>
      </w:r>
      <w:r w:rsidRPr="001373A7">
        <w:rPr>
          <w:b/>
          <w:bCs/>
        </w:rPr>
        <w:t xml:space="preserve">. </w:t>
      </w:r>
      <w:r w:rsidRPr="001373A7">
        <w:t xml:space="preserve">This distribution indicates that </w:t>
      </w:r>
      <w:r w:rsidRPr="001373A7">
        <w:rPr>
          <w:rStyle w:val="Strong"/>
          <w:b w:val="0"/>
          <w:bCs w:val="0"/>
        </w:rPr>
        <w:t>Chronic RA cases are significantly more common</w:t>
      </w:r>
      <w:r w:rsidRPr="001373A7">
        <w:t xml:space="preserve"> than </w:t>
      </w:r>
      <w:r w:rsidRPr="001373A7">
        <w:rPr>
          <w:rStyle w:val="Strong"/>
          <w:b w:val="0"/>
          <w:bCs w:val="0"/>
        </w:rPr>
        <w:t>Systemic RA cases</w:t>
      </w:r>
      <w:r w:rsidRPr="001373A7">
        <w:t xml:space="preserve">, with a large portion of patients diagnosed with </w:t>
      </w:r>
      <w:r w:rsidRPr="001373A7">
        <w:rPr>
          <w:rStyle w:val="Strong"/>
          <w:b w:val="0"/>
          <w:bCs w:val="0"/>
        </w:rPr>
        <w:t>M069</w:t>
      </w:r>
    </w:p>
    <w:p w14:paraId="7BC632E4" w14:textId="77777777" w:rsidR="001373A7" w:rsidRDefault="001373A7"/>
    <w:p w14:paraId="0584D596" w14:textId="77777777" w:rsidR="007C1736" w:rsidRDefault="007C1736" w:rsidP="007C1736">
      <w:pPr>
        <w:rPr>
          <w:b/>
          <w:bCs/>
        </w:rPr>
      </w:pPr>
      <w:r w:rsidRPr="009E2B2B">
        <w:rPr>
          <w:b/>
          <w:bCs/>
        </w:rPr>
        <w:t xml:space="preserve">Step </w:t>
      </w:r>
      <w:r>
        <w:rPr>
          <w:b/>
          <w:bCs/>
        </w:rPr>
        <w:t>3</w:t>
      </w:r>
      <w:r w:rsidRPr="009E2B2B">
        <w:rPr>
          <w:b/>
          <w:bCs/>
        </w:rPr>
        <w:t xml:space="preserve">: </w:t>
      </w:r>
      <w:r>
        <w:rPr>
          <w:b/>
          <w:bCs/>
        </w:rPr>
        <w:t>Gender differences in RA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4980"/>
        <w:gridCol w:w="908"/>
        <w:gridCol w:w="1080"/>
        <w:gridCol w:w="856"/>
        <w:gridCol w:w="690"/>
        <w:gridCol w:w="846"/>
      </w:tblGrid>
      <w:tr w:rsidR="006F241E" w:rsidRPr="006F241E" w14:paraId="072D5F7C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AFBFE"/>
            <w:hideMark/>
          </w:tcPr>
          <w:p w14:paraId="55334EDB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RANGE!A1:F42"/>
            <w:bookmarkStart w:id="1" w:name="RANGE!A1"/>
            <w:bookmarkEnd w:id="0"/>
            <w:r w:rsidRPr="006F24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Fisher's Exact Test: Gender Differences in RA Prevalence</w:t>
            </w:r>
            <w:bookmarkEnd w:id="1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07C5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CCB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1CA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93D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FF56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8FEDA87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D85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2F3D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027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57C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A717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D6E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400AB618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28C3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FREQ Procedure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91C3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C64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3C8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E8D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7BE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2522F9D4" w14:textId="77777777" w:rsidTr="006F241E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9AB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7E08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E16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21B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1A69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F926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B1DA9D4" w14:textId="77777777" w:rsidTr="006F241E">
        <w:trPr>
          <w:trHeight w:val="288"/>
        </w:trPr>
        <w:tc>
          <w:tcPr>
            <w:tcW w:w="5280" w:type="dxa"/>
            <w:tcBorders>
              <w:top w:val="single" w:sz="8" w:space="0" w:color="C1C1C1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49D6F762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</w:t>
            </w:r>
          </w:p>
        </w:tc>
        <w:tc>
          <w:tcPr>
            <w:tcW w:w="820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3B60" w14:textId="77777777" w:rsidR="006F241E" w:rsidRPr="006F241E" w:rsidRDefault="006F241E" w:rsidP="006F24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240" w:type="dxa"/>
            <w:gridSpan w:val="4"/>
            <w:tcBorders>
              <w:top w:val="single" w:sz="8" w:space="0" w:color="C1C1C1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003BA460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Table of sex by </w:t>
            </w:r>
            <w:proofErr w:type="spellStart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RA_flag</w:t>
            </w:r>
            <w:proofErr w:type="spellEnd"/>
          </w:p>
        </w:tc>
      </w:tr>
      <w:tr w:rsidR="006F241E" w:rsidRPr="006F241E" w14:paraId="421FE6DF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0C08F147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Percent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E8AE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46173920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75260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RA_flag</w:t>
            </w:r>
            <w:proofErr w:type="spellEnd"/>
          </w:p>
        </w:tc>
      </w:tr>
      <w:tr w:rsidR="006F241E" w:rsidRPr="006F241E" w14:paraId="361D1F19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5CE8C31D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Pct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2206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49302F00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7DF47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D7D2F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85E79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</w:tr>
      <w:tr w:rsidR="006F241E" w:rsidRPr="006F241E" w14:paraId="4B8D95FC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163EE571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 Pct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CDFC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1B8EFD4A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7B0F6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168199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CA63B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20F9B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168402</w:t>
            </w:r>
          </w:p>
        </w:tc>
      </w:tr>
      <w:tr w:rsidR="006F241E" w:rsidRPr="006F241E" w14:paraId="071718E2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11BFB4F3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028D7DF0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50162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2D1F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EA906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45.44</w:t>
            </w:r>
          </w:p>
        </w:tc>
      </w:tr>
      <w:tr w:rsidR="006F241E" w:rsidRPr="006F241E" w14:paraId="5C2DF07E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1C225771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6C814C83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11BDA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99.88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64128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E4F89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F241E" w:rsidRPr="006F241E" w14:paraId="650C0108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696FF4AD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070A8810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280EA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86633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A085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F241E" w:rsidRPr="006F241E" w14:paraId="524E676E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18906D4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77BCAFFA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07B4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C3DD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E06F8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202220</w:t>
            </w:r>
          </w:p>
        </w:tc>
      </w:tr>
      <w:tr w:rsidR="006F241E" w:rsidRPr="006F241E" w14:paraId="337949C6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24E2D33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2CCE6A55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207F0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397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525D6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54.56</w:t>
            </w:r>
          </w:p>
        </w:tc>
      </w:tr>
      <w:tr w:rsidR="006F241E" w:rsidRPr="006F241E" w14:paraId="75F6BC06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4F101243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36996C4E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CCF9E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5ADB9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67D6D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F241E" w:rsidRPr="006F241E" w14:paraId="65144BEB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159834E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0B3366F4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165F9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1D84D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3C975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F241E" w:rsidRPr="006F241E" w14:paraId="5462BB17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56B15BF9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6D2244FC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D561B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369822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D2CA4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65976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370622</w:t>
            </w:r>
          </w:p>
        </w:tc>
      </w:tr>
      <w:tr w:rsidR="006F241E" w:rsidRPr="006F241E" w14:paraId="7F5A6EC2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6AB0362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C1C1C1"/>
              <w:bottom w:val="nil"/>
              <w:right w:val="nil"/>
            </w:tcBorders>
            <w:vAlign w:val="center"/>
            <w:hideMark/>
          </w:tcPr>
          <w:p w14:paraId="051B32F8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06AB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FBF43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951F9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  <w:tr w:rsidR="006F241E" w:rsidRPr="006F241E" w14:paraId="6486F242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auto" w:fill="auto"/>
            <w:hideMark/>
          </w:tcPr>
          <w:p w14:paraId="4B57F63F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EACC7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Missing = 11</w:t>
            </w:r>
          </w:p>
        </w:tc>
      </w:tr>
      <w:tr w:rsidR="006F241E" w:rsidRPr="006F241E" w14:paraId="03AE9AB1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AF03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C22E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527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DE39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0A9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4E66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54223805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20B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D61A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F4D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308E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7A6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5BF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2662D8F3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AFBFE"/>
            <w:hideMark/>
          </w:tcPr>
          <w:p w14:paraId="3FCC0C7B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 xml:space="preserve">Statistics for Table of sex by </w:t>
            </w:r>
            <w:proofErr w:type="spellStart"/>
            <w:r w:rsidRPr="006F241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RA_flag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9D68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66A3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5C7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5EF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9E0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4771FA31" w14:textId="77777777" w:rsidTr="006F241E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AAA9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DAB5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05E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8F2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F036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F9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18B9880" w14:textId="77777777" w:rsidTr="006F241E">
        <w:trPr>
          <w:trHeight w:val="288"/>
        </w:trPr>
        <w:tc>
          <w:tcPr>
            <w:tcW w:w="5280" w:type="dxa"/>
            <w:tcBorders>
              <w:top w:val="single" w:sz="8" w:space="0" w:color="C1C1C1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7A97F314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Statistic</w:t>
            </w:r>
          </w:p>
        </w:tc>
        <w:tc>
          <w:tcPr>
            <w:tcW w:w="820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538D5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</w:p>
        </w:tc>
        <w:tc>
          <w:tcPr>
            <w:tcW w:w="1060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212E2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780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B10DD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C0EF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51B7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5FF1161E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636610C2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Chi-Square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DCD66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DAF14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130.1658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250C2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E8AF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62FB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6215BAC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3EEA5C0F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Likelihood Ratio Chi-Square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A7926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68E82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137.6341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5D3B0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E533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9C56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15A55DE5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48C69373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Continuity Adj. Chi-Square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384F0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CB7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129.3561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BF4CC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E132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FFA6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1CF49E14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040FE4D3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Mantel-Haenszel Chi-Square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A22D4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7175A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130.1655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A6BF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B910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63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514A7EF9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6F613968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Phi Coefficient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44A4E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39888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0.0187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F7F89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746D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424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7EF72E3B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31F606DA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Contingency Coefficient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19E5B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4D5A3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0.0187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49A1D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4AC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633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FCE5ECB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6BB58970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Cramer's 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7F35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ACEED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0.0187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11630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2333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4DB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42BE3834" w14:textId="77777777" w:rsidTr="006F241E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482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8856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1D7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357E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A8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6853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5BB43BBA" w14:textId="77777777" w:rsidTr="006F241E">
        <w:trPr>
          <w:trHeight w:val="288"/>
        </w:trPr>
        <w:tc>
          <w:tcPr>
            <w:tcW w:w="6100" w:type="dxa"/>
            <w:gridSpan w:val="2"/>
            <w:tcBorders>
              <w:top w:val="single" w:sz="8" w:space="0" w:color="C1C1C1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167F0D11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Fisher's Exact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076A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36D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8F7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46C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675B8BFD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2C64482E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Cell (1,1) Frequency (F)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1DEF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168199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2DF4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E3A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3FE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4A8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C090154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3E164C6A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Left-sided </w:t>
            </w:r>
            <w:proofErr w:type="spellStart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</w:t>
            </w:r>
            <w:proofErr w:type="spellEnd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&lt;= 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E60BC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1185" w14:textId="77777777" w:rsidR="006F241E" w:rsidRPr="006F241E" w:rsidRDefault="006F241E" w:rsidP="006F24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F3A9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53C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B7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5DDFDC1E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5084B8F9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Right-sided </w:t>
            </w:r>
            <w:proofErr w:type="spellStart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</w:t>
            </w:r>
            <w:proofErr w:type="spellEnd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&gt;= 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910E9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760F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1F3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BEA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FB3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7DF41DD4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700C5FC9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389A6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60D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345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961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D67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58AA5195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19294022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Table Probability (P)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E2467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6B46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677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D940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33C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4BFC8A6C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14:paraId="1908A29D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Two-sided </w:t>
            </w:r>
            <w:proofErr w:type="spellStart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</w:t>
            </w:r>
            <w:proofErr w:type="spellEnd"/>
            <w:r w:rsidRPr="006F24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&lt;= P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32092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6F241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8271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F73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4AAD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9EF2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6442B4DB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2947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4CAD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786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661C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ED5A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83D7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02B99655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2905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A180" w14:textId="77777777" w:rsidR="006F241E" w:rsidRPr="006F241E" w:rsidRDefault="006F241E" w:rsidP="006F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6892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5DF1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A32B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9771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338AFE4F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AFBFE"/>
            <w:hideMark/>
          </w:tcPr>
          <w:p w14:paraId="24C8EAE9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Sample Size = 370622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B0AE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F15B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0A59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CD74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9BC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41E" w:rsidRPr="006F241E" w14:paraId="6091A227" w14:textId="77777777" w:rsidTr="006F241E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AFBFE"/>
            <w:hideMark/>
          </w:tcPr>
          <w:p w14:paraId="764AF9AF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6F241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Frequency Missing = 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9860" w14:textId="77777777" w:rsidR="006F241E" w:rsidRPr="006F241E" w:rsidRDefault="006F241E" w:rsidP="006F2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60A2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04CF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70DB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84E8" w14:textId="77777777" w:rsidR="006F241E" w:rsidRPr="006F241E" w:rsidRDefault="006F241E" w:rsidP="006F2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9A951E" w14:textId="77777777" w:rsidR="007C1736" w:rsidRDefault="007C1736"/>
    <w:p w14:paraId="584B0DF5" w14:textId="3B2ACA81" w:rsidR="006F241E" w:rsidRDefault="001373A7">
      <w:r>
        <w:t xml:space="preserve">Among the </w:t>
      </w:r>
      <w:r w:rsidRPr="001373A7">
        <w:rPr>
          <w:rStyle w:val="Strong"/>
          <w:b w:val="0"/>
          <w:bCs w:val="0"/>
        </w:rPr>
        <w:t>370,622 individuals</w:t>
      </w:r>
      <w:r w:rsidRPr="001373A7">
        <w:t xml:space="preserve"> in</w:t>
      </w:r>
      <w:r w:rsidRPr="001373A7">
        <w:rPr>
          <w:b/>
          <w:bCs/>
        </w:rPr>
        <w:t xml:space="preserve"> </w:t>
      </w:r>
      <w:r>
        <w:t xml:space="preserve">the dataset, </w:t>
      </w:r>
      <w:r w:rsidRPr="001373A7">
        <w:rPr>
          <w:rStyle w:val="Strong"/>
          <w:b w:val="0"/>
          <w:bCs w:val="0"/>
        </w:rPr>
        <w:t>800 cases</w:t>
      </w:r>
      <w:r>
        <w:t xml:space="preserve"> were diagnosed with RA. Women (sex = 2) had a higher </w:t>
      </w:r>
      <w:r w:rsidRPr="001373A7">
        <w:rPr>
          <w:rStyle w:val="Strong"/>
          <w:b w:val="0"/>
          <w:bCs w:val="0"/>
        </w:rPr>
        <w:t>prevalence of RA (0.3%)</w:t>
      </w:r>
      <w:r>
        <w:t xml:space="preserve"> compared to men (sex = 1) who had a lower prevalence of </w:t>
      </w:r>
      <w:r w:rsidRPr="001373A7">
        <w:rPr>
          <w:rStyle w:val="Strong"/>
          <w:b w:val="0"/>
          <w:bCs w:val="0"/>
        </w:rPr>
        <w:t>0.12%</w:t>
      </w:r>
      <w:r w:rsidRPr="001373A7">
        <w:rPr>
          <w:b/>
          <w:bCs/>
        </w:rPr>
        <w:t>.</w:t>
      </w:r>
      <w:r>
        <w:t xml:space="preserve"> While the overall proportion of RA cases is low, the statistical tests </w:t>
      </w:r>
      <w:r>
        <w:lastRenderedPageBreak/>
        <w:t xml:space="preserve">confirm that </w:t>
      </w:r>
      <w:r>
        <w:rPr>
          <w:rStyle w:val="Strong"/>
        </w:rPr>
        <w:t>women are significantly more likely to have RA than men</w:t>
      </w:r>
      <w:r>
        <w:t>, aligning with known epidemiological trends.</w:t>
      </w:r>
    </w:p>
    <w:p w14:paraId="4614B524" w14:textId="77777777" w:rsidR="006F241E" w:rsidRDefault="006F241E"/>
    <w:p w14:paraId="1651F1FA" w14:textId="77777777" w:rsidR="006F241E" w:rsidRPr="009E2B2B" w:rsidRDefault="006F241E" w:rsidP="006F241E">
      <w:pPr>
        <w:rPr>
          <w:b/>
          <w:bCs/>
        </w:rPr>
      </w:pPr>
      <w:r>
        <w:rPr>
          <w:b/>
          <w:bCs/>
        </w:rPr>
        <w:t>Step 4: Calculate the inter-quartile range of the costs</w:t>
      </w:r>
    </w:p>
    <w:p w14:paraId="00D66CD3" w14:textId="7EB5D48E" w:rsidR="006F241E" w:rsidRDefault="006F241E">
      <w:r w:rsidRPr="006F241E">
        <w:rPr>
          <w:noProof/>
        </w:rPr>
        <w:drawing>
          <wp:inline distT="0" distB="0" distL="0" distR="0" wp14:anchorId="20A8566E" wp14:editId="2D786B19">
            <wp:extent cx="5943600" cy="325120"/>
            <wp:effectExtent l="0" t="0" r="0" b="0"/>
            <wp:docPr id="12837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4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152D" w14:textId="514C2ABB" w:rsidR="006F241E" w:rsidRDefault="001373A7" w:rsidP="006F241E">
      <w:pPr>
        <w:tabs>
          <w:tab w:val="left" w:pos="2268"/>
        </w:tabs>
      </w:pPr>
      <w:r>
        <w:t xml:space="preserve">The </w:t>
      </w:r>
      <w:r w:rsidRPr="001373A7">
        <w:rPr>
          <w:rStyle w:val="Strong"/>
          <w:b w:val="0"/>
          <w:bCs w:val="0"/>
        </w:rPr>
        <w:t>first quartile (Q1) is 682.48</w:t>
      </w:r>
      <w:r>
        <w:t xml:space="preserve">, meaning 25% of the data falls below this value, while the </w:t>
      </w:r>
      <w:r w:rsidRPr="001373A7">
        <w:rPr>
          <w:rStyle w:val="Strong"/>
          <w:b w:val="0"/>
          <w:bCs w:val="0"/>
        </w:rPr>
        <w:t>median is 1521.62</w:t>
      </w:r>
      <w:r w:rsidRPr="001373A7">
        <w:rPr>
          <w:b/>
          <w:bCs/>
        </w:rPr>
        <w:t>,</w:t>
      </w:r>
      <w:r>
        <w:t xml:space="preserve"> representing the middle value of the dataset. The </w:t>
      </w:r>
      <w:r w:rsidRPr="001373A7">
        <w:rPr>
          <w:rStyle w:val="Strong"/>
          <w:b w:val="0"/>
          <w:bCs w:val="0"/>
        </w:rPr>
        <w:t>third quartile (Q3) is 3440.18</w:t>
      </w:r>
      <w:r w:rsidRPr="001373A7">
        <w:rPr>
          <w:b/>
          <w:bCs/>
        </w:rPr>
        <w:t xml:space="preserve">, </w:t>
      </w:r>
      <w:r>
        <w:t xml:space="preserve">indicating that 75% of the data falls below this point. The </w:t>
      </w:r>
      <w:r w:rsidRPr="001373A7">
        <w:rPr>
          <w:rStyle w:val="Strong"/>
          <w:b w:val="0"/>
          <w:bCs w:val="0"/>
        </w:rPr>
        <w:t>interquartile range (IQR) is 2757.7</w:t>
      </w:r>
      <w:r>
        <w:t xml:space="preserve">, showing the spread of the middle 50% of the data. The large gap between Q1 and Q3 suggests high variability, and the median being closer to Q1 than Q3 further supports a </w:t>
      </w:r>
      <w:r w:rsidRPr="001373A7">
        <w:rPr>
          <w:rStyle w:val="Strong"/>
          <w:b w:val="0"/>
          <w:bCs w:val="0"/>
        </w:rPr>
        <w:t>right-skewed distribution</w:t>
      </w:r>
      <w:r w:rsidRPr="001373A7">
        <w:rPr>
          <w:b/>
          <w:bCs/>
        </w:rPr>
        <w:t>.</w:t>
      </w:r>
    </w:p>
    <w:p w14:paraId="2FDF0C1A" w14:textId="77777777" w:rsidR="006F241E" w:rsidRPr="00574848" w:rsidRDefault="006F241E" w:rsidP="006F241E">
      <w:pPr>
        <w:rPr>
          <w:b/>
          <w:bCs/>
        </w:rPr>
      </w:pPr>
      <w:r w:rsidRPr="00574848">
        <w:rPr>
          <w:b/>
          <w:bCs/>
        </w:rPr>
        <w:t>Step 5: Study of service utilization</w:t>
      </w:r>
    </w:p>
    <w:p w14:paraId="68FC3DE3" w14:textId="474028E6" w:rsidR="006F241E" w:rsidRDefault="006F241E" w:rsidP="006F241E">
      <w:pPr>
        <w:tabs>
          <w:tab w:val="left" w:pos="2268"/>
        </w:tabs>
      </w:pPr>
      <w:r w:rsidRPr="006F241E">
        <w:rPr>
          <w:noProof/>
        </w:rPr>
        <w:drawing>
          <wp:inline distT="0" distB="0" distL="0" distR="0" wp14:anchorId="036DD3A1" wp14:editId="20C0F499">
            <wp:extent cx="3924640" cy="1265030"/>
            <wp:effectExtent l="0" t="0" r="0" b="0"/>
            <wp:docPr id="126118744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87443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A5BD" w14:textId="2ABEA400" w:rsidR="006F241E" w:rsidRDefault="001373A7" w:rsidP="006F241E">
      <w:pPr>
        <w:tabs>
          <w:tab w:val="left" w:pos="2268"/>
        </w:tabs>
      </w:pPr>
      <w:r>
        <w:t xml:space="preserve">The most frequently used service is associated with REVCODE 300, which was utilized 2,255 times, accounting for 27.98% of total usage. REVCODE 636 follows with 890 occurrences (11.04%), and REVCODE 250 ranks third with 874 occurrences (10.84%). Additionally, REVCODE 450 and 320 appear 831 (10.31%) and 291 (3.61%) times, respectively. </w:t>
      </w:r>
    </w:p>
    <w:p w14:paraId="2A6A874B" w14:textId="776A6FA9" w:rsidR="006F241E" w:rsidRDefault="006F241E" w:rsidP="006F241E">
      <w:pPr>
        <w:tabs>
          <w:tab w:val="left" w:pos="2268"/>
        </w:tabs>
      </w:pPr>
      <w:r>
        <w:t>Question 2</w:t>
      </w:r>
    </w:p>
    <w:p w14:paraId="52579C0A" w14:textId="77777777" w:rsidR="007C76C9" w:rsidRDefault="007C76C9" w:rsidP="006F241E">
      <w:pPr>
        <w:tabs>
          <w:tab w:val="left" w:pos="2268"/>
        </w:tabs>
      </w:pPr>
    </w:p>
    <w:p w14:paraId="49446758" w14:textId="6BF90E50" w:rsidR="007C76C9" w:rsidRDefault="00E67168" w:rsidP="006F241E">
      <w:pPr>
        <w:tabs>
          <w:tab w:val="left" w:pos="2268"/>
        </w:tabs>
      </w:pPr>
      <w:r>
        <w:t>Lions</w:t>
      </w:r>
      <w:r w:rsidR="007C76C9">
        <w:t xml:space="preserve"> share in terms of admissions</w:t>
      </w:r>
    </w:p>
    <w:p w14:paraId="4F5933BD" w14:textId="05859842" w:rsidR="006F241E" w:rsidRDefault="00E67168" w:rsidP="006F241E">
      <w:pPr>
        <w:tabs>
          <w:tab w:val="left" w:pos="2268"/>
        </w:tabs>
      </w:pPr>
      <w:r w:rsidRPr="00E67168">
        <w:rPr>
          <w:noProof/>
        </w:rPr>
        <w:lastRenderedPageBreak/>
        <w:drawing>
          <wp:inline distT="0" distB="0" distL="0" distR="0" wp14:anchorId="712ECD34" wp14:editId="6209AA3B">
            <wp:extent cx="4648603" cy="3322608"/>
            <wp:effectExtent l="0" t="0" r="0" b="0"/>
            <wp:docPr id="311354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47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7E91" w14:textId="735D4072" w:rsidR="007C76C9" w:rsidRPr="007C76C9" w:rsidRDefault="004E474E" w:rsidP="007C76C9">
      <w:r>
        <w:t>the lion's share of admissions is associated with the category where MDC is 1 and hnum2 is 5, accounting for 2,039 admissions out of a total of 3,276, making up 62.24% of the total admissions in that subset. Similarly, another significant contributor is the category with MDC 1 and hnum2 8, which records 2,416 admissions, comprising 42.59% of the overall admissions. These two categories dominate the distribution, indicating a higher utilization of healthcare services within these specific groups. Other categories contribute smaller shares, ranging between 10.23% and 2.59%.</w:t>
      </w:r>
    </w:p>
    <w:p w14:paraId="0523E832" w14:textId="77777777" w:rsidR="007C76C9" w:rsidRDefault="007C76C9" w:rsidP="007C76C9"/>
    <w:p w14:paraId="11AAF7BD" w14:textId="7EE75C33" w:rsidR="007C76C9" w:rsidRDefault="00E67168" w:rsidP="007C76C9">
      <w:pPr>
        <w:tabs>
          <w:tab w:val="left" w:pos="3528"/>
        </w:tabs>
      </w:pPr>
      <w:r>
        <w:t>Lion share</w:t>
      </w:r>
      <w:r w:rsidR="007C76C9">
        <w:t xml:space="preserve"> in terms of charges</w:t>
      </w:r>
    </w:p>
    <w:p w14:paraId="21455C29" w14:textId="7E89B879" w:rsidR="007C76C9" w:rsidRDefault="00E67168" w:rsidP="007C76C9">
      <w:pPr>
        <w:tabs>
          <w:tab w:val="left" w:pos="3528"/>
        </w:tabs>
      </w:pPr>
      <w:r w:rsidRPr="00E67168">
        <w:rPr>
          <w:noProof/>
        </w:rPr>
        <w:lastRenderedPageBreak/>
        <w:drawing>
          <wp:inline distT="0" distB="0" distL="0" distR="0" wp14:anchorId="0476F5E4" wp14:editId="11DE680B">
            <wp:extent cx="5197290" cy="3947502"/>
            <wp:effectExtent l="0" t="0" r="3810" b="0"/>
            <wp:docPr id="1662182750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82750" name="Picture 1" descr="A screenshot of a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5F82" w14:textId="26C7E0D0" w:rsidR="00E67168" w:rsidRPr="00E67168" w:rsidRDefault="004E474E" w:rsidP="00E67168">
      <w:r>
        <w:t xml:space="preserve">the highest proportion of total charges is attributed to the first row, where MDC 1 and hnum2 5 contribute </w:t>
      </w:r>
      <w:r w:rsidRPr="004E474E">
        <w:rPr>
          <w:rStyle w:val="Strong"/>
          <w:b w:val="0"/>
          <w:bCs w:val="0"/>
        </w:rPr>
        <w:t>$92,200,269.6</w:t>
      </w:r>
      <w:r w:rsidRPr="004E474E">
        <w:rPr>
          <w:b/>
          <w:bCs/>
        </w:rPr>
        <w:t>,</w:t>
      </w:r>
      <w:r>
        <w:t xml:space="preserve"> making up </w:t>
      </w:r>
      <w:r w:rsidRPr="004E474E">
        <w:rPr>
          <w:rStyle w:val="Strong"/>
          <w:b w:val="0"/>
          <w:bCs w:val="0"/>
        </w:rPr>
        <w:t>79.27%</w:t>
      </w:r>
      <w:r>
        <w:t xml:space="preserve"> of the grand total charges of </w:t>
      </w:r>
      <w:r w:rsidRPr="004E474E">
        <w:rPr>
          <w:rStyle w:val="Strong"/>
          <w:b w:val="0"/>
          <w:bCs w:val="0"/>
        </w:rPr>
        <w:t>$116,309,418.86</w:t>
      </w:r>
      <w:r w:rsidRPr="004E474E">
        <w:rPr>
          <w:b/>
          <w:bCs/>
        </w:rPr>
        <w:t>.</w:t>
      </w:r>
      <w:r>
        <w:t xml:space="preserve"> This indicates that this category holds the lion's share of the total charges. The second highest contribution comes from MDC 14 and hnum2 8, amounting to </w:t>
      </w:r>
      <w:r w:rsidRPr="004E474E">
        <w:rPr>
          <w:rStyle w:val="Strong"/>
          <w:b w:val="0"/>
          <w:bCs w:val="0"/>
        </w:rPr>
        <w:t>$30,773,062.49</w:t>
      </w:r>
      <w:r w:rsidRPr="004E474E">
        <w:rPr>
          <w:b/>
          <w:bCs/>
        </w:rPr>
        <w:t>,</w:t>
      </w:r>
      <w:r>
        <w:t xml:space="preserve"> which represents </w:t>
      </w:r>
      <w:r w:rsidRPr="004E474E">
        <w:rPr>
          <w:rStyle w:val="Strong"/>
          <w:b w:val="0"/>
          <w:bCs w:val="0"/>
        </w:rPr>
        <w:t>46.53%</w:t>
      </w:r>
      <w:r>
        <w:t xml:space="preserve"> of the respective grand total of </w:t>
      </w:r>
      <w:r w:rsidRPr="004E474E">
        <w:rPr>
          <w:rStyle w:val="Strong"/>
          <w:b w:val="0"/>
          <w:bCs w:val="0"/>
        </w:rPr>
        <w:t>$66,142,373.48</w:t>
      </w:r>
      <w:r w:rsidRPr="004E474E">
        <w:rPr>
          <w:b/>
          <w:bCs/>
        </w:rPr>
        <w:t>.</w:t>
      </w:r>
      <w:r>
        <w:t xml:space="preserve"> Other categories have significantly lower shares, with percentages dropping below 8%.</w:t>
      </w:r>
    </w:p>
    <w:p w14:paraId="320E6A83" w14:textId="3C476B46" w:rsidR="00E67168" w:rsidRPr="00E67168" w:rsidRDefault="00E67168" w:rsidP="00E67168">
      <w:pPr>
        <w:tabs>
          <w:tab w:val="left" w:pos="3000"/>
        </w:tabs>
      </w:pPr>
      <w:proofErr w:type="gramStart"/>
      <w:r>
        <w:t>Thus</w:t>
      </w:r>
      <w:proofErr w:type="gramEnd"/>
      <w:r>
        <w:t xml:space="preserve"> it is hospital 5</w:t>
      </w:r>
      <w:r w:rsidR="00A65E58">
        <w:t xml:space="preserve"> (</w:t>
      </w:r>
      <w:r w:rsidR="00A65E58" w:rsidRPr="00A65E58">
        <w:t>University of Vermont Medical Center</w:t>
      </w:r>
      <w:r w:rsidR="00A65E58">
        <w:t>)</w:t>
      </w:r>
    </w:p>
    <w:sectPr w:rsidR="00E67168" w:rsidRPr="00E6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6"/>
    <w:rsid w:val="00087A8A"/>
    <w:rsid w:val="001373A7"/>
    <w:rsid w:val="001A1090"/>
    <w:rsid w:val="002368B8"/>
    <w:rsid w:val="004E474E"/>
    <w:rsid w:val="006A3DB6"/>
    <w:rsid w:val="006F241E"/>
    <w:rsid w:val="007B0C5F"/>
    <w:rsid w:val="007C1736"/>
    <w:rsid w:val="007C76C9"/>
    <w:rsid w:val="007E7601"/>
    <w:rsid w:val="009715D4"/>
    <w:rsid w:val="009E1F66"/>
    <w:rsid w:val="00A65E58"/>
    <w:rsid w:val="00B31476"/>
    <w:rsid w:val="00C16A93"/>
    <w:rsid w:val="00DB308C"/>
    <w:rsid w:val="00E6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662"/>
  <w15:chartTrackingRefBased/>
  <w15:docId w15:val="{3435EDE0-9251-44E7-B16A-4E0FE39C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7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633</Words>
  <Characters>3613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Mukiibi</dc:creator>
  <cp:keywords/>
  <dc:description/>
  <cp:lastModifiedBy>Doreen Accorley</cp:lastModifiedBy>
  <cp:revision>2</cp:revision>
  <dcterms:created xsi:type="dcterms:W3CDTF">2025-03-24T02:37:00Z</dcterms:created>
  <dcterms:modified xsi:type="dcterms:W3CDTF">2025-03-24T02:37:00Z</dcterms:modified>
</cp:coreProperties>
</file>