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AsterDesk 远程访问权限测试政策</w:t>
      </w:r>
    </w:p>
    <w:p>
      <w:pPr>
        <w:spacing w:after="240"/>
      </w:pPr>
      <w:r>
        <w:t>本文件是 AsterDesk 第二阶段的虚构测试资料，用于验证文档解析、页码定位、表格提取、版本管理和权限过滤。内容不对应任何真实企业制度。</w:t>
      </w:r>
    </w:p>
    <w:p>
      <w:pPr>
        <w:pStyle w:val="Heading1"/>
      </w:pPr>
      <w:r>
        <w:t>1 申请材料</w:t>
      </w:r>
    </w:p>
    <w:p>
      <w:r>
        <w:t>申请远程访问权限时，申请人需要提供姓名、所属部门、使用设备资产编号、访问系统名称、业务用途和预计使用期限。</w:t>
      </w:r>
    </w:p>
    <w:p>
      <w:r>
        <w:t>如申请管理员权限，还需要直属主管确认和信息安全复核。申请人不得在工单中填写口令、令牌或私钥。</w:t>
      </w:r>
    </w:p>
    <w:p>
      <w:pPr>
        <w:pStyle w:val="Heading2"/>
      </w:pPr>
      <w:r>
        <w:t>1 1 材料清单</w:t>
      </w:r>
    </w:p>
    <w:p>
      <w:pPr>
        <w:pStyle w:val="ListBullet"/>
      </w:pPr>
      <w:r>
        <w:t>申请人姓名和所属部门</w:t>
      </w:r>
    </w:p>
    <w:p>
      <w:pPr>
        <w:pStyle w:val="ListBullet"/>
      </w:pPr>
      <w:r>
        <w:t>设备资产编号和操作系统</w:t>
      </w:r>
    </w:p>
    <w:p>
      <w:pPr>
        <w:pStyle w:val="ListBullet"/>
      </w:pPr>
      <w:r>
        <w:t>访问系统名称及所需权限范围</w:t>
      </w:r>
    </w:p>
    <w:p>
      <w:pPr>
        <w:pStyle w:val="ListBullet"/>
      </w:pPr>
      <w:r>
        <w:t>业务用途和预计使用期限</w:t>
      </w:r>
    </w:p>
    <w:p>
      <w:pPr>
        <w:pStyle w:val="ListBullet"/>
      </w:pPr>
      <w:r>
        <w:t>直属主管确认</w:t>
      </w:r>
    </w:p>
    <w:p>
      <w:r>
        <w:br w:type="page"/>
      </w:r>
    </w:p>
    <w:p>
      <w:pPr>
        <w:pStyle w:val="Heading1"/>
      </w:pPr>
      <w:r>
        <w:t>2 审批矩阵</w:t>
      </w:r>
    </w:p>
    <w:p>
      <w:r>
        <w:t>本节故意放在第二页，供解析器验证跨页正文及来源定位。审批要求以当前活动版本为准。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权限类型</w:t>
            </w:r>
          </w:p>
        </w:tc>
        <w:tc>
          <w:tcPr>
            <w:tcW w:type="dxa" w:w="316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必要确认</w:t>
            </w:r>
          </w:p>
        </w:tc>
        <w:tc>
          <w:tcPr>
            <w:tcW w:type="dxa" w:w="4104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附加材料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普通访问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直属主管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业务用途和期限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管理员权限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center"/>
            </w:pPr>
            <w:r>
              <w:t>直属主管与信息安全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jc w:val="left"/>
            </w:pPr>
            <w:r>
              <w:t>权限范围和风险说明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敏感数据访问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数据负责人和信息安全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数据分类及导出说明</w:t>
            </w:r>
          </w:p>
        </w:tc>
      </w:tr>
    </w:tbl>
    <w:p>
      <w:pPr>
        <w:spacing w:before="240"/>
      </w:pPr>
      <w:r>
        <w:t>提交后，系统应保留文档版本、页码和片段标识。新版本发布前，旧版本仍是唯一可检索的活动版本。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