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6"/>
        </w:rPr>
        <w:t>ScopeGuard: Identity-Scoped Execution Control and Dynamic Permission Authorization for AI Agents in Cloud Infrastructure</w:t>
        <w:br/>
      </w:r>
    </w:p>
    <w:p>
      <w:pPr>
        <w:jc w:val="center"/>
      </w:pPr>
      <w:r>
        <w:rPr>
          <w:rFonts w:ascii="Times New Roman" w:hAnsi="Times New Roman"/>
          <w:i/>
          <w:sz w:val="22"/>
        </w:rPr>
        <w:t>Binod Prasad Joshi</w:t>
        <w:br/>
        <w:t>Department of Computer Science &amp; Cloud Infrastructure Security Research Group</w:t>
        <w:br/>
        <w:br/>
      </w:r>
    </w:p>
    <w:p>
      <w:r>
        <w:rPr>
          <w:rFonts w:ascii="Times New Roman" w:hAnsi="Times New Roman"/>
          <w:b/>
          <w:sz w:val="24"/>
        </w:rPr>
        <w:t>Abstract</w:t>
      </w:r>
    </w:p>
    <w:p>
      <w:r>
        <w:rPr>
          <w:rFonts w:ascii="Times New Roman" w:hAnsi="Times New Roman"/>
          <w:i/>
          <w:sz w:val="20"/>
        </w:rPr>
        <w:t>The rapid integration of Large Language Model (LLM)-powered autonomous agents into cloud management workflows promises to automate complex infrastructure-as-code (IaC) provisioning, resource scaling, and operational monitoring. However, deploying off-the-shelf AI agents with static cloud credentials introduces severe security risks: agents granted broad Identity and Access Management (IAM) permissions can exhibit unintended scope creep, succumb to prompt injection attacks, or execute destructive actions without deterministic identity attribution. Traditional access control models—such as static Role-Based Access Control (RBAC) and declarative Policy-as-Code engines (e.g., OPA, AWS Cedar)—fail to dynamically infer permission boundaries from natural language task objectives prior to execution.</w:t>
        <w:br/>
        <w:br/>
        <w:t>We present ScopeGuard, an asynchronous, identity-scoped proxy framework designed for real-time permission authorization and execution control of AI agents in cloud infrastructure. ScopeGuard intercepts outbound agent tool calls, attaches cryptographically verifiable identity metadata (Agent ID, Session UUID, declared task, and reasoning chain), and dynamically compiles a task-aware permission scope using a rule-based action taxonomy. Intercepted API calls are evaluated against this computed scope under a fail-closed policy engine supporting three ablation operational modes (passthrough, tagging_only, and full).</w:t>
        <w:br/>
        <w:br/>
        <w:t>We empirically evaluate ScopeGuard across a benchmark suite of 200 infrastructure management tasks (100 legitimate operations and 100 adversarial/off-scope attacks across 10 security threat categories). In full enforcement mode, ScopeGuard achieves an overall accuracy of 89.0%, a scoping precision of 97.8%, an adversarial block rate of 88.0%, and a false positive rate of 2.0% on legitimate tasks, while introducing a minimal average latency overhead of 108.9 ms—well within the 200 ms real-time inference budget. We validate live execution against real Amazon Web Services (AWS) infrastructure endpoints including Amazon RDS, EC2, S3, and CloudWatch.</w:t>
      </w:r>
    </w:p>
    <w:p>
      <w:r>
        <w:rPr>
          <w:b/>
          <w:sz w:val="20"/>
        </w:rPr>
        <w:t>Keywords—</w:t>
      </w:r>
      <w:r>
        <w:rPr>
          <w:sz w:val="20"/>
        </w:rPr>
        <w:t>AI Agent Security, Infrastructure Access Control, Cloud Governance, Prompt Injection Defense, Least Privilege, Real-time Authorization Proxy, AWS Identity Scoping.</w:t>
        <w:br/>
        <w:br/>
      </w:r>
    </w:p>
    <w:p>
      <w:pPr>
        <w:pStyle w:val="Heading1"/>
      </w:pPr>
      <w:r>
        <w:t>I. INTRODUCTION</w:t>
      </w:r>
    </w:p>
    <w:p>
      <w:r>
        <w:t>Cloud infrastructure environments are the foundation of modern digital applications, relying on complex control planes to manage compute instances, relational databases, object storage, and network topologies. Managing these resources requires executing multi-step infrastructure operations via Cloud APIs (e.g., AWS SDK boto3), Infrastructure-as-Code (IaC) CLI tools (e.g., Terraform), and CI/CD pipelines (e.g., GitHub Actions).</w:t>
      </w:r>
    </w:p>
    <w:p>
      <w:pPr>
        <w:pStyle w:val="Heading1"/>
      </w:pPr>
      <w:r>
        <w:t>II. BACKGROUND AND MOTIVATION</w:t>
      </w:r>
    </w:p>
    <w:p>
      <w:r>
        <w:t>Traditional cloud Security models grant static permissions to execution roles. When autonomous agents operate dynamically, over-provisioning leads to prompt injection exposure, while under-provisioning leads to operational failure.</w:t>
      </w:r>
    </w:p>
    <w:p>
      <w:pPr>
        <w:pStyle w:val="Heading1"/>
      </w:pPr>
      <w:r>
        <w:t>III. SCOPEGUARD SYSTEM ARCHITECTURE</w:t>
      </w:r>
    </w:p>
    <w:p>
      <w:r>
        <w:t>ScopeGuard functions as an intercepting reverse proxy between AI agent tool-use interfaces and cloud infrastructure backend APIs. The proxy pipeline contains five primary modules: Identity Tagger, Task-to-Scope Classifier, Policy Engine, SQLite Audit Logger, and Backend Executor.</w:t>
      </w:r>
    </w:p>
    <w:p>
      <w:pPr>
        <w:pStyle w:val="Heading1"/>
      </w:pPr>
      <w:r>
        <w:t>IV. EMPIRICAL BENCHMARK EVALUATION</w:t>
      </w:r>
    </w:p>
    <w:p>
      <w:r>
        <w:t>Table 1 summarizes the empirical ablation results across 600 tool call executions: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003366"/>
          </w:tcPr>
          <w:p>
            <w:r>
              <w:rPr>
                <w:b/>
                <w:color w:val="FFFFFF"/>
                <w:sz w:val="19"/>
              </w:rPr>
              <w:t>Metric / Dimension</w:t>
            </w:r>
          </w:p>
        </w:tc>
        <w:tc>
          <w:tcPr>
            <w:tcW w:type="dxa" w:w="2340"/>
            <w:shd w:val="clear" w:color="auto" w:fill="003366"/>
          </w:tcPr>
          <w:p>
            <w:r>
              <w:rPr>
                <w:b/>
                <w:color w:val="FFFFFF"/>
                <w:sz w:val="19"/>
              </w:rPr>
              <w:t>Passthrough</w:t>
            </w:r>
          </w:p>
        </w:tc>
        <w:tc>
          <w:tcPr>
            <w:tcW w:type="dxa" w:w="2340"/>
            <w:shd w:val="clear" w:color="auto" w:fill="003366"/>
          </w:tcPr>
          <w:p>
            <w:r>
              <w:rPr>
                <w:b/>
                <w:color w:val="FFFFFF"/>
                <w:sz w:val="19"/>
              </w:rPr>
              <w:t>Tagging Only</w:t>
            </w:r>
          </w:p>
        </w:tc>
        <w:tc>
          <w:tcPr>
            <w:tcW w:type="dxa" w:w="2340"/>
            <w:shd w:val="clear" w:color="auto" w:fill="003366"/>
          </w:tcPr>
          <w:p>
            <w:r>
              <w:rPr>
                <w:b/>
                <w:color w:val="FFFFFF"/>
                <w:sz w:val="19"/>
              </w:rPr>
              <w:t>ScopeGuard (Full)</w:t>
            </w:r>
          </w:p>
        </w:tc>
      </w:tr>
      <w:tr>
        <w:tc>
          <w:tcPr>
            <w:tcW w:type="dxa" w:w="2340"/>
            <w:shd w:val="clear" w:color="auto" w:fill="F4F6F9"/>
          </w:tcPr>
          <w:p>
            <w:r>
              <w:rPr>
                <w:sz w:val="18"/>
              </w:rPr>
              <w:t>Total Calls Evaluated</w:t>
            </w:r>
          </w:p>
        </w:tc>
        <w:tc>
          <w:tcPr>
            <w:tcW w:type="dxa" w:w="2340"/>
            <w:shd w:val="clear" w:color="auto" w:fill="F4F6F9"/>
          </w:tcPr>
          <w:p>
            <w:r>
              <w:rPr>
                <w:sz w:val="18"/>
              </w:rPr>
              <w:t>200</w:t>
            </w:r>
          </w:p>
        </w:tc>
        <w:tc>
          <w:tcPr>
            <w:tcW w:type="dxa" w:w="2340"/>
            <w:shd w:val="clear" w:color="auto" w:fill="F4F6F9"/>
          </w:tcPr>
          <w:p>
            <w:r>
              <w:rPr>
                <w:sz w:val="18"/>
              </w:rPr>
              <w:t>200</w:t>
            </w:r>
          </w:p>
        </w:tc>
        <w:tc>
          <w:tcPr>
            <w:tcW w:type="dxa" w:w="2340"/>
            <w:shd w:val="clear" w:color="auto" w:fill="F4F6F9"/>
          </w:tcPr>
          <w:p>
            <w:r>
              <w:rPr>
                <w:sz w:val="18"/>
              </w:rPr>
              <w:t>200</w:t>
            </w:r>
          </w:p>
        </w:tc>
      </w:tr>
      <w:tr>
        <w:tc>
          <w:tcPr>
            <w:tcW w:type="dxa" w:w="2340"/>
            <w:shd w:val="clear" w:color="auto" w:fill="FFFFFF"/>
          </w:tcPr>
          <w:p>
            <w:r>
              <w:rPr>
                <w:sz w:val="18"/>
              </w:rPr>
              <w:t>Classification Accuracy</w:t>
            </w:r>
          </w:p>
        </w:tc>
        <w:tc>
          <w:tcPr>
            <w:tcW w:type="dxa" w:w="2340"/>
            <w:shd w:val="clear" w:color="auto" w:fill="FFFFFF"/>
          </w:tcPr>
          <w:p>
            <w:r>
              <w:rPr>
                <w:sz w:val="18"/>
              </w:rPr>
              <w:t>50.0%</w:t>
            </w:r>
          </w:p>
        </w:tc>
        <w:tc>
          <w:tcPr>
            <w:tcW w:type="dxa" w:w="2340"/>
            <w:shd w:val="clear" w:color="auto" w:fill="FFFFFF"/>
          </w:tcPr>
          <w:p>
            <w:r>
              <w:rPr>
                <w:sz w:val="18"/>
              </w:rPr>
              <w:t>50.0%</w:t>
            </w:r>
          </w:p>
        </w:tc>
        <w:tc>
          <w:tcPr>
            <w:tcW w:type="dxa" w:w="2340"/>
            <w:shd w:val="clear" w:color="auto" w:fill="FFFFFF"/>
          </w:tcPr>
          <w:p>
            <w:r>
              <w:rPr>
                <w:sz w:val="18"/>
              </w:rPr>
              <w:t>89.0%</w:t>
            </w:r>
          </w:p>
        </w:tc>
      </w:tr>
      <w:tr>
        <w:tc>
          <w:tcPr>
            <w:tcW w:type="dxa" w:w="2340"/>
            <w:shd w:val="clear" w:color="auto" w:fill="F4F6F9"/>
          </w:tcPr>
          <w:p>
            <w:r>
              <w:rPr>
                <w:sz w:val="18"/>
              </w:rPr>
              <w:t>Scoping Precision</w:t>
            </w:r>
          </w:p>
        </w:tc>
        <w:tc>
          <w:tcPr>
            <w:tcW w:type="dxa" w:w="2340"/>
            <w:shd w:val="clear" w:color="auto" w:fill="F4F6F9"/>
          </w:tcPr>
          <w:p>
            <w:r>
              <w:rPr>
                <w:sz w:val="18"/>
              </w:rPr>
              <w:t>0.00</w:t>
            </w:r>
          </w:p>
        </w:tc>
        <w:tc>
          <w:tcPr>
            <w:tcW w:type="dxa" w:w="2340"/>
            <w:shd w:val="clear" w:color="auto" w:fill="F4F6F9"/>
          </w:tcPr>
          <w:p>
            <w:r>
              <w:rPr>
                <w:sz w:val="18"/>
              </w:rPr>
              <w:t>0.00</w:t>
            </w:r>
          </w:p>
        </w:tc>
        <w:tc>
          <w:tcPr>
            <w:tcW w:type="dxa" w:w="2340"/>
            <w:shd w:val="clear" w:color="auto" w:fill="F4F6F9"/>
          </w:tcPr>
          <w:p>
            <w:r>
              <w:rPr>
                <w:sz w:val="18"/>
              </w:rPr>
              <w:t>0.978 (97.8%)</w:t>
            </w:r>
          </w:p>
        </w:tc>
      </w:tr>
      <w:tr>
        <w:tc>
          <w:tcPr>
            <w:tcW w:type="dxa" w:w="2340"/>
            <w:shd w:val="clear" w:color="auto" w:fill="FFFFFF"/>
          </w:tcPr>
          <w:p>
            <w:r>
              <w:rPr>
                <w:sz w:val="18"/>
              </w:rPr>
              <w:t>Adversarial Block Rate</w:t>
            </w:r>
          </w:p>
        </w:tc>
        <w:tc>
          <w:tcPr>
            <w:tcW w:type="dxa" w:w="2340"/>
            <w:shd w:val="clear" w:color="auto" w:fill="FFFFFF"/>
          </w:tcPr>
          <w:p>
            <w:r>
              <w:rPr>
                <w:sz w:val="18"/>
              </w:rPr>
              <w:t>0.0%</w:t>
            </w:r>
          </w:p>
        </w:tc>
        <w:tc>
          <w:tcPr>
            <w:tcW w:type="dxa" w:w="2340"/>
            <w:shd w:val="clear" w:color="auto" w:fill="FFFFFF"/>
          </w:tcPr>
          <w:p>
            <w:r>
              <w:rPr>
                <w:sz w:val="18"/>
              </w:rPr>
              <w:t>0.0%</w:t>
            </w:r>
          </w:p>
        </w:tc>
        <w:tc>
          <w:tcPr>
            <w:tcW w:type="dxa" w:w="2340"/>
            <w:shd w:val="clear" w:color="auto" w:fill="FFFFFF"/>
          </w:tcPr>
          <w:p>
            <w:r>
              <w:rPr>
                <w:sz w:val="18"/>
              </w:rPr>
              <w:t>88.0%</w:t>
            </w:r>
          </w:p>
        </w:tc>
      </w:tr>
      <w:tr>
        <w:tc>
          <w:tcPr>
            <w:tcW w:type="dxa" w:w="2340"/>
            <w:shd w:val="clear" w:color="auto" w:fill="F4F6F9"/>
          </w:tcPr>
          <w:p>
            <w:r>
              <w:rPr>
                <w:sz w:val="18"/>
              </w:rPr>
              <w:t>False Positive Rate</w:t>
            </w:r>
          </w:p>
        </w:tc>
        <w:tc>
          <w:tcPr>
            <w:tcW w:type="dxa" w:w="2340"/>
            <w:shd w:val="clear" w:color="auto" w:fill="F4F6F9"/>
          </w:tcPr>
          <w:p>
            <w:r>
              <w:rPr>
                <w:sz w:val="18"/>
              </w:rPr>
              <w:t>0.0%</w:t>
            </w:r>
          </w:p>
        </w:tc>
        <w:tc>
          <w:tcPr>
            <w:tcW w:type="dxa" w:w="2340"/>
            <w:shd w:val="clear" w:color="auto" w:fill="F4F6F9"/>
          </w:tcPr>
          <w:p>
            <w:r>
              <w:rPr>
                <w:sz w:val="18"/>
              </w:rPr>
              <w:t>0.0%</w:t>
            </w:r>
          </w:p>
        </w:tc>
        <w:tc>
          <w:tcPr>
            <w:tcW w:type="dxa" w:w="2340"/>
            <w:shd w:val="clear" w:color="auto" w:fill="F4F6F9"/>
          </w:tcPr>
          <w:p>
            <w:r>
              <w:rPr>
                <w:sz w:val="18"/>
              </w:rPr>
              <w:t>2.0%</w:t>
            </w:r>
          </w:p>
        </w:tc>
      </w:tr>
      <w:tr>
        <w:tc>
          <w:tcPr>
            <w:tcW w:type="dxa" w:w="2340"/>
            <w:shd w:val="clear" w:color="auto" w:fill="FFFFFF"/>
          </w:tcPr>
          <w:p>
            <w:r>
              <w:rPr>
                <w:sz w:val="18"/>
              </w:rPr>
              <w:t>F1 Score</w:t>
            </w:r>
          </w:p>
        </w:tc>
        <w:tc>
          <w:tcPr>
            <w:tcW w:type="dxa" w:w="2340"/>
            <w:shd w:val="clear" w:color="auto" w:fill="FFFFFF"/>
          </w:tcPr>
          <w:p>
            <w:r>
              <w:rPr>
                <w:sz w:val="18"/>
              </w:rPr>
              <w:t>0.00</w:t>
            </w:r>
          </w:p>
        </w:tc>
        <w:tc>
          <w:tcPr>
            <w:tcW w:type="dxa" w:w="2340"/>
            <w:shd w:val="clear" w:color="auto" w:fill="FFFFFF"/>
          </w:tcPr>
          <w:p>
            <w:r>
              <w:rPr>
                <w:sz w:val="18"/>
              </w:rPr>
              <w:t>0.00</w:t>
            </w:r>
          </w:p>
        </w:tc>
        <w:tc>
          <w:tcPr>
            <w:tcW w:type="dxa" w:w="2340"/>
            <w:shd w:val="clear" w:color="auto" w:fill="FFFFFF"/>
          </w:tcPr>
          <w:p>
            <w:r>
              <w:rPr>
                <w:sz w:val="18"/>
              </w:rPr>
              <w:t>0.926</w:t>
            </w:r>
          </w:p>
        </w:tc>
      </w:tr>
      <w:tr>
        <w:tc>
          <w:tcPr>
            <w:tcW w:type="dxa" w:w="2340"/>
            <w:shd w:val="clear" w:color="auto" w:fill="F4F6F9"/>
          </w:tcPr>
          <w:p>
            <w:r>
              <w:rPr>
                <w:sz w:val="18"/>
              </w:rPr>
              <w:t>Avg Latency Overhead</w:t>
            </w:r>
          </w:p>
        </w:tc>
        <w:tc>
          <w:tcPr>
            <w:tcW w:type="dxa" w:w="2340"/>
            <w:shd w:val="clear" w:color="auto" w:fill="F4F6F9"/>
          </w:tcPr>
          <w:p>
            <w:r>
              <w:rPr>
                <w:sz w:val="18"/>
              </w:rPr>
              <w:t>129.2 ms</w:t>
            </w:r>
          </w:p>
        </w:tc>
        <w:tc>
          <w:tcPr>
            <w:tcW w:type="dxa" w:w="2340"/>
            <w:shd w:val="clear" w:color="auto" w:fill="F4F6F9"/>
          </w:tcPr>
          <w:p>
            <w:r>
              <w:rPr>
                <w:sz w:val="18"/>
              </w:rPr>
              <w:t>111.2 ms</w:t>
            </w:r>
          </w:p>
        </w:tc>
        <w:tc>
          <w:tcPr>
            <w:tcW w:type="dxa" w:w="2340"/>
            <w:shd w:val="clear" w:color="auto" w:fill="F4F6F9"/>
          </w:tcPr>
          <w:p>
            <w:r>
              <w:rPr>
                <w:sz w:val="18"/>
              </w:rPr>
              <w:t>108.9 ms</w:t>
            </w:r>
          </w:p>
        </w:tc>
      </w:tr>
    </w:tbl>
    <w:p>
      <w:r>
        <w:br/>
      </w:r>
    </w:p>
    <w:p>
      <w:pPr>
        <w:pStyle w:val="Heading1"/>
      </w:pPr>
      <w:r>
        <w:t>V. CONCLUSION AND FUTURE WORK</w:t>
      </w:r>
    </w:p>
    <w:p>
      <w:r>
        <w:t>ScopeGuard provides an identity-scoped execution control proxy for AI agents operating in cloud infrastructure. In empirical evaluation, it achieved an 89.0% accuracy and 88.0% adversarial block rate with sub-110ms latency overhead.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