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before="0"/>
      </w:pPr>
      <w:r>
        <w:t xml:space="preserve"/>
      </w:r>
    </w:p>
    <w:p>
      <w:pPr>
        <w:spacing w:after="80" w:before="0"/>
        <w:jc w:val="center"/>
      </w:pPr>
      <w:r>
        <w:rPr>
          <w:rFonts w:ascii="Arial" w:cs="Arial" w:eastAsia="Arial" w:hAnsi="Arial"/>
          <w:b/>
          <w:bCs/>
          <w:color w:val="1F3864"/>
          <w:sz w:val="80"/>
          <w:szCs w:val="80"/>
        </w:rPr>
        <w:t xml:space="preserve">LexAI</w:t>
      </w:r>
    </w:p>
    <w:p>
      <w:pPr>
        <w:spacing w:after="240" w:before="0"/>
        <w:jc w:val="center"/>
      </w:pPr>
      <w:r>
        <w:rPr>
          <w:rFonts w:ascii="Arial" w:cs="Arial" w:eastAsia="Arial" w:hAnsi="Arial"/>
          <w:i/>
          <w:iCs/>
          <w:color w:val="2E5496"/>
          <w:sz w:val="30"/>
          <w:szCs w:val="30"/>
        </w:rPr>
        <w:t xml:space="preserve">An Impartial AI-Powered Legal Advisory System for Sri Lanka</w:t>
      </w:r>
    </w:p>
    <w:p>
      <w:pPr>
        <w:pBdr>
          <w:bottom w:val="single" w:color="4472C4" w:sz="6" w:space="6"/>
        </w:pBdr>
        <w:spacing w:after="0" w:before="0"/>
        <w:jc w:val="center"/>
      </w:pPr>
      <w:r>
        <w:rPr>
          <w:rFonts w:ascii="Arial" w:cs="Arial" w:eastAsia="Arial" w:hAnsi="Arial"/>
          <w:sz w:val="4"/>
          <w:szCs w:val="4"/>
        </w:rPr>
        <w:t xml:space="preserve"/>
      </w:r>
    </w:p>
    <w:p>
      <w:pPr>
        <w:spacing w:after="280" w:before="0"/>
      </w:pPr>
      <w:r>
        <w:t xml:space="preserve"/>
      </w:r>
    </w:p>
    <w:p>
      <w:pPr>
        <w:spacing w:after="80" w:before="0"/>
        <w:jc w:val="center"/>
      </w:pPr>
      <w:r>
        <w:rPr>
          <w:rFonts w:ascii="Arial" w:cs="Arial" w:eastAsia="Arial" w:hAnsi="Arial"/>
          <w:b/>
          <w:bCs/>
          <w:color w:val="1F3864"/>
          <w:sz w:val="28"/>
          <w:szCs w:val="28"/>
        </w:rPr>
        <w:t xml:space="preserve">Project Proposal</w:t>
      </w:r>
    </w:p>
    <w:p>
      <w:pPr>
        <w:spacing w:after="80" w:before="0"/>
        <w:jc w:val="center"/>
      </w:pPr>
      <w:r>
        <w:rPr>
          <w:rFonts w:ascii="Arial" w:cs="Arial" w:eastAsia="Arial" w:hAnsi="Arial"/>
          <w:color w:val="555555"/>
          <w:sz w:val="24"/>
          <w:szCs w:val="24"/>
        </w:rPr>
        <w:t xml:space="preserve">Advanced AI Module — Final Year Project</w:t>
      </w:r>
    </w:p>
    <w:p>
      <w:pPr>
        <w:spacing w:after="80" w:before="0"/>
        <w:jc w:val="center"/>
      </w:pPr>
      <w:r>
        <w:rPr>
          <w:rFonts w:ascii="Arial" w:cs="Arial" w:eastAsia="Arial" w:hAnsi="Arial"/>
          <w:color w:val="555555"/>
          <w:sz w:val="22"/>
          <w:szCs w:val="22"/>
        </w:rPr>
        <w:t xml:space="preserve">Faculty of Computing</w:t>
      </w:r>
    </w:p>
    <w:p>
      <w:pPr>
        <w:spacing w:after="80" w:before="0"/>
        <w:jc w:val="center"/>
      </w:pPr>
      <w:r>
        <w:rPr>
          <w:rFonts w:ascii="Arial" w:cs="Arial" w:eastAsia="Arial" w:hAnsi="Arial"/>
          <w:color w:val="555555"/>
          <w:sz w:val="22"/>
          <w:szCs w:val="22"/>
        </w:rPr>
        <w:t xml:space="preserve">2025 / 2026</w:t>
      </w:r>
    </w:p>
    <w:p>
      <w:pPr>
        <w:spacing w:after="500" w:before="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color w:val="1F3864"/>
                <w:sz w:val="20"/>
                <w:szCs w:val="20"/>
              </w:rPr>
              <w:t xml:space="preserve">Project Title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LexAI — Impartial AI Legal Advisory System</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color w:val="1F3864"/>
                <w:sz w:val="20"/>
                <w:szCs w:val="20"/>
              </w:rPr>
              <w:t xml:space="preserve">Domain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Natural Language Processing / Legal AI</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color w:val="1F3864"/>
                <w:sz w:val="20"/>
                <w:szCs w:val="20"/>
              </w:rPr>
              <w:t xml:space="preserve">Approach</w:t>
            </w:r>
          </w:p>
        </w:tc>
        <w:tc>
          <w:tcPr>
            <w:tcW w:type="dxa" w:w="4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Fine-tune pre-trained Legal-BERT transformer on targeted Sri Lanka law datasets</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color w:val="1F3864"/>
                <w:sz w:val="20"/>
                <w:szCs w:val="20"/>
              </w:rPr>
              <w:t xml:space="preserve">Target Users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General public, underserved communities, Sri Lanka</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color w:val="1F3864"/>
                <w:sz w:val="20"/>
                <w:szCs w:val="20"/>
              </w:rPr>
              <w:t xml:space="preserve">Core Models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Legal-BERT (transformer) + Autoencoder + GAN Discriminator + ChromaDB</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color w:val="1F3864"/>
                <w:sz w:val="20"/>
                <w:szCs w:val="20"/>
              </w:rPr>
              <w:t xml:space="preserve">Training Setup</w:t>
            </w:r>
          </w:p>
        </w:tc>
        <w:tc>
          <w:tcPr>
            <w:tcW w:type="dxa" w:w="4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Local GPU machine, English-only datasets, fine-tuning strategy (not training from scratch)</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color w:val="1F3864"/>
                <w:sz w:val="20"/>
                <w:szCs w:val="20"/>
              </w:rPr>
              <w:t xml:space="preserve">Date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April 2026</w:t>
            </w:r>
          </w:p>
        </w:tc>
      </w:tr>
    </w:tbl>
    <w:p>
      <w:r>
        <w:br w:type="page"/>
      </w:r>
    </w:p>
    <w:p>
      <w:pPr>
        <w:pStyle w:val="Heading1"/>
        <w:pBdr>
          <w:bottom w:val="single" w:color="4472C4" w:sz="8" w:space="4"/>
        </w:pBdr>
        <w:spacing w:after="160" w:before="400"/>
      </w:pPr>
      <w:r>
        <w:rPr>
          <w:rFonts w:ascii="Arial" w:cs="Arial" w:eastAsia="Arial" w:hAnsi="Arial"/>
          <w:b/>
          <w:bCs/>
          <w:color w:val="1F3864"/>
          <w:sz w:val="32"/>
          <w:szCs w:val="32"/>
        </w:rPr>
        <w:t xml:space="preserve">1. Executive Summary</w:t>
      </w:r>
    </w:p>
    <w:p>
      <w:pPr>
        <w:spacing w:after="140" w:before="60"/>
        <w:jc w:val="both"/>
      </w:pPr>
      <w:r>
        <w:rPr>
          <w:rFonts w:ascii="Arial" w:cs="Arial" w:eastAsia="Arial" w:hAnsi="Arial"/>
          <w:sz w:val="22"/>
          <w:szCs w:val="22"/>
        </w:rPr>
        <w:t xml:space="preserve">LexAI is an AI-powered legal advisory system that gives ordinary Sri Lankan citizens fair, impartial, and accessible legal guidance without the need to consult a professional lawyer. The system accepts a free-text description of a legal situation in English, reasons over a curated knowledge base of Sri Lankan laws and court precedents, and produces a structured, honest analysis of the user's legal position.</w:t>
      </w:r>
    </w:p>
    <w:p>
      <w:pPr>
        <w:spacing w:after="140" w:before="60"/>
        <w:jc w:val="both"/>
      </w:pPr>
      <w:r>
        <w:rPr>
          <w:rFonts w:ascii="Arial" w:cs="Arial" w:eastAsia="Arial" w:hAnsi="Arial"/>
          <w:sz w:val="22"/>
          <w:szCs w:val="22"/>
        </w:rPr>
        <w:t xml:space="preserve">The defining innovation of LexAI is not just accessibility — it is impartiality. Human lawyers are structurally incentivised to argue in favour of their paying client regardless of the truth. LexAI has no client, no fee, and no adversarial agenda. It applies the law as written to the facts as stated. If the user themselves has acted unlawfully, the system will say so clearly and explain the consequences. This is something no paid lawyer will ever do for their own client.</w:t>
      </w:r>
    </w:p>
    <w:p>
      <w:pPr>
        <w:spacing w:after="140" w:before="60"/>
        <w:jc w:val="both"/>
      </w:pPr>
      <w:r>
        <w:rPr>
          <w:rFonts w:ascii="Arial" w:cs="Arial" w:eastAsia="Arial" w:hAnsi="Arial"/>
          <w:sz w:val="22"/>
          <w:szCs w:val="22"/>
        </w:rPr>
        <w:t xml:space="preserve">The technical architecture is built entirely on technologies covered in the Advanced AI module. Rather than training a transformer from scratch — which is computationally prohibitive — LexAI fine-tunes Legal-BERT, a pre-trained transformer that already understands legal English. This is the standard professional approach and requires only modest GPU resources. The full stack comprises Legal-BERT for language understanding and generation, a denoising autoencoder for compressing legal situation descriptions into retrievable latent vectors, a GAN-based discriminator for hallucination detection, and ChromaDB as the vector database for statute and precedent retrieval. All training is performed locally on a standard machine with a consumer-grade GPU.</w:t>
      </w:r>
    </w:p>
    <w:p>
      <w:pPr>
        <w:spacing w:after="120" w:before="0"/>
      </w:pPr>
      <w:r>
        <w:t xml:space="preserve"/>
      </w:r>
    </w:p>
    <w:p>
      <w:pPr>
        <w:pStyle w:val="Heading1"/>
        <w:pBdr>
          <w:bottom w:val="single" w:color="4472C4" w:sz="8" w:space="4"/>
        </w:pBdr>
        <w:spacing w:after="160" w:before="400"/>
      </w:pPr>
      <w:r>
        <w:rPr>
          <w:rFonts w:ascii="Arial" w:cs="Arial" w:eastAsia="Arial" w:hAnsi="Arial"/>
          <w:b/>
          <w:bCs/>
          <w:color w:val="1F3864"/>
          <w:sz w:val="32"/>
          <w:szCs w:val="32"/>
        </w:rPr>
        <w:t xml:space="preserve">2. Problem Statement</w:t>
      </w:r>
    </w:p>
    <w:p>
      <w:pPr>
        <w:pStyle w:val="Heading2"/>
        <w:spacing w:after="100" w:before="280"/>
      </w:pPr>
      <w:r>
        <w:rPr>
          <w:rFonts w:ascii="Arial" w:cs="Arial" w:eastAsia="Arial" w:hAnsi="Arial"/>
          <w:b/>
          <w:bCs/>
          <w:color w:val="2E5496"/>
          <w:sz w:val="26"/>
          <w:szCs w:val="26"/>
        </w:rPr>
        <w:t xml:space="preserve">2.1 The Access to Justice Gap</w:t>
      </w:r>
    </w:p>
    <w:p>
      <w:pPr>
        <w:spacing w:after="140" w:before="60"/>
        <w:jc w:val="both"/>
      </w:pPr>
      <w:r>
        <w:rPr>
          <w:rFonts w:ascii="Arial" w:cs="Arial" w:eastAsia="Arial" w:hAnsi="Arial"/>
          <w:sz w:val="22"/>
          <w:szCs w:val="22"/>
        </w:rPr>
        <w:t xml:space="preserve">Access to legal representation in Sri Lanka is deeply inequitable. Fewer than 15% of people facing legal disputes in rural and semi-urban areas ever consult a qualified lawyer. Legal fees are unaffordable for the majority of the population, legal aid clinics are understaffed and concentrated in Colombo, and the legal system is opaque and intimidating for first-time users. The practical result is that people lose cases they should win, accept violations of their rights, and fail to claim protections the law explicitly grants them — simply because they do not know the law and cannot afford someone who does.</w:t>
      </w:r>
    </w:p>
    <w:p>
      <w:pPr>
        <w:pStyle w:val="Heading2"/>
        <w:spacing w:after="100" w:before="280"/>
      </w:pPr>
      <w:r>
        <w:rPr>
          <w:rFonts w:ascii="Arial" w:cs="Arial" w:eastAsia="Arial" w:hAnsi="Arial"/>
          <w:b/>
          <w:bCs/>
          <w:color w:val="2E5496"/>
          <w:sz w:val="26"/>
          <w:szCs w:val="26"/>
        </w:rPr>
        <w:t xml:space="preserve">2.2 The Lawyer Bias Problem</w:t>
      </w:r>
    </w:p>
    <w:p>
      <w:pPr>
        <w:spacing w:after="140" w:before="60"/>
        <w:jc w:val="both"/>
      </w:pPr>
      <w:r>
        <w:rPr>
          <w:rFonts w:ascii="Arial" w:cs="Arial" w:eastAsia="Arial" w:hAnsi="Arial"/>
          <w:sz w:val="22"/>
          <w:szCs w:val="22"/>
        </w:rPr>
        <w:t xml:space="preserve">Even when legal representation is accessible, it carries a fundamental structural flaw: a lawyer's loyalty is entirely to their client, regardless of the truth. The adversarial legal system is designed on the premise that two equally matched advocates arguing opposite sides will produce justice. In practice this means a wealthier party can buy more powerful advocacy, and both sides receive advice shaped by what helps them win rather than what is fair.</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7" w:val="clear"/>
            <w:tcMar>
              <w:top w:type="dxa" w:w="120"/>
              <w:left w:type="dxa" w:w="200"/>
              <w:bottom w:type="dxa" w:w="120"/>
              <w:right w:type="dxa" w:w="200"/>
            </w:tcMar>
          </w:tcPr>
          <w:p>
            <w:pPr>
              <w:spacing w:after="80" w:before="0"/>
            </w:pPr>
            <w:r>
              <w:rPr>
                <w:rFonts w:ascii="Arial" w:cs="Arial" w:eastAsia="Arial" w:hAnsi="Arial"/>
                <w:b/>
                <w:bCs/>
                <w:color w:val="1F3864"/>
                <w:sz w:val="22"/>
                <w:szCs w:val="22"/>
              </w:rPr>
              <w:t xml:space="preserve">Core Insight — The Fairness Argument</w:t>
            </w:r>
          </w:p>
          <w:p>
            <w:pPr>
              <w:spacing w:after="0" w:before="0"/>
            </w:pPr>
            <w:r>
              <w:rPr>
                <w:rFonts w:ascii="Arial" w:cs="Arial" w:eastAsia="Arial" w:hAnsi="Arial"/>
                <w:color w:val="1F3864"/>
                <w:sz w:val="21"/>
                <w:szCs w:val="21"/>
              </w:rPr>
              <w:t xml:space="preserve">A person who has been genuinely wronged receives advice shaped by what a lawyer can win for them. A person who has done wrong receives advice on how to minimise consequences rather than how to make it right. Neither party receives an honest assessment of their actual legal position. LexAI is designed to fill exactly this gap: to tell both parties what the law actually says, without fear or financial incentive.</w:t>
            </w:r>
          </w:p>
        </w:tc>
      </w:tr>
    </w:tbl>
    <w:p>
      <w:pPr>
        <w:spacing w:after="120" w:before="0"/>
      </w:pPr>
      <w:r>
        <w:t xml:space="preserve"/>
      </w:r>
    </w:p>
    <w:p>
      <w:pPr>
        <w:pStyle w:val="Heading2"/>
        <w:spacing w:after="100" w:before="280"/>
      </w:pPr>
      <w:r>
        <w:rPr>
          <w:rFonts w:ascii="Arial" w:cs="Arial" w:eastAsia="Arial" w:hAnsi="Arial"/>
          <w:b/>
          <w:bCs/>
          <w:color w:val="2E5496"/>
          <w:sz w:val="26"/>
          <w:szCs w:val="26"/>
        </w:rPr>
        <w:t xml:space="preserve">2.3 Why This Is a Language Problem That AI Can Solve</w:t>
      </w:r>
    </w:p>
    <w:p>
      <w:pPr>
        <w:spacing w:after="140" w:before="60"/>
        <w:jc w:val="both"/>
      </w:pPr>
      <w:r>
        <w:rPr>
          <w:rFonts w:ascii="Arial" w:cs="Arial" w:eastAsia="Arial" w:hAnsi="Arial"/>
          <w:sz w:val="22"/>
          <w:szCs w:val="22"/>
        </w:rPr>
        <w:t xml:space="preserve">The gap between a citizen and their legal rights is fundamentally a language processing problem. The law exists in written form but it is written in technical legal language that the average person cannot parse. Bridging this gap requires understanding natural language input from the user, mapping it to the correct legal domain and specific statutes, reasoning over those statutes in the context of the user's specific facts, and generating output in plain, actionable language. This is precisely the class of problem that transformer-based NLP and vector retrieval systems are designed to solve.</w:t>
      </w:r>
    </w:p>
    <w:p>
      <w:pPr>
        <w:spacing w:after="120" w:before="0"/>
      </w:pPr>
      <w:r>
        <w:t xml:space="preserve"/>
      </w:r>
    </w:p>
    <w:p>
      <w:pPr>
        <w:pStyle w:val="Heading1"/>
        <w:pBdr>
          <w:bottom w:val="single" w:color="4472C4" w:sz="8" w:space="4"/>
        </w:pBdr>
        <w:spacing w:after="160" w:before="400"/>
      </w:pPr>
      <w:r>
        <w:rPr>
          <w:rFonts w:ascii="Arial" w:cs="Arial" w:eastAsia="Arial" w:hAnsi="Arial"/>
          <w:b/>
          <w:bCs/>
          <w:color w:val="1F3864"/>
          <w:sz w:val="32"/>
          <w:szCs w:val="32"/>
        </w:rPr>
        <w:t xml:space="preserve">3. The Impartiality Engine — Core Innovation</w:t>
      </w:r>
    </w:p>
    <w:p>
      <w:pPr>
        <w:spacing w:after="140" w:before="60"/>
        <w:jc w:val="both"/>
      </w:pPr>
      <w:r>
        <w:rPr>
          <w:rFonts w:ascii="Arial" w:cs="Arial" w:eastAsia="Arial" w:hAnsi="Arial"/>
          <w:sz w:val="22"/>
          <w:szCs w:val="22"/>
        </w:rPr>
        <w:t xml:space="preserve">The most distinctive feature of LexAI is that it is engineered to have no client. This section explains what this means technically and why it matters practically.</w:t>
      </w:r>
    </w:p>
    <w:p>
      <w:pPr>
        <w:pStyle w:val="Heading2"/>
        <w:spacing w:after="100" w:before="280"/>
      </w:pPr>
      <w:r>
        <w:rPr>
          <w:rFonts w:ascii="Arial" w:cs="Arial" w:eastAsia="Arial" w:hAnsi="Arial"/>
          <w:b/>
          <w:bCs/>
          <w:color w:val="2E5496"/>
          <w:sz w:val="26"/>
          <w:szCs w:val="26"/>
        </w:rPr>
        <w:t xml:space="preserve">3.1 How LexAI Achieves Impartiality</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c>
          <w:tcPr>
            <w:tcW w:type="dxa" w:w="2400"/>
            <w:tcBorders>
              <w:top w:val="single" w:color="4472C4" w:sz="1"/>
              <w:left w:val="single" w:color="4472C4" w:sz="1"/>
              <w:bottom w:val="single" w:color="4472C4" w:sz="1"/>
              <w:right w:val="single" w:color="4472C4" w:sz="1"/>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Design Decision</w:t>
            </w:r>
          </w:p>
        </w:tc>
        <w:tc>
          <w:tcPr>
            <w:tcW w:type="dxa" w:w="3200"/>
            <w:tcBorders>
              <w:top w:val="single" w:color="4472C4" w:sz="1"/>
              <w:left w:val="single" w:color="4472C4" w:sz="1"/>
              <w:bottom w:val="single" w:color="4472C4" w:sz="1"/>
              <w:right w:val="single" w:color="4472C4" w:sz="1"/>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What It Means</w:t>
            </w:r>
          </w:p>
        </w:tc>
        <w:tc>
          <w:tcPr>
            <w:tcW w:type="dxa" w:w="3426"/>
            <w:tcBorders>
              <w:top w:val="single" w:color="4472C4" w:sz="1"/>
              <w:left w:val="single" w:color="4472C4" w:sz="1"/>
              <w:bottom w:val="single" w:color="4472C4" w:sz="1"/>
              <w:right w:val="single" w:color="4472C4" w:sz="1"/>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How It Is Implemented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00000"/>
                <w:sz w:val="20"/>
                <w:szCs w:val="20"/>
              </w:rPr>
              <w:t xml:space="preserve">No client identity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The system does not know or care who is asking. It treats every query as a neutral request for legal analysis, not as advocacy for a position.</w:t>
            </w:r>
          </w:p>
        </w:tc>
        <w:tc>
          <w:tcPr>
            <w:tcW w:type="dxa" w:w="34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Legal-BERT is fine-tuned on statute-fact pairs with labels indicating legal outcome, not party advantage. No user profile influences the reasoning.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00000"/>
                <w:sz w:val="20"/>
                <w:szCs w:val="20"/>
              </w:rPr>
              <w:t xml:space="preserve">Statute-first reasoning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Every conclusion is grounded in a specific law section or precedent retrieved from ChromaDB. The model cannot generate an opinion that is not anchored to retrieved legal text.</w:t>
            </w:r>
          </w:p>
        </w:tc>
        <w:tc>
          <w:tcPr>
            <w:tcW w:type="dxa" w:w="34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The RAG pipeline requires the model to cite the specific ChromaDB-retrieved statute before generating any output. Uncited claims are filtered by the GAN discriminator.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00000"/>
                <w:sz w:val="20"/>
                <w:szCs w:val="20"/>
              </w:rPr>
              <w:t xml:space="preserve">Adverse finding disclosure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If the analysis shows the user is legally in the wrong, the system explicitly says so, cites the violated law, and explains potential consequences.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Training data includes adversarial examples where the user is the liable party. The model is rewarded for accurate adverse findings during fine-tuning, not penalised for them.</w:t>
            </w:r>
          </w:p>
        </w:tc>
      </w:tr>
    </w:tbl>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pPr>
              <w:spacing w:after="80" w:before="0"/>
            </w:pPr>
            <w:r>
              <w:rPr>
                <w:rFonts w:ascii="Arial" w:cs="Arial" w:eastAsia="Arial" w:hAnsi="Arial"/>
                <w:b/>
                <w:bCs/>
                <w:color w:val="7F5F00"/>
                <w:sz w:val="22"/>
                <w:szCs w:val="22"/>
              </w:rPr>
              <w:t xml:space="preserve">Example of Impartial Output</w:t>
            </w:r>
          </w:p>
          <w:p>
            <w:pPr>
              <w:spacing w:after="0" w:before="0"/>
            </w:pPr>
            <w:r>
              <w:rPr>
                <w:rFonts w:ascii="Arial" w:cs="Arial" w:eastAsia="Arial" w:hAnsi="Arial"/>
                <w:color w:val="7F5F00"/>
                <w:sz w:val="21"/>
                <w:szCs w:val="21"/>
              </w:rPr>
              <w:t xml:space="preserve">User: "My tenant has not paid rent for two months. I changed the locks and removed their belongings to reclaim my property. What are my rights?"
LexAI: "Under the Rent Act No. 7 of 1972 and general principles of property law, your actions constitute illegal eviction. Changing locks and removing a tenant’s belongings without a court order is unlawful regardless of the tenant’s failure to pay rent. You are exposed to a civil claim for damages. The correct procedure is to apply to the Rent Tribunal for an eviction order. This response is based on retrieved statute sections and does not constitute professional legal advice."</w:t>
            </w:r>
          </w:p>
        </w:tc>
      </w:tr>
    </w:tbl>
    <w:p>
      <w:pPr>
        <w:spacing w:after="120" w:before="0"/>
      </w:pPr>
      <w:r>
        <w:t xml:space="preserve"/>
      </w:r>
    </w:p>
    <w:p>
      <w:r>
        <w:br w:type="page"/>
      </w:r>
    </w:p>
    <w:p>
      <w:pPr>
        <w:pStyle w:val="Heading1"/>
        <w:pBdr>
          <w:bottom w:val="single" w:color="4472C4" w:sz="8" w:space="4"/>
        </w:pBdr>
        <w:spacing w:after="160" w:before="400"/>
      </w:pPr>
      <w:r>
        <w:rPr>
          <w:rFonts w:ascii="Arial" w:cs="Arial" w:eastAsia="Arial" w:hAnsi="Arial"/>
          <w:b/>
          <w:bCs/>
          <w:color w:val="1F3864"/>
          <w:sz w:val="32"/>
          <w:szCs w:val="32"/>
        </w:rPr>
        <w:t xml:space="preserve">4. Technical Architecture</w:t>
      </w:r>
    </w:p>
    <w:p>
      <w:pPr>
        <w:spacing w:after="140" w:before="60"/>
        <w:jc w:val="both"/>
      </w:pPr>
      <w:r>
        <w:rPr>
          <w:rFonts w:ascii="Arial" w:cs="Arial" w:eastAsia="Arial" w:hAnsi="Arial"/>
          <w:sz w:val="22"/>
          <w:szCs w:val="22"/>
        </w:rPr>
        <w:t xml:space="preserve">LexAI is structured as a four-layer pipeline. Each layer maps directly to a technology covered in the module curriculum. The key design decision throughout is fine-tuning rather than training from scratch, which keeps computational requirements within the reach of a local GPU machine.</w:t>
      </w:r>
    </w:p>
    <w:p>
      <w:pPr>
        <w:pStyle w:val="Heading2"/>
        <w:spacing w:after="100" w:before="280"/>
      </w:pPr>
      <w:r>
        <w:rPr>
          <w:rFonts w:ascii="Arial" w:cs="Arial" w:eastAsia="Arial" w:hAnsi="Arial"/>
          <w:b/>
          <w:bCs/>
          <w:color w:val="2E5496"/>
          <w:sz w:val="26"/>
          <w:szCs w:val="26"/>
        </w:rPr>
        <w:t xml:space="preserve">4.1 The Fine-Tuning Strategy — Why Not Train From Scratch</w:t>
      </w:r>
    </w:p>
    <w:p>
      <w:pPr>
        <w:spacing w:after="140" w:before="60"/>
        <w:jc w:val="both"/>
      </w:pPr>
      <w:r>
        <w:rPr>
          <w:rFonts w:ascii="Arial" w:cs="Arial" w:eastAsia="Arial" w:hAnsi="Arial"/>
          <w:sz w:val="22"/>
          <w:szCs w:val="22"/>
        </w:rPr>
        <w:t xml:space="preserve">Training a transformer from scratch requires hundreds of gigabytes of data, weeks of compute on high-end GPUs, and is simply not feasible for a university project on a local machine. Fine-tuning solves this entirely. A pre-trained model has already learned language, grammar, and domain knowledge. Fine-tuning simply adjusts its weights to specialise it for a new task using a small, focused dataset. This is the standard approach used by every professional NLP team in the world.</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after="80" w:before="0"/>
            </w:pPr>
            <w:r>
              <w:rPr>
                <w:rFonts w:ascii="Arial" w:cs="Arial" w:eastAsia="Arial" w:hAnsi="Arial"/>
                <w:b/>
                <w:bCs/>
                <w:color w:val="333333"/>
                <w:sz w:val="22"/>
                <w:szCs w:val="22"/>
              </w:rPr>
              <w:t xml:space="preserve">The Relationship Between BERT, Legal-BERT, and LexAI</w:t>
            </w:r>
          </w:p>
          <w:p>
            <w:pPr>
              <w:spacing w:after="0" w:before="0"/>
            </w:pPr>
            <w:r>
              <w:rPr>
                <w:rFonts w:ascii="Arial" w:cs="Arial" w:eastAsia="Arial" w:hAnsi="Arial"/>
                <w:color w:val="333333"/>
                <w:sz w:val="21"/>
                <w:szCs w:val="21"/>
              </w:rPr>
              <w:t xml:space="preserve">Transformer architecture (Google, 2017)
        ↓
BERT (Google, pre-trained on Wikipedia + Books Corpus, 110M parameters)
        ↓
Legal-BERT (nlpaueb, fine-tuned on 12 GB of legal text: legislation, court cases, contracts)
        ↓
LexAI model (your fine-tune, trained on Sri Lanka law Q&amp;A + CUAD contracts, local GPU)</w:t>
            </w:r>
          </w:p>
        </w:tc>
      </w:tr>
    </w:tbl>
    <w:p>
      <w:pPr>
        <w:spacing w:after="120" w:before="0"/>
      </w:pPr>
      <w:r>
        <w:t xml:space="preserve"/>
      </w:r>
    </w:p>
    <w:p>
      <w:pPr>
        <w:spacing w:after="140" w:before="60"/>
        <w:jc w:val="both"/>
      </w:pPr>
      <w:r>
        <w:rPr>
          <w:rFonts w:ascii="Arial" w:cs="Arial" w:eastAsia="Arial" w:hAnsi="Arial"/>
          <w:sz w:val="22"/>
          <w:szCs w:val="22"/>
        </w:rPr>
        <w:t xml:space="preserve">This means Legal-BERT is your transformer. It uses the same multi-head self-attention, positional encoding, feed-forward layers, and encoder stack that you studied in the module. You are not substituting the transformer — you are using it at the most efficient point in its lifecycle: after pre-training, before domain specialisation.</w:t>
      </w:r>
    </w:p>
    <w:p>
      <w:pPr>
        <w:pStyle w:val="Heading2"/>
        <w:spacing w:after="100" w:before="280"/>
      </w:pPr>
      <w:r>
        <w:rPr>
          <w:rFonts w:ascii="Arial" w:cs="Arial" w:eastAsia="Arial" w:hAnsi="Arial"/>
          <w:b/>
          <w:bCs/>
          <w:color w:val="2E5496"/>
          <w:sz w:val="26"/>
          <w:szCs w:val="26"/>
        </w:rPr>
        <w:t xml:space="preserve">4.2 Layer 1 — Legal-BERT Transformer (Core Reasoning Engine)</w:t>
      </w:r>
    </w:p>
    <w:p>
      <w:pPr>
        <w:pStyle w:val="Heading3"/>
        <w:spacing w:after="80" w:before="200"/>
      </w:pPr>
      <w:r>
        <w:rPr>
          <w:rFonts w:ascii="Arial" w:cs="Arial" w:eastAsia="Arial" w:hAnsi="Arial"/>
          <w:b/>
          <w:bCs/>
          <w:color w:val="375623"/>
          <w:sz w:val="23"/>
          <w:szCs w:val="23"/>
        </w:rPr>
        <w:t xml:space="preserve">4.2.1 Model Selection</w:t>
      </w:r>
    </w:p>
    <w:p>
      <w:pPr>
        <w:spacing w:after="140" w:before="60"/>
        <w:jc w:val="both"/>
      </w:pPr>
      <w:r>
        <w:rPr>
          <w:rFonts w:ascii="Arial" w:cs="Arial" w:eastAsia="Arial" w:hAnsi="Arial"/>
          <w:sz w:val="22"/>
          <w:szCs w:val="22"/>
        </w:rPr>
        <w:t xml:space="preserve">The base model is nlpaueb/legal-bert-base-uncased, the lightweight variant. It is 33% the size of standard BERT-BASE (approximately 36M parameters vs 110M), runs approximately four times faster, and achieves comparable performance on legal tasks. This is the critical choice for local GPU training — it fits comfortably in 4-6 GB of GPU VRAM, which is within the range of a standard laptop or desktop GPU.</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2B2B2B" w:val="clear"/>
            <w:tcMar>
              <w:top w:type="dxa" w:w="120"/>
              <w:left w:type="dxa" w:w="200"/>
              <w:bottom w:type="dxa" w:w="120"/>
              <w:right w:type="dxa" w:w="200"/>
            </w:tcMar>
          </w:tcPr>
          <w:p>
            <w:pPr>
              <w:spacing w:after="40" w:before="0"/>
            </w:pPr>
            <w:r>
              <w:rPr>
                <w:rFonts w:ascii="Courier New" w:cs="Courier New" w:eastAsia="Courier New" w:hAnsi="Courier New"/>
                <w:color w:val="D4D4D4"/>
                <w:sz w:val="18"/>
                <w:szCs w:val="18"/>
              </w:rPr>
              <w:t xml:space="preserve">from transformers import AutoTokenizer, AutoModelForQuestionAnswering</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 Load the lightweight Legal-BERT model</w:t>
            </w:r>
          </w:p>
          <w:p>
            <w:pPr>
              <w:spacing w:after="40" w:before="0"/>
            </w:pPr>
            <w:r>
              <w:rPr>
                <w:rFonts w:ascii="Courier New" w:cs="Courier New" w:eastAsia="Courier New" w:hAnsi="Courier New"/>
                <w:color w:val="D4D4D4"/>
                <w:sz w:val="18"/>
                <w:szCs w:val="18"/>
              </w:rPr>
              <w:t xml:space="preserve">tokenizer = AutoTokenizer.from_pretrained("nlpaueb/legal-bert-base-uncased")</w:t>
            </w:r>
          </w:p>
          <w:p>
            <w:pPr>
              <w:spacing w:after="40" w:before="0"/>
            </w:pPr>
            <w:r>
              <w:rPr>
                <w:rFonts w:ascii="Courier New" w:cs="Courier New" w:eastAsia="Courier New" w:hAnsi="Courier New"/>
                <w:color w:val="D4D4D4"/>
                <w:sz w:val="18"/>
                <w:szCs w:val="18"/>
              </w:rPr>
              <w:t xml:space="preserve">model = AutoModelForQuestionAnswering.from_pretrained("nlpaueb/legal-bert-base-uncased")</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 The model uses WordPiece tokenisation trained on legal vocabulary</w:t>
            </w:r>
          </w:p>
          <w:p>
            <w:pPr>
              <w:spacing w:after="40" w:before="0"/>
            </w:pPr>
            <w:r>
              <w:rPr>
                <w:rFonts w:ascii="Courier New" w:cs="Courier New" w:eastAsia="Courier New" w:hAnsi="Courier New"/>
                <w:color w:val="D4D4D4"/>
                <w:sz w:val="18"/>
                <w:szCs w:val="18"/>
              </w:rPr>
              <w:t xml:space="preserve"># Legal terms like 'plaintiff', 'tort', 'prima facie' are tokenised correctly</w:t>
            </w:r>
          </w:p>
        </w:tc>
      </w:tr>
    </w:tbl>
    <w:p>
      <w:pPr>
        <w:spacing w:after="120" w:before="0"/>
      </w:pPr>
      <w:r>
        <w:t xml:space="preserve"/>
      </w:r>
    </w:p>
    <w:p>
      <w:pPr>
        <w:pStyle w:val="Heading3"/>
        <w:spacing w:after="80" w:before="200"/>
      </w:pPr>
      <w:r>
        <w:rPr>
          <w:rFonts w:ascii="Arial" w:cs="Arial" w:eastAsia="Arial" w:hAnsi="Arial"/>
          <w:b/>
          <w:bCs/>
          <w:color w:val="375623"/>
          <w:sz w:val="23"/>
          <w:szCs w:val="23"/>
        </w:rPr>
        <w:t xml:space="preserve">4.2.2 Fine-Tuning Process</w:t>
      </w:r>
    </w:p>
    <w:p>
      <w:pPr>
        <w:spacing w:after="140" w:before="60"/>
        <w:jc w:val="both"/>
      </w:pPr>
      <w:r>
        <w:rPr>
          <w:rFonts w:ascii="Arial" w:cs="Arial" w:eastAsia="Arial" w:hAnsi="Arial"/>
          <w:sz w:val="22"/>
          <w:szCs w:val="22"/>
        </w:rPr>
        <w:t xml:space="preserve">Fine-tuning is performed in two sequential stages. In Stage 1, the model is trained on the CUAD dataset (contract clause question-answering). This teaches it the pattern of extractive legal reasoning: given a legal document and a question, identify the exact span of text that answers it. In Stage 2, the model is further fine-tuned on a custom synthetic Q&amp;A dataset generated section-by-section from six core Sri Lankan statutes sourced directly from the student’s own PDF collection: the Marriage Registration Ordinance (64 sections, family law), the Matrimonial Rights and Inheritance Ordinance (36 sections, family law), the Prevention of Frauds Ordinance — 2024 consolidated edition (19 sections, contract law), the Sale of Goods Ordinance (59 sections, business law), the Motor Traffic Act — 2024 consolidated edition (239+ sections across 14 Parts, traffic law), and the Penal Code (490 sections across 22 Chapters, criminal law). These six statutes were selected because they govern the most common legal situations encountered by ordinary Sri Lankan citizens — family disputes, property transactions, consumer rights, road traffic, and criminal liability — making them far more practically relevant than constitutional law Q&amp;A as a fine-tuning signal. The total corpus is approximately 920,000 characters across ~907 statutory sections, parsed from 7 PDF files (two versions of the Prevention of Frauds Ordinance are available; the 2024 consolidated edition is used). Each section is parsed and chunked, and synthetic Q&amp;A triplets (context, question, answer span) are generated covering both user-wronged and user-liable scenarios for impartiality training.</w:t>
      </w:r>
    </w:p>
    <w:p>
      <w:pPr>
        <w:spacing w:after="140" w:before="60"/>
        <w:jc w:val="both"/>
      </w:pPr>
      <w:r>
        <w:rPr>
          <w:rFonts w:ascii="Arial" w:cs="Arial" w:eastAsia="Arial" w:hAnsi="Arial"/>
          <w:sz w:val="22"/>
          <w:szCs w:val="22"/>
        </w:rPr>
        <w:t xml:space="preserve">Both stages use standard supervised fine-tuning with cross-entropy loss, AdamW optimiser, a learning rate of 2e-5, batch size of 8 (manageable on a consumer GPU), and a maximum sequence length of 512 tokens. Training time on a modern laptop GPU is estimated at 2-3 hours per stage.</w:t>
      </w:r>
    </w:p>
    <w:p>
      <w:pPr>
        <w:pStyle w:val="Heading3"/>
        <w:spacing w:after="80" w:before="200"/>
      </w:pPr>
      <w:r>
        <w:rPr>
          <w:rFonts w:ascii="Arial" w:cs="Arial" w:eastAsia="Arial" w:hAnsi="Arial"/>
          <w:b/>
          <w:bCs/>
          <w:color w:val="375623"/>
          <w:sz w:val="23"/>
          <w:szCs w:val="23"/>
        </w:rPr>
        <w:t xml:space="preserve">4.2.3 Tokenisation</w:t>
      </w:r>
    </w:p>
    <w:p>
      <w:pPr>
        <w:spacing w:after="140" w:before="60"/>
        <w:jc w:val="both"/>
      </w:pPr>
      <w:r>
        <w:rPr>
          <w:rFonts w:ascii="Arial" w:cs="Arial" w:eastAsia="Arial" w:hAnsi="Arial"/>
          <w:sz w:val="22"/>
          <w:szCs w:val="22"/>
        </w:rPr>
        <w:t xml:space="preserve">Legal-BERT uses a WordPiece tokeniser pre-trained on legal vocabulary. This correctly handles legal terminology that a general-purpose tokeniser splits badly. For example, a general tokeniser splits 'prima facie' into subword fragments, while the legal tokeniser treats it as a known compound. This produces better embeddings for legal terms and is a direct demonstration of the domain-specific tokenisation concept from the module.</w:t>
      </w:r>
    </w:p>
    <w:p>
      <w:pPr>
        <w:pStyle w:val="Heading2"/>
        <w:spacing w:after="100" w:before="280"/>
      </w:pPr>
      <w:r>
        <w:rPr>
          <w:rFonts w:ascii="Arial" w:cs="Arial" w:eastAsia="Arial" w:hAnsi="Arial"/>
          <w:b/>
          <w:bCs/>
          <w:color w:val="2E5496"/>
          <w:sz w:val="26"/>
          <w:szCs w:val="26"/>
        </w:rPr>
        <w:t xml:space="preserve">4.3 Layer 2 — Word Embeddings and Autoencoder</w:t>
      </w:r>
    </w:p>
    <w:p>
      <w:pPr>
        <w:pStyle w:val="Heading3"/>
        <w:spacing w:after="80" w:before="200"/>
      </w:pPr>
      <w:r>
        <w:rPr>
          <w:rFonts w:ascii="Arial" w:cs="Arial" w:eastAsia="Arial" w:hAnsi="Arial"/>
          <w:b/>
          <w:bCs/>
          <w:color w:val="375623"/>
          <w:sz w:val="23"/>
          <w:szCs w:val="23"/>
        </w:rPr>
        <w:t xml:space="preserve">4.3.1 Contextual Legal Embeddings</w:t>
      </w:r>
    </w:p>
    <w:p>
      <w:pPr>
        <w:spacing w:after="140" w:before="60"/>
        <w:jc w:val="both"/>
      </w:pPr>
      <w:r>
        <w:rPr>
          <w:rFonts w:ascii="Arial" w:cs="Arial" w:eastAsia="Arial" w:hAnsi="Arial"/>
          <w:sz w:val="22"/>
          <w:szCs w:val="22"/>
        </w:rPr>
        <w:t xml:space="preserve">The output of Legal-BERT's encoder layers are contextual token embeddings — dense vector representations where every token's meaning is influenced by the full surrounding context. These are fundamentally different from the static Word2Vec embeddings covered in the module: in Legal-BERT, the word 'charge' in a criminal context produces a completely different vector from 'charge' in a contract context. The [CLS] token embedding (the first token) serves as a sentence-level representation of the entire input, which is what gets stored in ChromaDB.</w:t>
      </w:r>
    </w:p>
    <w:p>
      <w:pPr>
        <w:pStyle w:val="Heading3"/>
        <w:spacing w:after="80" w:before="200"/>
      </w:pPr>
      <w:r>
        <w:rPr>
          <w:rFonts w:ascii="Arial" w:cs="Arial" w:eastAsia="Arial" w:hAnsi="Arial"/>
          <w:b/>
          <w:bCs/>
          <w:color w:val="375623"/>
          <w:sz w:val="23"/>
          <w:szCs w:val="23"/>
        </w:rPr>
        <w:t xml:space="preserve">4.3.2 Denoising Autoencoder for Situation Compression</w:t>
      </w:r>
    </w:p>
    <w:p>
      <w:pPr>
        <w:spacing w:after="140" w:before="60"/>
        <w:jc w:val="both"/>
      </w:pPr>
      <w:r>
        <w:rPr>
          <w:rFonts w:ascii="Arial" w:cs="Arial" w:eastAsia="Arial" w:hAnsi="Arial"/>
          <w:sz w:val="22"/>
          <w:szCs w:val="22"/>
        </w:rPr>
        <w:t xml:space="preserve">A denoising autoencoder is built on top of Legal-BERT's output. The encoder takes the 768-dimensional [CLS] embedding from Legal-BERT and compresses it to a 256-dimensional latent vector z through two fully-connected layers with ReLU activations. The decoder reconstructs the original 768-dimensional embedding from z. The autoencoder is trained with Gaussian noise added to the input embedding, forcing the bottleneck to learn a robust, information-dense representation.</w:t>
      </w:r>
    </w:p>
    <w:p>
      <w:pPr>
        <w:spacing w:after="140" w:before="60"/>
        <w:jc w:val="both"/>
      </w:pPr>
      <w:r>
        <w:rPr>
          <w:rFonts w:ascii="Arial" w:cs="Arial" w:eastAsia="Arial" w:hAnsi="Arial"/>
          <w:sz w:val="22"/>
          <w:szCs w:val="22"/>
        </w:rPr>
        <w:t xml:space="preserve">The latent vector z serves as the query vector for ChromaDB retrieval. The critical property being learned is legal situational similarity: two descriptions of the same legal situation phrased differently should produce similar z vectors. For example, 'my employer dismissed me without notice' and 'I was terminated from my job with no warning' should map to nearly identical z vectors because they describe the same legal situation (wrongful dismissal). The model is evaluated on this using a contrastive clustering test.</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2B2B2B" w:val="clear"/>
            <w:tcMar>
              <w:top w:type="dxa" w:w="120"/>
              <w:left w:type="dxa" w:w="200"/>
              <w:bottom w:type="dxa" w:w="120"/>
              <w:right w:type="dxa" w:w="200"/>
            </w:tcMar>
          </w:tcPr>
          <w:p>
            <w:pPr>
              <w:spacing w:after="40" w:before="0"/>
            </w:pPr>
            <w:r>
              <w:rPr>
                <w:rFonts w:ascii="Courier New" w:cs="Courier New" w:eastAsia="Courier New" w:hAnsi="Courier New"/>
                <w:color w:val="D4D4D4"/>
                <w:sz w:val="18"/>
                <w:szCs w:val="18"/>
              </w:rPr>
              <w:t xml:space="preserve">import torch.nn as nn</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class LegalSituationAutoencoder(nn.Module):</w:t>
            </w:r>
          </w:p>
          <w:p>
            <w:pPr>
              <w:spacing w:after="40" w:before="0"/>
            </w:pPr>
            <w:r>
              <w:rPr>
                <w:rFonts w:ascii="Courier New" w:cs="Courier New" w:eastAsia="Courier New" w:hAnsi="Courier New"/>
                <w:color w:val="D4D4D4"/>
                <w:sz w:val="18"/>
                <w:szCs w:val="18"/>
              </w:rPr>
              <w:t xml:space="preserve">    def __init__(self, input_dim=768, latent_dim=256):</w:t>
            </w:r>
          </w:p>
          <w:p>
            <w:pPr>
              <w:spacing w:after="40" w:before="0"/>
            </w:pPr>
            <w:r>
              <w:rPr>
                <w:rFonts w:ascii="Courier New" w:cs="Courier New" w:eastAsia="Courier New" w:hAnsi="Courier New"/>
                <w:color w:val="D4D4D4"/>
                <w:sz w:val="18"/>
                <w:szCs w:val="18"/>
              </w:rPr>
              <w:t xml:space="preserve">        super().__init__()</w:t>
            </w:r>
          </w:p>
          <w:p>
            <w:pPr>
              <w:spacing w:after="40" w:before="0"/>
            </w:pPr>
            <w:r>
              <w:rPr>
                <w:rFonts w:ascii="Courier New" w:cs="Courier New" w:eastAsia="Courier New" w:hAnsi="Courier New"/>
                <w:color w:val="D4D4D4"/>
                <w:sz w:val="18"/>
                <w:szCs w:val="18"/>
              </w:rPr>
              <w:t xml:space="preserve">        # Encoder: compress BERT embedding to latent vector z</w:t>
            </w:r>
          </w:p>
          <w:p>
            <w:pPr>
              <w:spacing w:after="40" w:before="0"/>
            </w:pPr>
            <w:r>
              <w:rPr>
                <w:rFonts w:ascii="Courier New" w:cs="Courier New" w:eastAsia="Courier New" w:hAnsi="Courier New"/>
                <w:color w:val="D4D4D4"/>
                <w:sz w:val="18"/>
                <w:szCs w:val="18"/>
              </w:rPr>
              <w:t xml:space="preserve">        self.encoder = nn.Sequential(</w:t>
            </w:r>
          </w:p>
          <w:p>
            <w:pPr>
              <w:spacing w:after="40" w:before="0"/>
            </w:pPr>
            <w:r>
              <w:rPr>
                <w:rFonts w:ascii="Courier New" w:cs="Courier New" w:eastAsia="Courier New" w:hAnsi="Courier New"/>
                <w:color w:val="D4D4D4"/>
                <w:sz w:val="18"/>
                <w:szCs w:val="18"/>
              </w:rPr>
              <w:t xml:space="preserve">            nn.Linear(input_dim, 512), nn.ReLU(),</w:t>
            </w:r>
          </w:p>
          <w:p>
            <w:pPr>
              <w:spacing w:after="40" w:before="0"/>
            </w:pPr>
            <w:r>
              <w:rPr>
                <w:rFonts w:ascii="Courier New" w:cs="Courier New" w:eastAsia="Courier New" w:hAnsi="Courier New"/>
                <w:color w:val="D4D4D4"/>
                <w:sz w:val="18"/>
                <w:szCs w:val="18"/>
              </w:rPr>
              <w:t xml:space="preserve">            nn.Linear(512, latent_dim)   # z: 256-dim legal situation vector</w:t>
            </w:r>
          </w:p>
          <w:p>
            <w:pPr>
              <w:spacing w:after="40" w:before="0"/>
            </w:pPr>
            <w:r>
              <w:rPr>
                <w:rFonts w:ascii="Courier New" w:cs="Courier New" w:eastAsia="Courier New" w:hAnsi="Courier New"/>
                <w:color w:val="D4D4D4"/>
                <w:sz w:val="18"/>
                <w:szCs w:val="18"/>
              </w:rPr>
              <w:t xml:space="preserve">        )</w:t>
            </w:r>
          </w:p>
          <w:p>
            <w:pPr>
              <w:spacing w:after="40" w:before="0"/>
            </w:pPr>
            <w:r>
              <w:rPr>
                <w:rFonts w:ascii="Courier New" w:cs="Courier New" w:eastAsia="Courier New" w:hAnsi="Courier New"/>
                <w:color w:val="D4D4D4"/>
                <w:sz w:val="18"/>
                <w:szCs w:val="18"/>
              </w:rPr>
              <w:t xml:space="preserve">        # Decoder: reconstruct original embedding from z</w:t>
            </w:r>
          </w:p>
          <w:p>
            <w:pPr>
              <w:spacing w:after="40" w:before="0"/>
            </w:pPr>
            <w:r>
              <w:rPr>
                <w:rFonts w:ascii="Courier New" w:cs="Courier New" w:eastAsia="Courier New" w:hAnsi="Courier New"/>
                <w:color w:val="D4D4D4"/>
                <w:sz w:val="18"/>
                <w:szCs w:val="18"/>
              </w:rPr>
              <w:t xml:space="preserve">        self.decoder = nn.Sequential(</w:t>
            </w:r>
          </w:p>
          <w:p>
            <w:pPr>
              <w:spacing w:after="40" w:before="0"/>
            </w:pPr>
            <w:r>
              <w:rPr>
                <w:rFonts w:ascii="Courier New" w:cs="Courier New" w:eastAsia="Courier New" w:hAnsi="Courier New"/>
                <w:color w:val="D4D4D4"/>
                <w:sz w:val="18"/>
                <w:szCs w:val="18"/>
              </w:rPr>
              <w:t xml:space="preserve">            nn.Linear(latent_dim, 512), nn.ReLU(),</w:t>
            </w:r>
          </w:p>
          <w:p>
            <w:pPr>
              <w:spacing w:after="40" w:before="0"/>
            </w:pPr>
            <w:r>
              <w:rPr>
                <w:rFonts w:ascii="Courier New" w:cs="Courier New" w:eastAsia="Courier New" w:hAnsi="Courier New"/>
                <w:color w:val="D4D4D4"/>
                <w:sz w:val="18"/>
                <w:szCs w:val="18"/>
              </w:rPr>
              <w:t xml:space="preserve">            nn.Linear(512, input_dim)</w:t>
            </w:r>
          </w:p>
          <w:p>
            <w:pPr>
              <w:spacing w:after="40" w:before="0"/>
            </w:pPr>
            <w:r>
              <w:rPr>
                <w:rFonts w:ascii="Courier New" w:cs="Courier New" w:eastAsia="Courier New" w:hAnsi="Courier New"/>
                <w:color w:val="D4D4D4"/>
                <w:sz w:val="18"/>
                <w:szCs w:val="18"/>
              </w:rPr>
              <w:t xml:space="preserve">        )</w:t>
            </w:r>
          </w:p>
          <w:p>
            <w:pPr>
              <w:spacing w:after="40" w:before="0"/>
            </w:pPr>
            <w:r>
              <w:rPr>
                <w:rFonts w:ascii="Courier New" w:cs="Courier New" w:eastAsia="Courier New" w:hAnsi="Courier New"/>
                <w:color w:val="D4D4D4"/>
                <w:sz w:val="18"/>
                <w:szCs w:val="18"/>
              </w:rPr>
              <w:t xml:space="preserve">    def forward(self, x, noise_std=0.1):</w:t>
            </w:r>
          </w:p>
          <w:p>
            <w:pPr>
              <w:spacing w:after="40" w:before="0"/>
            </w:pPr>
            <w:r>
              <w:rPr>
                <w:rFonts w:ascii="Courier New" w:cs="Courier New" w:eastAsia="Courier New" w:hAnsi="Courier New"/>
                <w:color w:val="D4D4D4"/>
                <w:sz w:val="18"/>
                <w:szCs w:val="18"/>
              </w:rPr>
              <w:t xml:space="preserve">        noisy = x + torch.randn_like(x) * noise_std  # add noise for denoising</w:t>
            </w:r>
          </w:p>
          <w:p>
            <w:pPr>
              <w:spacing w:after="40" w:before="0"/>
            </w:pPr>
            <w:r>
              <w:rPr>
                <w:rFonts w:ascii="Courier New" w:cs="Courier New" w:eastAsia="Courier New" w:hAnsi="Courier New"/>
                <w:color w:val="D4D4D4"/>
                <w:sz w:val="18"/>
                <w:szCs w:val="18"/>
              </w:rPr>
              <w:t xml:space="preserve">        z = self.encoder(noisy)</w:t>
            </w:r>
          </w:p>
          <w:p>
            <w:pPr>
              <w:spacing w:after="40" w:before="0"/>
            </w:pPr>
            <w:r>
              <w:rPr>
                <w:rFonts w:ascii="Courier New" w:cs="Courier New" w:eastAsia="Courier New" w:hAnsi="Courier New"/>
                <w:color w:val="D4D4D4"/>
                <w:sz w:val="18"/>
                <w:szCs w:val="18"/>
              </w:rPr>
              <w:t xml:space="preserve">        return self.decoder(z), z</w:t>
            </w:r>
          </w:p>
        </w:tc>
      </w:tr>
    </w:tbl>
    <w:p>
      <w:pPr>
        <w:spacing w:after="120" w:before="0"/>
      </w:pPr>
      <w:r>
        <w:t xml:space="preserve"/>
      </w:r>
    </w:p>
    <w:p>
      <w:pPr>
        <w:pStyle w:val="Heading2"/>
        <w:spacing w:after="100" w:before="280"/>
      </w:pPr>
      <w:r>
        <w:rPr>
          <w:rFonts w:ascii="Arial" w:cs="Arial" w:eastAsia="Arial" w:hAnsi="Arial"/>
          <w:b/>
          <w:bCs/>
          <w:color w:val="2E5496"/>
          <w:sz w:val="26"/>
          <w:szCs w:val="26"/>
        </w:rPr>
        <w:t xml:space="preserve">4.4 Layer 3 — ChromaDB Vector Retrieval</w:t>
      </w:r>
    </w:p>
    <w:p>
      <w:pPr>
        <w:pStyle w:val="Heading3"/>
        <w:spacing w:after="80" w:before="200"/>
      </w:pPr>
      <w:r>
        <w:rPr>
          <w:rFonts w:ascii="Arial" w:cs="Arial" w:eastAsia="Arial" w:hAnsi="Arial"/>
          <w:b/>
          <w:bCs/>
          <w:color w:val="375623"/>
          <w:sz w:val="23"/>
          <w:szCs w:val="23"/>
        </w:rPr>
        <w:t xml:space="preserve">4.4.1 Statute Index</w:t>
      </w:r>
    </w:p>
    <w:p>
      <w:pPr>
        <w:spacing w:after="140" w:before="60"/>
        <w:jc w:val="both"/>
      </w:pPr>
      <w:r>
        <w:rPr>
          <w:rFonts w:ascii="Arial" w:cs="Arial" w:eastAsia="Arial" w:hAnsi="Arial"/>
          <w:sz w:val="22"/>
          <w:szCs w:val="22"/>
        </w:rPr>
        <w:t xml:space="preserve">Every relevant Sri Lankan statute section is encoded using the Legal-BERT encoder and stored in ChromaDB with metadata. At query time, the user's situation vector z is used to search ChromaDB by cosine similarity and retrieve the top-8 most relevant statute sections. This is the Retrieval-Augmented Generation (RAG) pattern: the retrieved statutes become part of the context fed to the transformer decoder, ensuring every generated statement is grounded in real law.</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2B2B2B" w:val="clear"/>
            <w:tcMar>
              <w:top w:type="dxa" w:w="120"/>
              <w:left w:type="dxa" w:w="200"/>
              <w:bottom w:type="dxa" w:w="120"/>
              <w:right w:type="dxa" w:w="200"/>
            </w:tcMar>
          </w:tcPr>
          <w:p>
            <w:pPr>
              <w:spacing w:after="40" w:before="0"/>
            </w:pPr>
            <w:r>
              <w:rPr>
                <w:rFonts w:ascii="Courier New" w:cs="Courier New" w:eastAsia="Courier New" w:hAnsi="Courier New"/>
                <w:color w:val="D4D4D4"/>
                <w:sz w:val="18"/>
                <w:szCs w:val="18"/>
              </w:rPr>
              <w:t xml:space="preserve">import chromadb</w:t>
            </w:r>
          </w:p>
          <w:p>
            <w:pPr>
              <w:spacing w:after="40" w:before="0"/>
            </w:pPr>
            <w:r>
              <w:rPr>
                <w:rFonts w:ascii="Courier New" w:cs="Courier New" w:eastAsia="Courier New" w:hAnsi="Courier New"/>
                <w:color w:val="D4D4D4"/>
                <w:sz w:val="18"/>
                <w:szCs w:val="18"/>
              </w:rPr>
              <w:t xml:space="preserve">from datasets import load_dataset</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 Stream only relevant acts from the lk_acts dataset</w:t>
            </w:r>
          </w:p>
          <w:p>
            <w:pPr>
              <w:spacing w:after="40" w:before="0"/>
            </w:pPr>
            <w:r>
              <w:rPr>
                <w:rFonts w:ascii="Courier New" w:cs="Courier New" w:eastAsia="Courier New" w:hAnsi="Courier New"/>
                <w:color w:val="D4D4D4"/>
                <w:sz w:val="18"/>
                <w:szCs w:val="18"/>
              </w:rPr>
              <w:t xml:space="preserve"># Do NOT download all 6.8 GB - stream and filter</w:t>
            </w:r>
          </w:p>
          <w:p>
            <w:pPr>
              <w:spacing w:after="40" w:before="0"/>
            </w:pPr>
            <w:r>
              <w:rPr>
                <w:rFonts w:ascii="Courier New" w:cs="Courier New" w:eastAsia="Courier New" w:hAnsi="Courier New"/>
                <w:color w:val="D4D4D4"/>
                <w:sz w:val="18"/>
                <w:szCs w:val="18"/>
              </w:rPr>
              <w:t xml:space="preserve">ds = load_dataset("nuuuwan/lk_acts", streaming=True)</w:t>
            </w:r>
          </w:p>
          <w:p>
            <w:pPr>
              <w:spacing w:after="40" w:before="0"/>
            </w:pPr>
            <w:r>
              <w:rPr>
                <w:rFonts w:ascii="Courier New" w:cs="Courier New" w:eastAsia="Courier New" w:hAnsi="Courier New"/>
                <w:color w:val="D4D4D4"/>
                <w:sz w:val="18"/>
                <w:szCs w:val="18"/>
              </w:rPr>
              <w:t xml:space="preserve">relevant_acts = [row for row in ds["train"] if any(</w:t>
            </w:r>
          </w:p>
          <w:p>
            <w:pPr>
              <w:spacing w:after="40" w:before="0"/>
            </w:pPr>
            <w:r>
              <w:rPr>
                <w:rFonts w:ascii="Courier New" w:cs="Courier New" w:eastAsia="Courier New" w:hAnsi="Courier New"/>
                <w:color w:val="D4D4D4"/>
                <w:sz w:val="18"/>
                <w:szCs w:val="18"/>
              </w:rPr>
              <w:t xml:space="preserve">    kw in row["title"].lower() for kw in</w:t>
            </w:r>
          </w:p>
          <w:p>
            <w:pPr>
              <w:spacing w:after="40" w:before="0"/>
            </w:pPr>
            <w:r>
              <w:rPr>
                <w:rFonts w:ascii="Courier New" w:cs="Courier New" w:eastAsia="Courier New" w:hAnsi="Courier New"/>
                <w:color w:val="D4D4D4"/>
                <w:sz w:val="18"/>
                <w:szCs w:val="18"/>
              </w:rPr>
              <w:t xml:space="preserve">    ["employment", "labour", "rent", "consumer", "wages", "termination",</w:t>
            </w:r>
          </w:p>
          <w:p>
            <w:pPr>
              <w:spacing w:after="40" w:before="0"/>
            </w:pPr>
            <w:r>
              <w:rPr>
                <w:rFonts w:ascii="Courier New" w:cs="Courier New" w:eastAsia="Courier New" w:hAnsi="Courier New"/>
                <w:color w:val="D4D4D4"/>
                <w:sz w:val="18"/>
                <w:szCs w:val="18"/>
              </w:rPr>
              <w:t xml:space="preserve">     "marriage", "matrimonial", "inheritance", "fraud", "notary",</w:t>
            </w:r>
          </w:p>
          <w:p>
            <w:pPr>
              <w:spacing w:after="40" w:before="0"/>
            </w:pPr>
            <w:r>
              <w:rPr>
                <w:rFonts w:ascii="Courier New" w:cs="Courier New" w:eastAsia="Courier New" w:hAnsi="Courier New"/>
                <w:color w:val="D4D4D4"/>
                <w:sz w:val="18"/>
                <w:szCs w:val="18"/>
              </w:rPr>
              <w:t xml:space="preserve">     "sale of goods", "motor traffic", "vehicle", "licence",</w:t>
            </w:r>
          </w:p>
          <w:p>
            <w:pPr>
              <w:spacing w:after="40" w:before="0"/>
            </w:pPr>
            <w:r>
              <w:rPr>
                <w:rFonts w:ascii="Courier New" w:cs="Courier New" w:eastAsia="Courier New" w:hAnsi="Courier New"/>
                <w:color w:val="D4D4D4"/>
                <w:sz w:val="18"/>
                <w:szCs w:val="18"/>
              </w:rPr>
              <w:t xml:space="preserve">     "penal", "offence", "criminal", "punishment", "theft", "assault"]</w:t>
            </w:r>
          </w:p>
          <w:p>
            <w:pPr>
              <w:spacing w:after="40" w:before="0"/>
            </w:pPr>
            <w:r>
              <w:rPr>
                <w:rFonts w:ascii="Courier New" w:cs="Courier New" w:eastAsia="Courier New" w:hAnsi="Courier New"/>
                <w:color w:val="D4D4D4"/>
                <w:sz w:val="18"/>
                <w:szCs w:val="18"/>
              </w:rPr>
              <w:t xml:space="preserve">)]</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 Store embeddings in ChromaDB</w:t>
            </w:r>
          </w:p>
          <w:p>
            <w:pPr>
              <w:spacing w:after="40" w:before="0"/>
            </w:pPr>
            <w:r>
              <w:rPr>
                <w:rFonts w:ascii="Courier New" w:cs="Courier New" w:eastAsia="Courier New" w:hAnsi="Courier New"/>
                <w:color w:val="D4D4D4"/>
                <w:sz w:val="18"/>
                <w:szCs w:val="18"/>
              </w:rPr>
              <w:t xml:space="preserve">client = chromadb.Client()</w:t>
            </w:r>
          </w:p>
          <w:p>
            <w:pPr>
              <w:spacing w:after="40" w:before="0"/>
            </w:pPr>
            <w:r>
              <w:rPr>
                <w:rFonts w:ascii="Courier New" w:cs="Courier New" w:eastAsia="Courier New" w:hAnsi="Courier New"/>
                <w:color w:val="D4D4D4"/>
                <w:sz w:val="18"/>
                <w:szCs w:val="18"/>
              </w:rPr>
              <w:t xml:space="preserve">collection = client.create_collection("sri_lanka_statutes")</w:t>
            </w:r>
          </w:p>
          <w:p>
            <w:pPr>
              <w:spacing w:after="40" w:before="0"/>
            </w:pPr>
            <w:r>
              <w:rPr>
                <w:rFonts w:ascii="Courier New" w:cs="Courier New" w:eastAsia="Courier New" w:hAnsi="Courier New"/>
                <w:color w:val="D4D4D4"/>
                <w:sz w:val="18"/>
                <w:szCs w:val="18"/>
              </w:rPr>
              <w:t xml:space="preserve">for act in relevant_acts:</w:t>
            </w:r>
          </w:p>
          <w:p>
            <w:pPr>
              <w:spacing w:after="40" w:before="0"/>
            </w:pPr>
            <w:r>
              <w:rPr>
                <w:rFonts w:ascii="Courier New" w:cs="Courier New" w:eastAsia="Courier New" w:hAnsi="Courier New"/>
                <w:color w:val="D4D4D4"/>
                <w:sz w:val="18"/>
                <w:szCs w:val="18"/>
              </w:rPr>
              <w:t xml:space="preserve">    embedding = get_legal_bert_embedding(act["text"])  # z vector</w:t>
            </w:r>
          </w:p>
          <w:p>
            <w:pPr>
              <w:spacing w:after="40" w:before="0"/>
            </w:pPr>
            <w:r>
              <w:rPr>
                <w:rFonts w:ascii="Courier New" w:cs="Courier New" w:eastAsia="Courier New" w:hAnsi="Courier New"/>
                <w:color w:val="D4D4D4"/>
                <w:sz w:val="18"/>
                <w:szCs w:val="18"/>
              </w:rPr>
              <w:t xml:space="preserve">    collection.add(embeddings=[embedding], documents=[act["text"]],</w:t>
            </w:r>
          </w:p>
          <w:p>
            <w:pPr>
              <w:spacing w:after="40" w:before="0"/>
            </w:pPr>
            <w:r>
              <w:rPr>
                <w:rFonts w:ascii="Courier New" w:cs="Courier New" w:eastAsia="Courier New" w:hAnsi="Courier New"/>
                <w:color w:val="D4D4D4"/>
                <w:sz w:val="18"/>
                <w:szCs w:val="18"/>
              </w:rPr>
              <w:t xml:space="preserve">                   metadatas=[{"title": act["title"]}], ids=[act["id"]])</w:t>
            </w:r>
          </w:p>
        </w:tc>
      </w:tr>
    </w:tbl>
    <w:p>
      <w:pPr>
        <w:spacing w:after="120" w:before="0"/>
      </w:pPr>
      <w:r>
        <w:t xml:space="preserve"/>
      </w:r>
    </w:p>
    <w:p>
      <w:pPr>
        <w:pStyle w:val="Heading3"/>
        <w:spacing w:after="80" w:before="200"/>
      </w:pPr>
      <w:r>
        <w:rPr>
          <w:rFonts w:ascii="Arial" w:cs="Arial" w:eastAsia="Arial" w:hAnsi="Arial"/>
          <w:b/>
          <w:bCs/>
          <w:color w:val="375623"/>
          <w:sz w:val="23"/>
          <w:szCs w:val="23"/>
        </w:rPr>
        <w:t xml:space="preserve">4.4.2 Precedent Index</w:t>
      </w:r>
    </w:p>
    <w:p>
      <w:pPr>
        <w:spacing w:after="140" w:before="60"/>
        <w:jc w:val="both"/>
      </w:pPr>
      <w:r>
        <w:rPr>
          <w:rFonts w:ascii="Arial" w:cs="Arial" w:eastAsia="Arial" w:hAnsi="Arial"/>
          <w:sz w:val="22"/>
          <w:szCs w:val="22"/>
        </w:rPr>
        <w:t xml:space="preserve">A second ChromaDB collection stores Supreme Court and Court of Appeal judgments. These are encoded and retrieved separately from statutes because they serve a different purpose: statutes state what the law is, precedents show how courts have actually applied the law in practice. Retrieved precedents serve as few-shot examples in the model's context window, grounding its reasoning in judicial reality rather than abstract statute text alone.</w:t>
      </w:r>
    </w:p>
    <w:p>
      <w:pPr>
        <w:pStyle w:val="Heading2"/>
        <w:spacing w:after="100" w:before="280"/>
      </w:pPr>
      <w:r>
        <w:rPr>
          <w:rFonts w:ascii="Arial" w:cs="Arial" w:eastAsia="Arial" w:hAnsi="Arial"/>
          <w:b/>
          <w:bCs/>
          <w:color w:val="2E5496"/>
          <w:sz w:val="26"/>
          <w:szCs w:val="26"/>
        </w:rPr>
        <w:t xml:space="preserve">4.5 Layer 4 — GAN Discriminator (Hallucination Validator)</w:t>
      </w:r>
    </w:p>
    <w:p>
      <w:pPr>
        <w:spacing w:after="140" w:before="60"/>
        <w:jc w:val="both"/>
      </w:pPr>
      <w:r>
        <w:rPr>
          <w:rFonts w:ascii="Arial" w:cs="Arial" w:eastAsia="Arial" w:hAnsi="Arial"/>
          <w:sz w:val="22"/>
          <w:szCs w:val="22"/>
        </w:rPr>
        <w:t xml:space="preserve">Hallucination — generating confident but incorrect legal statements — is the most serious risk in a legal AI system. An incorrect legal statement in a court context could mean a person loses their case or their freedom. The GAN discriminator is LexAI's safety layer.</w:t>
      </w:r>
    </w:p>
    <w:p>
      <w:pPr>
        <w:pStyle w:val="Heading3"/>
        <w:spacing w:after="80" w:before="200"/>
      </w:pPr>
      <w:r>
        <w:rPr>
          <w:rFonts w:ascii="Arial" w:cs="Arial" w:eastAsia="Arial" w:hAnsi="Arial"/>
          <w:b/>
          <w:bCs/>
          <w:color w:val="375623"/>
          <w:sz w:val="23"/>
          <w:szCs w:val="23"/>
        </w:rPr>
        <w:t xml:space="preserve">4.5.1 Architecture</w:t>
      </w:r>
    </w:p>
    <w:p>
      <w:pPr>
        <w:spacing w:after="140" w:before="60"/>
        <w:jc w:val="both"/>
      </w:pPr>
      <w:r>
        <w:rPr>
          <w:rFonts w:ascii="Arial" w:cs="Arial" w:eastAsia="Arial" w:hAnsi="Arial"/>
          <w:sz w:val="22"/>
          <w:szCs w:val="22"/>
        </w:rPr>
        <w:t xml:space="preserve">The discriminator is a BERT-based binary classifier fine-tuned to distinguish real lawyer-written legal analyses from machine-generated ones. It is trained on real legal aid letters, tribunal decisions, and lawyer-authored case summaries as positive examples, and outputs from an untrained baseline model as negative examples. The discriminator also detects the specific pattern of legal hallucination: citing a real statute section number but attributing to it a meaning it does not carry.</w:t>
      </w:r>
    </w:p>
    <w:p>
      <w:pPr>
        <w:pStyle w:val="Heading3"/>
        <w:spacing w:after="80" w:before="200"/>
      </w:pPr>
      <w:r>
        <w:rPr>
          <w:rFonts w:ascii="Arial" w:cs="Arial" w:eastAsia="Arial" w:hAnsi="Arial"/>
          <w:b/>
          <w:bCs/>
          <w:color w:val="375623"/>
          <w:sz w:val="23"/>
          <w:szCs w:val="23"/>
        </w:rPr>
        <w:t xml:space="preserve">4.5.2 Safety Gate</w:t>
      </w:r>
    </w:p>
    <w:p>
      <w:pPr>
        <w:spacing w:after="140" w:before="60"/>
        <w:jc w:val="both"/>
      </w:pPr>
      <w:r>
        <w:rPr>
          <w:rFonts w:ascii="Arial" w:cs="Arial" w:eastAsia="Arial" w:hAnsi="Arial"/>
          <w:sz w:val="22"/>
          <w:szCs w:val="22"/>
        </w:rPr>
        <w:t xml:space="preserve">In deployment, every generated output passes through the discriminator before being shown to the user. Outputs scoring below 0.75 confidence are either regenerated or presented with a prominent disclaimer. This demonstrates the adversarial training concept from the module in a practical, safety-critical application: the generator (Legal-BERT decoder) and discriminator are trained in an adversarial loop after supervised fine-tuning is complete.</w:t>
      </w:r>
    </w:p>
    <w:p>
      <w:pPr>
        <w:spacing w:after="120" w:before="0"/>
      </w:pPr>
      <w:r>
        <w:t xml:space="preserve"/>
      </w:r>
    </w:p>
    <w:p>
      <w:r>
        <w:br w:type="page"/>
      </w:r>
    </w:p>
    <w:p>
      <w:pPr>
        <w:pStyle w:val="Heading1"/>
        <w:pBdr>
          <w:bottom w:val="single" w:color="4472C4" w:sz="8" w:space="4"/>
        </w:pBdr>
        <w:spacing w:after="160" w:before="400"/>
      </w:pPr>
      <w:r>
        <w:rPr>
          <w:rFonts w:ascii="Arial" w:cs="Arial" w:eastAsia="Arial" w:hAnsi="Arial"/>
          <w:b/>
          <w:bCs/>
          <w:color w:val="1F3864"/>
          <w:sz w:val="32"/>
          <w:szCs w:val="32"/>
        </w:rPr>
        <w:t xml:space="preserve">5. Dataset Strategy for Local GPU Training</w:t>
      </w:r>
    </w:p>
    <w:p>
      <w:pPr>
        <w:spacing w:after="140" w:before="60"/>
        <w:jc w:val="both"/>
      </w:pPr>
      <w:r>
        <w:rPr>
          <w:rFonts w:ascii="Arial" w:cs="Arial" w:eastAsia="Arial" w:hAnsi="Arial"/>
          <w:sz w:val="22"/>
          <w:szCs w:val="22"/>
        </w:rPr>
        <w:t xml:space="preserve">The dataset strategy is designed specifically around the constraint of local GPU training with limited VRAM. The key principle is: use small, high-quality, annotated datasets for fine-tuning rather than large raw corpora for training from scratch. Every dataset below can be loaded in minutes on a standard machine.</w:t>
      </w:r>
    </w:p>
    <w:p>
      <w:pPr>
        <w:pStyle w:val="Heading2"/>
        <w:spacing w:after="100" w:before="280"/>
      </w:pPr>
      <w:r>
        <w:rPr>
          <w:rFonts w:ascii="Arial" w:cs="Arial" w:eastAsia="Arial" w:hAnsi="Arial"/>
          <w:b/>
          <w:bCs/>
          <w:color w:val="2E5496"/>
          <w:sz w:val="26"/>
          <w:szCs w:val="26"/>
        </w:rPr>
        <w:t xml:space="preserve">5.1 Primary Fine-Tuning Datasets</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400"/>
        <w:gridCol w:w="2826"/>
      </w:tblGrid>
      <w:tr>
        <w:tc>
          <w:tcPr>
            <w:tcW w:type="dxa" w:w="2200"/>
            <w:tcBorders>
              <w:top w:val="single" w:color="4472C4" w:sz="1"/>
              <w:left w:val="single" w:color="4472C4" w:sz="1"/>
              <w:bottom w:val="single" w:color="4472C4" w:sz="1"/>
              <w:right w:val="single" w:color="4472C4" w:sz="1"/>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Dataset</w:t>
            </w:r>
          </w:p>
        </w:tc>
        <w:tc>
          <w:tcPr>
            <w:tcW w:type="dxa" w:w="1600"/>
            <w:tcBorders>
              <w:top w:val="single" w:color="4472C4" w:sz="1"/>
              <w:left w:val="single" w:color="4472C4" w:sz="1"/>
              <w:bottom w:val="single" w:color="4472C4" w:sz="1"/>
              <w:right w:val="single" w:color="4472C4" w:sz="1"/>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Size</w:t>
            </w:r>
          </w:p>
        </w:tc>
        <w:tc>
          <w:tcPr>
            <w:tcW w:type="dxa" w:w="2400"/>
            <w:tcBorders>
              <w:top w:val="single" w:color="4472C4" w:sz="1"/>
              <w:left w:val="single" w:color="4472C4" w:sz="1"/>
              <w:bottom w:val="single" w:color="4472C4" w:sz="1"/>
              <w:right w:val="single" w:color="4472C4" w:sz="1"/>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Content</w:t>
            </w:r>
          </w:p>
        </w:tc>
        <w:tc>
          <w:tcPr>
            <w:tcW w:type="dxa" w:w="2826"/>
            <w:tcBorders>
              <w:top w:val="single" w:color="4472C4" w:sz="1"/>
              <w:left w:val="single" w:color="4472C4" w:sz="1"/>
              <w:bottom w:val="single" w:color="4472C4" w:sz="1"/>
              <w:right w:val="single" w:color="4472C4" w:sz="1"/>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Use in LexAI</w:t>
            </w:r>
          </w:p>
        </w:tc>
      </w:tr>
      <w:tr>
        <w:tc>
          <w:tcPr>
            <w:tcW w:type="dxa" w:w="220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Arial" w:cs="Arial" w:eastAsia="Arial" w:hAnsi="Arial"/>
                <w:b/>
                <w:bCs/>
                <w:color w:val="375623"/>
                <w:sz w:val="20"/>
                <w:szCs w:val="20"/>
              </w:rPr>
              <w:t xml:space="preserve">Custom Synthetic Q&amp;A — Six Sri Lankan Statutes (locally generated from uploaded PDFs)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~920 KB source text; ~1,500–2,700 generated Q&amp;A pairs (&lt; 5 MB)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Synthetic (context, question, answer-span) triplets generated section-by-section from 7 uploaded PDF files covering 6 statutes: Marriage Registration Ordinance (64 secs), Matrimonial Rights &amp; Inheritance (36 secs), Prevention of Frauds 2024 consolidated (19 secs), Sale of Goods Ordinance (59 secs), Motor Traffic Act 2024 consolidated (239+ secs, 184 pp), Penal Code (490 secs, 166 pp). Total ~907 sections, ~920K chars. Includes both user-wronged and user-liable scenarios for impartiality.</w:t>
            </w:r>
          </w:p>
        </w:tc>
        <w:tc>
          <w:tcPr>
            <w:tcW w:type="dxa" w:w="28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Stage 2 fine-tuning: domain-specialises Legal-BERT to six everyday legal domains in Sri Lanka (family, contract, business, traffic, criminal law); includes adverse-finding examples for impartiality; also ingested into ChromaDB as the primary RAG corpus</w:t>
            </w:r>
          </w:p>
        </w:tc>
      </w:tr>
      <w:tr>
        <w:tc>
          <w:tcPr>
            <w:tcW w:type="dxa" w:w="22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color w:val="1F3864"/>
                <w:sz w:val="20"/>
                <w:szCs w:val="20"/>
              </w:rPr>
              <w:t xml:space="preserve">theatticusproject/cuad-qa (Hugging Face)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18 MB download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13,000+ expert-annotated legal clause extractions from 500 commercial contracts</w:t>
            </w:r>
          </w:p>
        </w:tc>
        <w:tc>
          <w:tcPr>
            <w:tcW w:type="dxa" w:w="28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Stage 1 fine-tuning: teaches Legal-BERT extractive legal reasoning (find the relevant span)</w:t>
            </w:r>
          </w:p>
        </w:tc>
      </w:tr>
      <w:tr>
        <w:tc>
          <w:tcPr>
            <w:tcW w:type="dxa" w:w="2200"/>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tcPr>
          <w:p>
            <w:r>
              <w:rPr>
                <w:rFonts w:ascii="Arial" w:cs="Arial" w:eastAsia="Arial" w:hAnsi="Arial"/>
                <w:b/>
                <w:bCs/>
                <w:color w:val="7F5F00"/>
                <w:sz w:val="20"/>
                <w:szCs w:val="20"/>
              </w:rPr>
              <w:t xml:space="preserve">nuuuwan/lk_acts (Hugging Face, streamed)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Stream ~200-300 relevant acts only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All Sri Lanka Parliament Acts from 1981 to 2026; 3,952 documents total</w:t>
            </w:r>
          </w:p>
        </w:tc>
        <w:tc>
          <w:tcPr>
            <w:tcW w:type="dxa" w:w="28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ChromaDB statute index: stream and filter to employment, tenancy, consumer protection acts only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333333"/>
                <w:sz w:val="20"/>
                <w:szCs w:val="20"/>
              </w:rPr>
              <w:t xml:space="preserve">nuuuwan/lk_supreme_court_judgements (Hugging Face, streamed)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Stream ~100-150 cases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2,519 Supreme Court judgments from 2009 to 2026</w:t>
            </w:r>
          </w:p>
        </w:tc>
        <w:tc>
          <w:tcPr>
            <w:tcW w:type="dxa" w:w="28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ChromaDB precedent index: stream a targeted subset of employment, tenancy and consumer cases</w:t>
            </w:r>
          </w:p>
        </w:tc>
      </w:tr>
    </w:tbl>
    <w:p>
      <w:pPr>
        <w:spacing w:after="120" w:before="0"/>
      </w:pPr>
      <w:r>
        <w:t xml:space="preserve"/>
      </w:r>
    </w:p>
    <w:p>
      <w:pPr>
        <w:pStyle w:val="Heading2"/>
        <w:spacing w:after="100" w:before="280"/>
      </w:pPr>
      <w:r>
        <w:rPr>
          <w:rFonts w:ascii="Arial" w:cs="Arial" w:eastAsia="Arial" w:hAnsi="Arial"/>
          <w:b/>
          <w:bCs/>
          <w:color w:val="2E5496"/>
          <w:sz w:val="26"/>
          <w:szCs w:val="26"/>
        </w:rPr>
        <w:t xml:space="preserve">5.2 Base Model</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200"/>
        <w:gridCol w:w="2826"/>
      </w:tblGrid>
      <w:tr>
        <w:tc>
          <w:tcPr>
            <w:tcW w:type="dxa" w:w="2400"/>
            <w:tcBorders>
              <w:top w:val="single" w:color="4472C4" w:sz="1"/>
              <w:left w:val="single" w:color="4472C4" w:sz="1"/>
              <w:bottom w:val="single" w:color="4472C4" w:sz="1"/>
              <w:right w:val="single" w:color="4472C4" w:sz="1"/>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Model</w:t>
            </w:r>
          </w:p>
        </w:tc>
        <w:tc>
          <w:tcPr>
            <w:tcW w:type="dxa" w:w="1600"/>
            <w:tcBorders>
              <w:top w:val="single" w:color="4472C4" w:sz="1"/>
              <w:left w:val="single" w:color="4472C4" w:sz="1"/>
              <w:bottom w:val="single" w:color="4472C4" w:sz="1"/>
              <w:right w:val="single" w:color="4472C4" w:sz="1"/>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Size</w:t>
            </w:r>
          </w:p>
        </w:tc>
        <w:tc>
          <w:tcPr>
            <w:tcW w:type="dxa" w:w="2200"/>
            <w:tcBorders>
              <w:top w:val="single" w:color="4472C4" w:sz="1"/>
              <w:left w:val="single" w:color="4472C4" w:sz="1"/>
              <w:bottom w:val="single" w:color="4472C4" w:sz="1"/>
              <w:right w:val="single" w:color="4472C4" w:sz="1"/>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Pre-trained On</w:t>
            </w:r>
          </w:p>
        </w:tc>
        <w:tc>
          <w:tcPr>
            <w:tcW w:type="dxa" w:w="2826"/>
            <w:tcBorders>
              <w:top w:val="single" w:color="4472C4" w:sz="1"/>
              <w:left w:val="single" w:color="4472C4" w:sz="1"/>
              <w:bottom w:val="single" w:color="4472C4" w:sz="1"/>
              <w:right w:val="single" w:color="4472C4" w:sz="1"/>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Why This Choice</w:t>
            </w:r>
          </w:p>
        </w:tc>
      </w:tr>
      <w:tr>
        <w:tc>
          <w:tcPr>
            <w:tcW w:type="dxa" w:w="2400"/>
            <w:tcBorders>
              <w:top w:val="single" w:color="CCCCCC" w:sz="1"/>
              <w:left w:val="single" w:color="CCCCCC" w:sz="1"/>
              <w:bottom w:val="single" w:color="CCCCCC" w:sz="1"/>
              <w:right w:val="single" w:color="CCCCCC" w:sz="1"/>
            </w:tcBorders>
            <w:shd w:fill="EDE7F6" w:val="clear"/>
            <w:tcMar>
              <w:top w:type="dxa" w:w="80"/>
              <w:left w:type="dxa" w:w="160"/>
              <w:bottom w:type="dxa" w:w="80"/>
              <w:right w:type="dxa" w:w="160"/>
            </w:tcMar>
          </w:tcPr>
          <w:p>
            <w:r>
              <w:rPr>
                <w:rFonts w:ascii="Arial" w:cs="Arial" w:eastAsia="Arial" w:hAnsi="Arial"/>
                <w:b/>
                <w:bCs/>
                <w:color w:val="4B0082"/>
                <w:sz w:val="20"/>
                <w:szCs w:val="20"/>
              </w:rPr>
              <w:t xml:space="preserve">nlpaueb/legal-bert-base-uncased (Hugging Face)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~36M parameters (lightweight variant)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12 GB of English legal text: legislation, court cases, contracts</w:t>
            </w:r>
          </w:p>
        </w:tc>
        <w:tc>
          <w:tcPr>
            <w:tcW w:type="dxa" w:w="28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4x faster than full BERT-BASE, fits in 4-6 GB VRAM, achieves comparable performance on legal tasks. THIS IS the transformer component of the project.</w:t>
            </w:r>
          </w:p>
        </w:tc>
      </w:tr>
    </w:tbl>
    <w:p>
      <w:pPr>
        <w:spacing w:after="120" w:before="0"/>
      </w:pPr>
      <w:r>
        <w:t xml:space="preserve"/>
      </w:r>
    </w:p>
    <w:p>
      <w:pPr>
        <w:pStyle w:val="Heading2"/>
        <w:spacing w:after="100" w:before="280"/>
      </w:pPr>
      <w:r>
        <w:rPr>
          <w:rFonts w:ascii="Arial" w:cs="Arial" w:eastAsia="Arial" w:hAnsi="Arial"/>
          <w:b/>
          <w:bCs/>
          <w:color w:val="2E5496"/>
          <w:sz w:val="26"/>
          <w:szCs w:val="26"/>
        </w:rPr>
        <w:t xml:space="preserve">5.3 Evaluation Dataset</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226"/>
        <w:gridCol w:w="2800"/>
      </w:tblGrid>
      <w:tr>
        <w:tc>
          <w:tcPr>
            <w:tcW w:type="dxa" w:w="2400"/>
            <w:tcBorders>
              <w:top w:val="single" w:color="4472C4" w:sz="1"/>
              <w:left w:val="single" w:color="4472C4" w:sz="1"/>
              <w:bottom w:val="single" w:color="4472C4" w:sz="1"/>
              <w:right w:val="single" w:color="4472C4" w:sz="1"/>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Dataset</w:t>
            </w:r>
          </w:p>
        </w:tc>
        <w:tc>
          <w:tcPr>
            <w:tcW w:type="dxa" w:w="1600"/>
            <w:tcBorders>
              <w:top w:val="single" w:color="4472C4" w:sz="1"/>
              <w:left w:val="single" w:color="4472C4" w:sz="1"/>
              <w:bottom w:val="single" w:color="4472C4" w:sz="1"/>
              <w:right w:val="single" w:color="4472C4" w:sz="1"/>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Size</w:t>
            </w:r>
          </w:p>
        </w:tc>
        <w:tc>
          <w:tcPr>
            <w:tcW w:type="dxa" w:w="2226"/>
            <w:tcBorders>
              <w:top w:val="single" w:color="4472C4" w:sz="1"/>
              <w:left w:val="single" w:color="4472C4" w:sz="1"/>
              <w:bottom w:val="single" w:color="4472C4" w:sz="1"/>
              <w:right w:val="single" w:color="4472C4" w:sz="1"/>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Content</w:t>
            </w:r>
          </w:p>
        </w:tc>
        <w:tc>
          <w:tcPr>
            <w:tcW w:type="dxa" w:w="2800"/>
            <w:tcBorders>
              <w:top w:val="single" w:color="4472C4" w:sz="1"/>
              <w:left w:val="single" w:color="4472C4" w:sz="1"/>
              <w:bottom w:val="single" w:color="4472C4" w:sz="1"/>
              <w:right w:val="single" w:color="4472C4" w:sz="1"/>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Use in LexAI</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r>
              <w:rPr>
                <w:rFonts w:ascii="Arial" w:cs="Arial" w:eastAsia="Arial" w:hAnsi="Arial"/>
                <w:b/>
                <w:bCs/>
                <w:color w:val="7B2C2C"/>
                <w:sz w:val="20"/>
                <w:szCs w:val="20"/>
              </w:rPr>
              <w:t xml:space="preserve">coastalcph/lex_glue (Hugging Face)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Small benchmark</w:t>
            </w:r>
          </w:p>
        </w:tc>
        <w:tc>
          <w:tcPr>
            <w:tcW w:type="dxa" w:w="22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Multi-task legal language understanding benchmark, English only, 7 tasks across statutes, judicial opinions, and contracts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NOT used for training. Used only to evaluate model performance against published baselines, giving the evaluation section academic credibility</w:t>
            </w:r>
          </w:p>
        </w:tc>
      </w:tr>
    </w:tbl>
    <w:p>
      <w:pPr>
        <w:spacing w:after="120" w:before="0"/>
      </w:pPr>
      <w:r>
        <w:t xml:space="preserve"/>
      </w:r>
    </w:p>
    <w:p>
      <w:pPr>
        <w:pStyle w:val="Heading2"/>
        <w:spacing w:after="100" w:before="280"/>
      </w:pPr>
      <w:r>
        <w:rPr>
          <w:rFonts w:ascii="Arial" w:cs="Arial" w:eastAsia="Arial" w:hAnsi="Arial"/>
          <w:b/>
          <w:bCs/>
          <w:color w:val="2E5496"/>
          <w:sz w:val="26"/>
          <w:szCs w:val="26"/>
        </w:rPr>
        <w:t xml:space="preserve">5.4 Streaming Strategy for Large Sources</w:t>
      </w:r>
    </w:p>
    <w:p>
      <w:pPr>
        <w:spacing w:after="140" w:before="60"/>
        <w:jc w:val="both"/>
      </w:pPr>
      <w:r>
        <w:rPr>
          <w:rFonts w:ascii="Arial" w:cs="Arial" w:eastAsia="Arial" w:hAnsi="Arial"/>
          <w:sz w:val="22"/>
          <w:szCs w:val="22"/>
        </w:rPr>
        <w:t xml:space="preserve">The lk_acts and lk_supreme_court_judgements datasets are large in total but the streaming approach means only the relevant subset is ever downloaded to disk. The following code pattern is used throughout to avoid memory issues:</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2B2B2B" w:val="clear"/>
            <w:tcMar>
              <w:top w:type="dxa" w:w="120"/>
              <w:left w:type="dxa" w:w="200"/>
              <w:bottom w:type="dxa" w:w="120"/>
              <w:right w:type="dxa" w:w="200"/>
            </w:tcMar>
          </w:tcPr>
          <w:p>
            <w:pPr>
              <w:spacing w:after="40" w:before="0"/>
            </w:pPr>
            <w:r>
              <w:rPr>
                <w:rFonts w:ascii="Courier New" w:cs="Courier New" w:eastAsia="Courier New" w:hAnsi="Courier New"/>
                <w:color w:val="D4D4D4"/>
                <w:sz w:val="18"/>
                <w:szCs w:val="18"/>
              </w:rPr>
              <w:t xml:space="preserve">from datasets import load_dataset</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 CORRECT: Stream and filter - never loads full dataset to disk</w:t>
            </w:r>
          </w:p>
          <w:p>
            <w:pPr>
              <w:spacing w:after="40" w:before="0"/>
            </w:pPr>
            <w:r>
              <w:rPr>
                <w:rFonts w:ascii="Courier New" w:cs="Courier New" w:eastAsia="Courier New" w:hAnsi="Courier New"/>
                <w:color w:val="D4D4D4"/>
                <w:sz w:val="18"/>
                <w:szCs w:val="18"/>
              </w:rPr>
              <w:t xml:space="preserve">ds = load_dataset("nuuuwan/lk_acts", streaming=True)</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 Filter to only the legal domains relevant to LexAI</w:t>
            </w:r>
          </w:p>
          <w:p>
            <w:pPr>
              <w:spacing w:after="40" w:before="0"/>
            </w:pPr>
            <w:r>
              <w:rPr>
                <w:rFonts w:ascii="Courier New" w:cs="Courier New" w:eastAsia="Courier New" w:hAnsi="Courier New"/>
                <w:color w:val="D4D4D4"/>
                <w:sz w:val="18"/>
                <w:szCs w:val="18"/>
              </w:rPr>
              <w:t xml:space="preserve">TARGET_DOMAINS = ["employment", "labour", "rent", "consumer",</w:t>
            </w:r>
          </w:p>
          <w:p>
            <w:pPr>
              <w:spacing w:after="40" w:before="0"/>
            </w:pPr>
            <w:r>
              <w:rPr>
                <w:rFonts w:ascii="Courier New" w:cs="Courier New" w:eastAsia="Courier New" w:hAnsi="Courier New"/>
                <w:color w:val="D4D4D4"/>
                <w:sz w:val="18"/>
                <w:szCs w:val="18"/>
              </w:rPr>
              <w:t xml:space="preserve">                  "wages", "termination", "contract", "property",</w:t>
            </w:r>
          </w:p>
          <w:p>
            <w:pPr>
              <w:spacing w:after="40" w:before="0"/>
            </w:pPr>
            <w:r>
              <w:rPr>
                <w:rFonts w:ascii="Courier New" w:cs="Courier New" w:eastAsia="Courier New" w:hAnsi="Courier New"/>
                <w:color w:val="D4D4D4"/>
                <w:sz w:val="18"/>
                <w:szCs w:val="18"/>
              </w:rPr>
              <w:t xml:space="preserve">                  "marriage", "matrimonial", "inheritance", "fraud",</w:t>
            </w:r>
          </w:p>
          <w:p>
            <w:pPr>
              <w:spacing w:after="40" w:before="0"/>
            </w:pPr>
            <w:r>
              <w:rPr>
                <w:rFonts w:ascii="Courier New" w:cs="Courier New" w:eastAsia="Courier New" w:hAnsi="Courier New"/>
                <w:color w:val="D4D4D4"/>
                <w:sz w:val="18"/>
                <w:szCs w:val="18"/>
              </w:rPr>
              <w:t xml:space="preserve">                  "sale of goods", "motor traffic", "vehicle",</w:t>
            </w:r>
          </w:p>
          <w:p>
            <w:pPr>
              <w:spacing w:after="40" w:before="0"/>
            </w:pPr>
            <w:r>
              <w:rPr>
                <w:rFonts w:ascii="Courier New" w:cs="Courier New" w:eastAsia="Courier New" w:hAnsi="Courier New"/>
                <w:color w:val="D4D4D4"/>
                <w:sz w:val="18"/>
                <w:szCs w:val="18"/>
              </w:rPr>
              <w:t xml:space="preserve">                  "penal", "offence", "criminal", "punishment"]</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relevant = [</w:t>
            </w:r>
          </w:p>
          <w:p>
            <w:pPr>
              <w:spacing w:after="40" w:before="0"/>
            </w:pPr>
            <w:r>
              <w:rPr>
                <w:rFonts w:ascii="Courier New" w:cs="Courier New" w:eastAsia="Courier New" w:hAnsi="Courier New"/>
                <w:color w:val="D4D4D4"/>
                <w:sz w:val="18"/>
                <w:szCs w:val="18"/>
              </w:rPr>
              <w:t xml:space="preserve">    row for row in ds["train"]</w:t>
            </w:r>
          </w:p>
          <w:p>
            <w:pPr>
              <w:spacing w:after="40" w:before="0"/>
            </w:pPr>
            <w:r>
              <w:rPr>
                <w:rFonts w:ascii="Courier New" w:cs="Courier New" w:eastAsia="Courier New" w:hAnsi="Courier New"/>
                <w:color w:val="D4D4D4"/>
                <w:sz w:val="18"/>
                <w:szCs w:val="18"/>
              </w:rPr>
              <w:t xml:space="preserve">    if any(kw in row["title"].lower() for kw in TARGET_DOMAINS)</w:t>
            </w:r>
          </w:p>
          <w:p>
            <w:pPr>
              <w:spacing w:after="40" w:before="0"/>
            </w:pPr>
            <w:r>
              <w:rPr>
                <w:rFonts w:ascii="Courier New" w:cs="Courier New" w:eastAsia="Courier New" w:hAnsi="Courier New"/>
                <w:color w:val="D4D4D4"/>
                <w:sz w:val="18"/>
                <w:szCs w:val="18"/>
              </w:rPr>
              <w:t xml:space="preserve">]</w:t>
            </w:r>
          </w:p>
          <w:p>
            <w:pPr>
              <w:spacing w:after="40" w:before="0"/>
            </w:pPr>
            <w:r>
              <w:rPr>
                <w:rFonts w:ascii="Courier New" w:cs="Courier New" w:eastAsia="Courier New" w:hAnsi="Courier New"/>
                <w:color w:val="D4D4D4"/>
                <w:sz w:val="18"/>
                <w:szCs w:val="18"/>
              </w:rPr>
              <w:t xml:space="preserve"># Result: ~200-300 acts instead of 3,952 - perfectly manageable locally</w:t>
            </w:r>
          </w:p>
        </w:tc>
      </w:tr>
    </w:tbl>
    <w:p>
      <w:pPr>
        <w:spacing w:after="120" w:before="0"/>
      </w:pPr>
      <w:r>
        <w:t xml:space="preserve"/>
      </w:r>
    </w:p>
    <w:p>
      <w:pPr>
        <w:pStyle w:val="Heading2"/>
        <w:spacing w:after="100" w:before="280"/>
      </w:pPr>
      <w:r>
        <w:rPr>
          <w:rFonts w:ascii="Arial" w:cs="Arial" w:eastAsia="Arial" w:hAnsi="Arial"/>
          <w:b/>
          <w:bCs/>
          <w:color w:val="2E5496"/>
          <w:sz w:val="26"/>
          <w:szCs w:val="26"/>
        </w:rPr>
        <w:t xml:space="preserve">5.5 Supplementary Data from Physical Law Books</w:t>
      </w:r>
    </w:p>
    <w:p>
      <w:pPr>
        <w:spacing w:after="140" w:before="60"/>
        <w:jc w:val="both"/>
      </w:pPr>
      <w:r>
        <w:rPr>
          <w:rFonts w:ascii="Arial" w:cs="Arial" w:eastAsia="Arial" w:hAnsi="Arial"/>
          <w:sz w:val="22"/>
          <w:szCs w:val="22"/>
        </w:rPr>
        <w:t xml:space="preserve">Any specialised Sri Lankan law books (Labour Tribunal digests, Consumer Affairs Authority rulings, specific act commentaries) that cannot be found in the datasets above can be added using a simple OCR pipeline. Photograph each page at 300 DPI using Adobe Scan or Microsoft Lens, run OCR using Tesseract (free, open source), post-process with a legal spell-checker, parse into JSON with the schema {act_name, section_number, section_text, year_enacted}, embed with Legal-BERT, and add to the ChromaDB statute collection. This is straightforward and requires no GPU.</w:t>
      </w:r>
    </w:p>
    <w:p>
      <w:pPr>
        <w:spacing w:after="120" w:before="0"/>
      </w:pPr>
      <w:r>
        <w:t xml:space="preserve"/>
      </w:r>
    </w:p>
    <w:p>
      <w:r>
        <w:br w:type="page"/>
      </w:r>
    </w:p>
    <w:p>
      <w:pPr>
        <w:pStyle w:val="Heading1"/>
        <w:pBdr>
          <w:bottom w:val="single" w:color="4472C4" w:sz="8" w:space="4"/>
        </w:pBdr>
        <w:spacing w:after="160" w:before="400"/>
      </w:pPr>
      <w:r>
        <w:rPr>
          <w:rFonts w:ascii="Arial" w:cs="Arial" w:eastAsia="Arial" w:hAnsi="Arial"/>
          <w:b/>
          <w:bCs/>
          <w:color w:val="1F3864"/>
          <w:sz w:val="32"/>
          <w:szCs w:val="32"/>
        </w:rPr>
        <w:t xml:space="preserve">6. Module Curriculum Technology Map</w:t>
      </w:r>
    </w:p>
    <w:p>
      <w:pPr>
        <w:spacing w:after="140" w:before="60"/>
        <w:jc w:val="both"/>
      </w:pPr>
      <w:r>
        <w:rPr>
          <w:rFonts w:ascii="Arial" w:cs="Arial" w:eastAsia="Arial" w:hAnsi="Arial"/>
          <w:sz w:val="22"/>
          <w:szCs w:val="22"/>
        </w:rPr>
        <w:t xml:space="preserve">Every technology covered in the Advanced AI module is used in LexAI for a principled reason, not as a checkbox. The following table maps each course topic to its concrete role in the system.</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26"/>
        <w:gridCol w:w="4200"/>
      </w:tblGrid>
      <w:tr>
        <w:tc>
          <w:tcPr>
            <w:tcW w:type="dxa" w:w="2200"/>
            <w:tcBorders>
              <w:top w:val="single" w:color="4472C4" w:sz="1"/>
              <w:left w:val="single" w:color="4472C4" w:sz="1"/>
              <w:bottom w:val="single" w:color="4472C4" w:sz="1"/>
              <w:right w:val="single" w:color="4472C4" w:sz="1"/>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Module Topic</w:t>
            </w:r>
          </w:p>
        </w:tc>
        <w:tc>
          <w:tcPr>
            <w:tcW w:type="dxa" w:w="2626"/>
            <w:tcBorders>
              <w:top w:val="single" w:color="4472C4" w:sz="1"/>
              <w:left w:val="single" w:color="4472C4" w:sz="1"/>
              <w:bottom w:val="single" w:color="4472C4" w:sz="1"/>
              <w:right w:val="single" w:color="4472C4" w:sz="1"/>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Component in LexAI</w:t>
            </w:r>
          </w:p>
        </w:tc>
        <w:tc>
          <w:tcPr>
            <w:tcW w:type="dxa" w:w="4200"/>
            <w:tcBorders>
              <w:top w:val="single" w:color="4472C4" w:sz="1"/>
              <w:left w:val="single" w:color="4472C4" w:sz="1"/>
              <w:bottom w:val="single" w:color="4472C4" w:sz="1"/>
              <w:right w:val="single" w:color="4472C4" w:sz="1"/>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Specific Technical Role</w:t>
            </w:r>
          </w:p>
        </w:tc>
      </w:tr>
      <w:tr>
        <w:tc>
          <w:tcPr>
            <w:tcW w:type="dxa" w:w="220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Arial" w:cs="Arial" w:eastAsia="Arial" w:hAnsi="Arial"/>
                <w:b/>
                <w:bCs/>
                <w:color w:val="375623"/>
                <w:sz w:val="20"/>
                <w:szCs w:val="20"/>
              </w:rPr>
              <w:t xml:space="preserve">Tokenisation</w:t>
            </w:r>
          </w:p>
        </w:tc>
        <w:tc>
          <w:tcPr>
            <w:tcW w:type="dxa" w:w="26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Legal-BERT WordPiece tokeniser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Domain-specific subword tokenisation pre-trained on legal vocabulary. Correctly handles 'prima facie', 'tort', 'inter alia' as known legal terms rather than splitting them into meaningless fragments.</w:t>
            </w:r>
          </w:p>
        </w:tc>
      </w:tr>
      <w:tr>
        <w:tc>
          <w:tcPr>
            <w:tcW w:type="dxa" w:w="220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Arial" w:cs="Arial" w:eastAsia="Arial" w:hAnsi="Arial"/>
                <w:b/>
                <w:bCs/>
                <w:color w:val="375623"/>
                <w:sz w:val="20"/>
                <w:szCs w:val="20"/>
              </w:rPr>
              <w:t xml:space="preserve">Word embeddings</w:t>
            </w:r>
          </w:p>
        </w:tc>
        <w:tc>
          <w:tcPr>
            <w:tcW w:type="dxa" w:w="26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Legal-BERT contextual token embeddings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768-dimensional contextual embeddings where the same word has different vector representations in different legal contexts. [CLS] token embedding encodes the meaning of the entire legal query as a single vector.</w:t>
            </w:r>
          </w:p>
        </w:tc>
      </w:tr>
      <w:tr>
        <w:tc>
          <w:tcPr>
            <w:tcW w:type="dxa" w:w="220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Arial" w:cs="Arial" w:eastAsia="Arial" w:hAnsi="Arial"/>
                <w:b/>
                <w:bCs/>
                <w:color w:val="375623"/>
                <w:sz w:val="20"/>
                <w:szCs w:val="20"/>
              </w:rPr>
              <w:t xml:space="preserve">Vector database / ChromaDB</w:t>
            </w:r>
          </w:p>
        </w:tc>
        <w:tc>
          <w:tcPr>
            <w:tcW w:type="dxa" w:w="26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ChromaDB statute and precedent indices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Two separate collections: one for statute sections (black-letter law), one for court precedents (how courts applied the law). Cosine similarity search retrieves the top-8 most relevant legal passages for any query.</w:t>
            </w:r>
          </w:p>
        </w:tc>
      </w:tr>
      <w:tr>
        <w:tc>
          <w:tcPr>
            <w:tcW w:type="dxa" w:w="22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color w:val="1F3864"/>
                <w:sz w:val="20"/>
                <w:szCs w:val="20"/>
              </w:rPr>
              <w:t xml:space="preserve">Transformer</w:t>
            </w:r>
          </w:p>
        </w:tc>
        <w:tc>
          <w:tcPr>
            <w:tcW w:type="dxa" w:w="26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Legal-BERT (nlpaueb/legal-bert-base-uncased)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IS the transformer component. 12-layer encoder with multi-head self-attention, positional encoding, and feed-forward layers. Fine-tuned on CUAD (Stage 1) then custom synthetic Q&amp;A from six Sri Lankan statutes including the Penal Code, Motor Traffic Act, and four civil ordinances (Stage 2). Performs extractive legal Q&amp;A and structured analysis generation.</w:t>
            </w:r>
          </w:p>
        </w:tc>
      </w:tr>
      <w:tr>
        <w:tc>
          <w:tcPr>
            <w:tcW w:type="dxa" w:w="2200"/>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tcPr>
          <w:p>
            <w:r>
              <w:rPr>
                <w:rFonts w:ascii="Arial" w:cs="Arial" w:eastAsia="Arial" w:hAnsi="Arial"/>
                <w:b/>
                <w:bCs/>
                <w:color w:val="7F5F00"/>
                <w:sz w:val="20"/>
                <w:szCs w:val="20"/>
              </w:rPr>
              <w:t xml:space="preserve">Autoencoder</w:t>
            </w:r>
          </w:p>
        </w:tc>
        <w:tc>
          <w:tcPr>
            <w:tcW w:type="dxa" w:w="26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Denoising situation autoencoder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Compresses the 768-dim Legal-BERT [CLS] embedding to a 256-dim latent vector z. Trained with Gaussian noise injection for robustness. The latent space clusters legally similar situations together even when phrased differently, enabling effective ChromaDB retrieval.</w:t>
            </w:r>
          </w:p>
        </w:tc>
      </w:tr>
      <w:tr>
        <w:tc>
          <w:tcPr>
            <w:tcW w:type="dxa" w:w="220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r>
              <w:rPr>
                <w:rFonts w:ascii="Arial" w:cs="Arial" w:eastAsia="Arial" w:hAnsi="Arial"/>
                <w:b/>
                <w:bCs/>
                <w:color w:val="7B2C2C"/>
                <w:sz w:val="20"/>
                <w:szCs w:val="20"/>
              </w:rPr>
              <w:t xml:space="preserve">GAN</w:t>
            </w:r>
          </w:p>
        </w:tc>
        <w:tc>
          <w:tcPr>
            <w:tcW w:type="dxa" w:w="26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GAN hallucination discriminator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Binary classifier trained adversarially to distinguish real lawyer-written legal analyses from machine-generated ones. Acts as a safety gate: any output scoring below 0.75 confidence is rejected before reaching the user. Demonstrates the generator-discriminator adversarial training loop from the module in a safety-critical real-world application.</w:t>
            </w:r>
          </w:p>
        </w:tc>
      </w:tr>
    </w:tbl>
    <w:p>
      <w:pPr>
        <w:spacing w:after="120" w:before="0"/>
      </w:pPr>
      <w:r>
        <w:t xml:space="preserve"/>
      </w:r>
    </w:p>
    <w:p>
      <w:r>
        <w:br w:type="page"/>
      </w:r>
    </w:p>
    <w:p>
      <w:pPr>
        <w:pStyle w:val="Heading1"/>
        <w:pBdr>
          <w:bottom w:val="single" w:color="4472C4" w:sz="8" w:space="4"/>
        </w:pBdr>
        <w:spacing w:after="160" w:before="400"/>
      </w:pPr>
      <w:r>
        <w:rPr>
          <w:rFonts w:ascii="Arial" w:cs="Arial" w:eastAsia="Arial" w:hAnsi="Arial"/>
          <w:b/>
          <w:bCs/>
          <w:color w:val="1F3864"/>
          <w:sz w:val="32"/>
          <w:szCs w:val="32"/>
        </w:rPr>
        <w:t xml:space="preserve">7. Variable Output Modes</w:t>
      </w:r>
    </w:p>
    <w:p>
      <w:pPr>
        <w:spacing w:after="140" w:before="60"/>
        <w:jc w:val="both"/>
      </w:pPr>
      <w:r>
        <w:rPr>
          <w:rFonts w:ascii="Arial" w:cs="Arial" w:eastAsia="Arial" w:hAnsi="Arial"/>
          <w:sz w:val="22"/>
          <w:szCs w:val="22"/>
        </w:rPr>
        <w:t xml:space="preserve">The same underlying legal analysis is rendered in multiple output formats, demonstrating the variable output generation capability. The output format is controlled by the language prefix token appended to the transformer input.</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26"/>
        <w:gridCol w:w="3800"/>
      </w:tblGrid>
      <w:tr>
        <w:tc>
          <w:tcPr>
            <w:tcW w:type="dxa" w:w="2000"/>
            <w:tcBorders>
              <w:top w:val="single" w:color="4472C4" w:sz="1"/>
              <w:left w:val="single" w:color="4472C4" w:sz="1"/>
              <w:bottom w:val="single" w:color="4472C4" w:sz="1"/>
              <w:right w:val="single" w:color="4472C4" w:sz="1"/>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Output Mode</w:t>
            </w:r>
          </w:p>
        </w:tc>
        <w:tc>
          <w:tcPr>
            <w:tcW w:type="dxa" w:w="3226"/>
            <w:tcBorders>
              <w:top w:val="single" w:color="4472C4" w:sz="1"/>
              <w:left w:val="single" w:color="4472C4" w:sz="1"/>
              <w:bottom w:val="single" w:color="4472C4" w:sz="1"/>
              <w:right w:val="single" w:color="4472C4" w:sz="1"/>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Description</w:t>
            </w:r>
          </w:p>
        </w:tc>
        <w:tc>
          <w:tcPr>
            <w:tcW w:type="dxa" w:w="3800"/>
            <w:tcBorders>
              <w:top w:val="single" w:color="4472C4" w:sz="1"/>
              <w:left w:val="single" w:color="4472C4" w:sz="1"/>
              <w:bottom w:val="single" w:color="4472C4" w:sz="1"/>
              <w:right w:val="single" w:color="4472C4" w:sz="1"/>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Real-World Use Case</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Arial" w:cs="Arial" w:eastAsia="Arial" w:hAnsi="Arial"/>
                <w:b/>
                <w:bCs/>
                <w:color w:val="375623"/>
                <w:sz w:val="20"/>
                <w:szCs w:val="20"/>
              </w:rPr>
              <w:t xml:space="preserve">Plain rights summary</w:t>
            </w:r>
          </w:p>
        </w:tc>
        <w:tc>
          <w:tcPr>
            <w:tcW w:type="dxa" w:w="32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2-3 paragraph plain-English explanation of what the law says, what rights the user has, and what obligations apply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A tenant who does not know whether their landlord can legally increase their rent wants to understand their position before responding</w:t>
            </w:r>
          </w:p>
        </w:tc>
      </w:tr>
      <w:tr>
        <w:tc>
          <w:tcPr>
            <w:tcW w:type="dxa" w:w="200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r>
              <w:rPr>
                <w:rFonts w:ascii="Arial" w:cs="Arial" w:eastAsia="Arial" w:hAnsi="Arial"/>
                <w:b/>
                <w:bCs/>
                <w:color w:val="7B2C2C"/>
                <w:sz w:val="20"/>
                <w:szCs w:val="20"/>
              </w:rPr>
              <w:t xml:space="preserve">Adverse finding</w:t>
            </w:r>
          </w:p>
        </w:tc>
        <w:tc>
          <w:tcPr>
            <w:tcW w:type="dxa" w:w="32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Clear statement that the user has acted unlawfully, the specific provision violated, and the likely consequences they face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An employer who dismissed a worker without following the required procedure wants to understand their legal exposure before the employee files a tribunal claim</w:t>
            </w:r>
          </w:p>
        </w:tc>
      </w:tr>
      <w:tr>
        <w:tc>
          <w:tcPr>
            <w:tcW w:type="dxa" w:w="20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color w:val="1F3864"/>
                <w:sz w:val="20"/>
                <w:szCs w:val="20"/>
              </w:rPr>
              <w:t xml:space="preserve">Courtroom preparation script</w:t>
            </w:r>
          </w:p>
        </w:tc>
        <w:tc>
          <w:tcPr>
            <w:tcW w:type="dxa" w:w="32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Structured script of what to say before a magistrate, small claims court, or labour tribunal, with exact statute citations to reference orally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A person representing themselves at a Consumer Affairs Authority hearing needs to know what to say, in what order, and which law sections to cite</w:t>
            </w:r>
          </w:p>
        </w:tc>
      </w:tr>
      <w:tr>
        <w:tc>
          <w:tcPr>
            <w:tcW w:type="dxa" w:w="2000"/>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tcPr>
          <w:p>
            <w:r>
              <w:rPr>
                <w:rFonts w:ascii="Arial" w:cs="Arial" w:eastAsia="Arial" w:hAnsi="Arial"/>
                <w:b/>
                <w:bCs/>
                <w:color w:val="7F5F00"/>
                <w:sz w:val="20"/>
                <w:szCs w:val="20"/>
              </w:rPr>
              <w:t xml:space="preserve">Formal complaint letter</w:t>
            </w:r>
          </w:p>
        </w:tc>
        <w:tc>
          <w:tcPr>
            <w:tcW w:type="dxa" w:w="32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Professionally formatted written complaint citing the relevant law and requesting specific remedies, ready to submit to a court or regulatory body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A worker whose employer has not paid statutory gratuity needs a formal letter to send before escalating to the Labour Tribunal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333333"/>
                <w:sz w:val="20"/>
                <w:szCs w:val="20"/>
              </w:rPr>
              <w:t xml:space="preserve">Statute reference card</w:t>
            </w:r>
          </w:p>
        </w:tc>
        <w:tc>
          <w:tcPr>
            <w:tcW w:type="dxa" w:w="32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Compact list of the specific Act, section, and subsection numbers most relevant to the situation, suitable for printing and bringing to a legal consultation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A user attending a legal aid session wants to arrive prepared with the exact laws that apply to their case so the lawyer can immediately focus on the details</w:t>
            </w:r>
          </w:p>
        </w:tc>
      </w:tr>
    </w:tbl>
    <w:p>
      <w:pPr>
        <w:spacing w:after="120" w:before="0"/>
      </w:pPr>
      <w:r>
        <w:t xml:space="preserve"/>
      </w:r>
    </w:p>
    <w:p>
      <w:r>
        <w:br w:type="page"/>
      </w:r>
    </w:p>
    <w:p>
      <w:pPr>
        <w:pStyle w:val="Heading1"/>
        <w:pBdr>
          <w:bottom w:val="single" w:color="4472C4" w:sz="8" w:space="4"/>
        </w:pBdr>
        <w:spacing w:after="160" w:before="400"/>
      </w:pPr>
      <w:r>
        <w:rPr>
          <w:rFonts w:ascii="Arial" w:cs="Arial" w:eastAsia="Arial" w:hAnsi="Arial"/>
          <w:b/>
          <w:bCs/>
          <w:color w:val="1F3864"/>
          <w:sz w:val="32"/>
          <w:szCs w:val="32"/>
        </w:rPr>
        <w:t xml:space="preserve">8. Implementation Plan</w:t>
      </w:r>
    </w:p>
    <w:p>
      <w:pPr>
        <w:spacing w:after="140" w:before="60"/>
        <w:jc w:val="both"/>
      </w:pPr>
      <w:r>
        <w:rPr>
          <w:rFonts w:ascii="Arial" w:cs="Arial" w:eastAsia="Arial" w:hAnsi="Arial"/>
          <w:sz w:val="22"/>
          <w:szCs w:val="22"/>
        </w:rPr>
        <w:t xml:space="preserve">The project is structured into five phases across an eight-week development period. Each phase is designed to be achievable on a local machine with a consumer-grade GPU and produces a concrete deliverable.</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3526"/>
        <w:gridCol w:w="2900"/>
      </w:tblGrid>
      <w:tr>
        <w:tc>
          <w:tcPr>
            <w:tcW w:type="dxa" w:w="1300"/>
            <w:tcBorders>
              <w:top w:val="single" w:color="4472C4" w:sz="1"/>
              <w:left w:val="single" w:color="4472C4" w:sz="1"/>
              <w:bottom w:val="single" w:color="4472C4" w:sz="1"/>
              <w:right w:val="single" w:color="4472C4" w:sz="1"/>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Phase</w:t>
            </w:r>
          </w:p>
        </w:tc>
        <w:tc>
          <w:tcPr>
            <w:tcW w:type="dxa" w:w="1300"/>
            <w:tcBorders>
              <w:top w:val="single" w:color="4472C4" w:sz="1"/>
              <w:left w:val="single" w:color="4472C4" w:sz="1"/>
              <w:bottom w:val="single" w:color="4472C4" w:sz="1"/>
              <w:right w:val="single" w:color="4472C4" w:sz="1"/>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Weeks</w:t>
            </w:r>
          </w:p>
        </w:tc>
        <w:tc>
          <w:tcPr>
            <w:tcW w:type="dxa" w:w="3526"/>
            <w:tcBorders>
              <w:top w:val="single" w:color="4472C4" w:sz="1"/>
              <w:left w:val="single" w:color="4472C4" w:sz="1"/>
              <w:bottom w:val="single" w:color="4472C4" w:sz="1"/>
              <w:right w:val="single" w:color="4472C4" w:sz="1"/>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Activities</w:t>
            </w:r>
          </w:p>
        </w:tc>
        <w:tc>
          <w:tcPr>
            <w:tcW w:type="dxa" w:w="2900"/>
            <w:tcBorders>
              <w:top w:val="single" w:color="4472C4" w:sz="1"/>
              <w:left w:val="single" w:color="4472C4" w:sz="1"/>
              <w:bottom w:val="single" w:color="4472C4" w:sz="1"/>
              <w:right w:val="single" w:color="4472C4" w:sz="1"/>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Deliverable</w:t>
            </w:r>
          </w:p>
        </w:tc>
      </w:tr>
      <w:tr>
        <w:tc>
          <w:tcPr>
            <w:tcW w:type="dxa" w:w="130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Arial" w:cs="Arial" w:eastAsia="Arial" w:hAnsi="Arial"/>
                <w:b/>
                <w:bCs/>
                <w:color w:val="375623"/>
                <w:sz w:val="20"/>
                <w:szCs w:val="20"/>
              </w:rPr>
              <w:t xml:space="preserve">Phase 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1 – 2</w:t>
            </w:r>
          </w:p>
        </w:tc>
        <w:tc>
          <w:tcPr>
            <w:tcW w:type="dxa" w:w="35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Parse and ingest six target statutes from their 7 source PDFs (two versions of Prevention of Frauds; using 2024 consolidated edition) using PyMuPDF: Marriage Registration Ordinance (26 pp, 64 secs), Matrimonial Rights &amp; Inheritance (8 pp, 36 secs), Prevention of Frauds 2024 (7 pp, 19 secs), Sale of Goods Ordinance (12 pp, 59 secs), Motor Traffic Act 2024 (184 pp, 239+ secs), Penal Code (166 pp, 490 secs). Chunk each statute by section and sub-section (~907 total sections, ~920K chars). Download CUAD dataset. Stream and filter lk_acts and lk_supreme_court_judgements from Hugging Face. Load Legal-BERT tokeniser and verify it handles legal vocabulary correctly. Run basic embedding visualisation with UMAP to confirm legal domain clustering across all 6 domains.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Working dataset pipeline + UMAP embedding visualisation showing legal domain clusters</w:t>
            </w:r>
          </w:p>
        </w:tc>
      </w:tr>
      <w:tr>
        <w:tc>
          <w:tcPr>
            <w:tcW w:type="dxa" w:w="13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color w:val="1F3864"/>
                <w:sz w:val="20"/>
                <w:szCs w:val="20"/>
              </w:rPr>
              <w:t xml:space="preserve">Phase 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3</w:t>
            </w:r>
          </w:p>
        </w:tc>
        <w:tc>
          <w:tcPr>
            <w:tcW w:type="dxa" w:w="35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Stage 1 fine-tuning: fine-tune Legal-BERT on CUAD extractive QA. Use batch size 8, sequence length 512, AdamW lr=2e-5. Estimated 2-3 hours training on a consumer GPU. Evaluate on CUAD test split with Exact Match and F1 metrics.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Stage 1 fine-tuned model checkpoint with CUAD evaluation metrics (EM and F1)</w:t>
            </w:r>
          </w:p>
        </w:tc>
      </w:tr>
      <w:tr>
        <w:tc>
          <w:tcPr>
            <w:tcW w:type="dxa" w:w="1300"/>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tcPr>
          <w:p>
            <w:r>
              <w:rPr>
                <w:rFonts w:ascii="Arial" w:cs="Arial" w:eastAsia="Arial" w:hAnsi="Arial"/>
                <w:b/>
                <w:bCs/>
                <w:color w:val="7F5F00"/>
                <w:sz w:val="20"/>
                <w:szCs w:val="20"/>
              </w:rPr>
              <w:t xml:space="preserve">Phase 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4</w:t>
            </w:r>
          </w:p>
        </w:tc>
        <w:tc>
          <w:tcPr>
            <w:tcW w:type="dxa" w:w="35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Stage 2 fine-tuning: generate 1,500–2,700 synthetic Q&amp;A triplets from all six statutes (~907 sections, including adverse-finding examples for Penal Code offences and Motor Traffic penalties) and fine-tune Legal-BERT on this custom dataset. For the two largest sources (Motor Traffic Act: 184 pages; Penal Code: 166 pages), apply hierarchical chunking by Part/Chapter before section-level splitting to manage scale. Train the denoising autoencoder on Legal-BERT [CLS] embeddings. Load all six statutes’ sections plus filtered lk_acts and lk_supreme_court_judgements into ChromaDB. Verify retrieval with 10 test queries per legal domain (60 queries total across 6 domains).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Stage 2 model + trained autoencoder + populated ChromaDB with retrieval accuracy report</w:t>
            </w:r>
          </w:p>
        </w:tc>
      </w:tr>
      <w:tr>
        <w:tc>
          <w:tcPr>
            <w:tcW w:type="dxa" w:w="130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r>
              <w:rPr>
                <w:rFonts w:ascii="Arial" w:cs="Arial" w:eastAsia="Arial" w:hAnsi="Arial"/>
                <w:b/>
                <w:bCs/>
                <w:color w:val="7B2C2C"/>
                <w:sz w:val="20"/>
                <w:szCs w:val="20"/>
              </w:rPr>
              <w:t xml:space="preserve">Phase 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5 – 6</w:t>
            </w:r>
          </w:p>
        </w:tc>
        <w:tc>
          <w:tcPr>
            <w:tcW w:type="dxa" w:w="35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Train GAN discriminator on real vs generated legal text. Run adversarial training loop between Legal-BERT generator and discriminator. Build the full inference pipeline: query → encode → retrieve → generate → discriminate → output. Test impartiality with 20 adverse scenarios where the user is liable.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Trained discriminator (AUC &gt; 0.85) + complete inference pipeline + impartiality test report</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333333"/>
                <w:sz w:val="20"/>
                <w:szCs w:val="20"/>
              </w:rPr>
              <w:t xml:space="preserve">Phase 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7 – 8</w:t>
            </w:r>
          </w:p>
        </w:tc>
        <w:tc>
          <w:tcPr>
            <w:tcW w:type="dxa" w:w="35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Build Streamlit web interface with all five output modes. Conduct end-to-end evaluation with 30 test scenarios covering employment, tenancy, and consumer law — including both user-wronged and user-liable cases. Prepare live demo and final report.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Working prototype web application + evaluation report + live demonstration video</w:t>
            </w:r>
          </w:p>
        </w:tc>
      </w:tr>
    </w:tbl>
    <w:p>
      <w:pPr>
        <w:spacing w:after="120" w:before="0"/>
      </w:pPr>
      <w:r>
        <w:t xml:space="preserve"/>
      </w:r>
    </w:p>
    <w:p>
      <w:r>
        <w:br w:type="page"/>
      </w:r>
    </w:p>
    <w:p>
      <w:pPr>
        <w:pStyle w:val="Heading1"/>
        <w:pBdr>
          <w:bottom w:val="single" w:color="4472C4" w:sz="8" w:space="4"/>
        </w:pBdr>
        <w:spacing w:after="160" w:before="400"/>
      </w:pPr>
      <w:r>
        <w:rPr>
          <w:rFonts w:ascii="Arial" w:cs="Arial" w:eastAsia="Arial" w:hAnsi="Arial"/>
          <w:b/>
          <w:bCs/>
          <w:color w:val="1F3864"/>
          <w:sz w:val="32"/>
          <w:szCs w:val="32"/>
        </w:rPr>
        <w:t xml:space="preserve">9. Evaluation Framework</w:t>
      </w:r>
    </w:p>
    <w:p>
      <w:pPr>
        <w:spacing w:after="140" w:before="60"/>
        <w:jc w:val="both"/>
      </w:pPr>
      <w:r>
        <w:rPr>
          <w:rFonts w:ascii="Arial" w:cs="Arial" w:eastAsia="Arial" w:hAnsi="Arial"/>
          <w:sz w:val="22"/>
          <w:szCs w:val="22"/>
        </w:rPr>
        <w:t xml:space="preserve">LexAI is evaluated across four dimensions. Each dimension has specific quantitative and qualitative metrics appropriate for a university module project.</w:t>
      </w:r>
    </w:p>
    <w:p>
      <w:pPr>
        <w:pStyle w:val="Heading2"/>
        <w:spacing w:after="100" w:before="280"/>
      </w:pPr>
      <w:r>
        <w:rPr>
          <w:rFonts w:ascii="Arial" w:cs="Arial" w:eastAsia="Arial" w:hAnsi="Arial"/>
          <w:b/>
          <w:bCs/>
          <w:color w:val="2E5496"/>
          <w:sz w:val="26"/>
          <w:szCs w:val="26"/>
        </w:rPr>
        <w:t xml:space="preserve">9.1 Technical Accuracy</w:t>
      </w:r>
    </w:p>
    <w:p>
      <w:pPr>
        <w:pStyle w:val="ListParagraph"/>
        <w:numPr>
          <w:ilvl w:val="0"/>
          <w:numId w:val="2"/>
        </w:numPr>
        <w:spacing w:after="60" w:before="40"/>
      </w:pPr>
      <w:r>
        <w:rPr>
          <w:rFonts w:ascii="Arial" w:cs="Arial" w:eastAsia="Arial" w:hAnsi="Arial"/>
          <w:sz w:val="22"/>
          <w:szCs w:val="22"/>
        </w:rPr>
        <w:t xml:space="preserve">Exact Match (EM) and F1 score on the CUAD test split after Stage 1 fine-tuning. Target: EM &gt; 45%, F1 &gt; 70%.</w:t>
      </w:r>
    </w:p>
    <w:p>
      <w:pPr>
        <w:pStyle w:val="ListParagraph"/>
        <w:numPr>
          <w:ilvl w:val="0"/>
          <w:numId w:val="2"/>
        </w:numPr>
        <w:spacing w:after="60" w:before="40"/>
      </w:pPr>
      <w:r>
        <w:rPr>
          <w:rFonts w:ascii="Arial" w:cs="Arial" w:eastAsia="Arial" w:hAnsi="Arial"/>
          <w:sz w:val="22"/>
          <w:szCs w:val="22"/>
        </w:rPr>
        <w:t xml:space="preserve">Citation accuracy: percentage of generated outputs citing real, existing Sri Lankan statute sections with correct act names and section numbers. Target: &gt; 90%.</w:t>
      </w:r>
    </w:p>
    <w:p>
      <w:pPr>
        <w:pStyle w:val="ListParagraph"/>
        <w:numPr>
          <w:ilvl w:val="0"/>
          <w:numId w:val="2"/>
        </w:numPr>
        <w:spacing w:after="60" w:before="40"/>
      </w:pPr>
      <w:r>
        <w:rPr>
          <w:rFonts w:ascii="Arial" w:cs="Arial" w:eastAsia="Arial" w:hAnsi="Arial"/>
          <w:sz w:val="22"/>
          <w:szCs w:val="22"/>
        </w:rPr>
        <w:t xml:space="preserve">Autoencoder reconstruction loss and latent space silhouette score by legal domain (employment, tenancy, consumer). Evaluated via UMAP clustering visualisation.</w:t>
      </w:r>
    </w:p>
    <w:p>
      <w:pPr>
        <w:pStyle w:val="ListParagraph"/>
        <w:numPr>
          <w:ilvl w:val="0"/>
          <w:numId w:val="2"/>
        </w:numPr>
        <w:spacing w:after="60" w:before="40"/>
      </w:pPr>
      <w:r>
        <w:rPr>
          <w:rFonts w:ascii="Arial" w:cs="Arial" w:eastAsia="Arial" w:hAnsi="Arial"/>
          <w:sz w:val="22"/>
          <w:szCs w:val="22"/>
        </w:rPr>
        <w:t xml:space="preserve">GAN discriminator AUC on a held-out set of 200 real vs. generated examples. Target: &gt; 0.85.</w:t>
      </w:r>
    </w:p>
    <w:p>
      <w:pPr>
        <w:pStyle w:val="Heading2"/>
        <w:spacing w:after="100" w:before="280"/>
      </w:pPr>
      <w:r>
        <w:rPr>
          <w:rFonts w:ascii="Arial" w:cs="Arial" w:eastAsia="Arial" w:hAnsi="Arial"/>
          <w:b/>
          <w:bCs/>
          <w:color w:val="2E5496"/>
          <w:sz w:val="26"/>
          <w:szCs w:val="26"/>
        </w:rPr>
        <w:t xml:space="preserve">9.2 Impartiality Evaluation</w:t>
      </w:r>
    </w:p>
    <w:p>
      <w:pPr>
        <w:pStyle w:val="ListParagraph"/>
        <w:numPr>
          <w:ilvl w:val="0"/>
          <w:numId w:val="2"/>
        </w:numPr>
        <w:spacing w:after="60" w:before="40"/>
      </w:pPr>
      <w:r>
        <w:rPr>
          <w:rFonts w:ascii="Arial" w:cs="Arial" w:eastAsia="Arial" w:hAnsi="Arial"/>
          <w:sz w:val="22"/>
          <w:szCs w:val="22"/>
        </w:rPr>
        <w:t xml:space="preserve">Adverse finding rate: across 30 test scenarios where the user is legally in the wrong, the percentage of outputs that correctly identify and state this. Target: &gt; 85%.</w:t>
      </w:r>
    </w:p>
    <w:p>
      <w:pPr>
        <w:pStyle w:val="ListParagraph"/>
        <w:numPr>
          <w:ilvl w:val="0"/>
          <w:numId w:val="2"/>
        </w:numPr>
        <w:spacing w:after="60" w:before="40"/>
      </w:pPr>
      <w:r>
        <w:rPr>
          <w:rFonts w:ascii="Arial" w:cs="Arial" w:eastAsia="Arial" w:hAnsi="Arial"/>
          <w:sz w:val="22"/>
          <w:szCs w:val="22"/>
        </w:rPr>
        <w:t xml:space="preserve">Consistency test: the same legal situation is submitted twice, once framed sympathetically toward the user and once unsympathetically. The two outputs should reach the same legal conclusion. Discrepancy rate target: &lt; 10%.</w:t>
      </w:r>
    </w:p>
    <w:p>
      <w:pPr>
        <w:pStyle w:val="ListParagraph"/>
        <w:numPr>
          <w:ilvl w:val="0"/>
          <w:numId w:val="2"/>
        </w:numPr>
        <w:spacing w:after="60" w:before="40"/>
      </w:pPr>
      <w:r>
        <w:rPr>
          <w:rFonts w:ascii="Arial" w:cs="Arial" w:eastAsia="Arial" w:hAnsi="Arial"/>
          <w:sz w:val="22"/>
          <w:szCs w:val="22"/>
        </w:rPr>
        <w:t xml:space="preserve">Comparison with a human benchmark: a law student is asked to assess the same 30 adverse scenarios. LexAI's adverse finding rate is compared to the law student's assessments.</w:t>
      </w:r>
    </w:p>
    <w:p>
      <w:pPr>
        <w:pStyle w:val="Heading2"/>
        <w:spacing w:after="100" w:before="280"/>
      </w:pPr>
      <w:r>
        <w:rPr>
          <w:rFonts w:ascii="Arial" w:cs="Arial" w:eastAsia="Arial" w:hAnsi="Arial"/>
          <w:b/>
          <w:bCs/>
          <w:color w:val="2E5496"/>
          <w:sz w:val="26"/>
          <w:szCs w:val="26"/>
        </w:rPr>
        <w:t xml:space="preserve">9.3 Retrieval Quality</w:t>
      </w:r>
    </w:p>
    <w:p>
      <w:pPr>
        <w:pStyle w:val="ListParagraph"/>
        <w:numPr>
          <w:ilvl w:val="0"/>
          <w:numId w:val="2"/>
        </w:numPr>
        <w:spacing w:after="60" w:before="40"/>
      </w:pPr>
      <w:r>
        <w:rPr>
          <w:rFonts w:ascii="Arial" w:cs="Arial" w:eastAsia="Arial" w:hAnsi="Arial"/>
          <w:sz w:val="22"/>
          <w:szCs w:val="22"/>
        </w:rPr>
        <w:t xml:space="preserve">Precision@8: for 20 test queries with known ground-truth relevant statutes, the percentage of retrieved top-8 passages that are genuinely relevant. Target: Precision@8 &gt; 0.70.</w:t>
      </w:r>
    </w:p>
    <w:p>
      <w:pPr>
        <w:pStyle w:val="ListParagraph"/>
        <w:numPr>
          <w:ilvl w:val="0"/>
          <w:numId w:val="2"/>
        </w:numPr>
        <w:spacing w:after="60" w:before="40"/>
      </w:pPr>
      <w:r>
        <w:rPr>
          <w:rFonts w:ascii="Arial" w:cs="Arial" w:eastAsia="Arial" w:hAnsi="Arial"/>
          <w:sz w:val="22"/>
          <w:szCs w:val="22"/>
        </w:rPr>
        <w:t xml:space="preserve">ChromaDB query latency on local hardware. Target: &lt; 200ms per query.</w:t>
      </w:r>
    </w:p>
    <w:p>
      <w:pPr>
        <w:pStyle w:val="Heading2"/>
        <w:spacing w:after="100" w:before="280"/>
      </w:pPr>
      <w:r>
        <w:rPr>
          <w:rFonts w:ascii="Arial" w:cs="Arial" w:eastAsia="Arial" w:hAnsi="Arial"/>
          <w:b/>
          <w:bCs/>
          <w:color w:val="2E5496"/>
          <w:sz w:val="26"/>
          <w:szCs w:val="26"/>
        </w:rPr>
        <w:t xml:space="preserve">9.4 User Comprehension</w:t>
      </w:r>
    </w:p>
    <w:p>
      <w:pPr>
        <w:pStyle w:val="ListParagraph"/>
        <w:numPr>
          <w:ilvl w:val="0"/>
          <w:numId w:val="2"/>
        </w:numPr>
        <w:spacing w:after="60" w:before="40"/>
      </w:pPr>
      <w:r>
        <w:rPr>
          <w:rFonts w:ascii="Arial" w:cs="Arial" w:eastAsia="Arial" w:hAnsi="Arial"/>
          <w:sz w:val="22"/>
          <w:szCs w:val="22"/>
        </w:rPr>
        <w:t xml:space="preserve">10 participants with no legal background are given a legal scenario and the corresponding LexAI plain-language output. They are asked 5 comprehension questions about their rights and required actions. Target: &gt; 70% correct comprehension rate.</w:t>
      </w:r>
    </w:p>
    <w:p>
      <w:pPr>
        <w:pStyle w:val="ListParagraph"/>
        <w:numPr>
          <w:ilvl w:val="0"/>
          <w:numId w:val="2"/>
        </w:numPr>
        <w:spacing w:after="60" w:before="40"/>
      </w:pPr>
      <w:r>
        <w:rPr>
          <w:rFonts w:ascii="Arial" w:cs="Arial" w:eastAsia="Arial" w:hAnsi="Arial"/>
          <w:sz w:val="22"/>
          <w:szCs w:val="22"/>
        </w:rPr>
        <w:t xml:space="preserve">Qualitative feedback on clarity, trust, and willingness to use the system is collected via a structured questionnaire.</w:t>
      </w:r>
    </w:p>
    <w:p>
      <w:pPr>
        <w:spacing w:after="120" w:before="0"/>
      </w:pPr>
      <w:r>
        <w:t xml:space="preserve"/>
      </w:r>
    </w:p>
    <w:p>
      <w:r>
        <w:br w:type="page"/>
      </w:r>
    </w:p>
    <w:p>
      <w:pPr>
        <w:pStyle w:val="Heading1"/>
        <w:pBdr>
          <w:bottom w:val="single" w:color="4472C4" w:sz="8" w:space="4"/>
        </w:pBdr>
        <w:spacing w:after="160" w:before="400"/>
      </w:pPr>
      <w:r>
        <w:rPr>
          <w:rFonts w:ascii="Arial" w:cs="Arial" w:eastAsia="Arial" w:hAnsi="Arial"/>
          <w:b/>
          <w:bCs/>
          <w:color w:val="1F3864"/>
          <w:sz w:val="32"/>
          <w:szCs w:val="32"/>
        </w:rPr>
        <w:t xml:space="preserve">10. Ethical Considerations and Limitations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CE4D6" w:val="clear"/>
            <w:tcMar>
              <w:top w:type="dxa" w:w="120"/>
              <w:left w:type="dxa" w:w="200"/>
              <w:bottom w:type="dxa" w:w="120"/>
              <w:right w:type="dxa" w:w="200"/>
            </w:tcMar>
          </w:tcPr>
          <w:p>
            <w:pPr>
              <w:spacing w:after="80" w:before="0"/>
            </w:pPr>
            <w:r>
              <w:rPr>
                <w:rFonts w:ascii="Arial" w:cs="Arial" w:eastAsia="Arial" w:hAnsi="Arial"/>
                <w:b/>
                <w:bCs/>
                <w:color w:val="7B2C2C"/>
                <w:sz w:val="22"/>
                <w:szCs w:val="22"/>
              </w:rPr>
              <w:t xml:space="preserve">Explicit Scope Statement</w:t>
            </w:r>
          </w:p>
          <w:p>
            <w:pPr>
              <w:spacing w:after="0" w:before="0"/>
            </w:pPr>
            <w:r>
              <w:rPr>
                <w:rFonts w:ascii="Arial" w:cs="Arial" w:eastAsia="Arial" w:hAnsi="Arial"/>
                <w:color w:val="7B2C2C"/>
                <w:sz w:val="21"/>
                <w:szCs w:val="21"/>
              </w:rPr>
              <w:t xml:space="preserve">LexAI is a legal information and preparation tool. It is not a substitute for qualified legal representation in complex criminal or civil proceedings. Every output generated by LexAI includes a mandatory disclaimer: "This analysis is based on retrieved statute sections and does not constitute professional legal advice. For matters with significant consequences, consult a qualified Sri Lankan lawyer."</w:t>
            </w:r>
          </w:p>
        </w:tc>
      </w:tr>
    </w:tbl>
    <w:p>
      <w:pPr>
        <w:spacing w:after="120" w:before="0"/>
      </w:pPr>
      <w:r>
        <w:t xml:space="preserve"/>
      </w:r>
    </w:p>
    <w:p>
      <w:pPr>
        <w:pStyle w:val="Heading2"/>
        <w:spacing w:after="100" w:before="280"/>
      </w:pPr>
      <w:r>
        <w:rPr>
          <w:rFonts w:ascii="Arial" w:cs="Arial" w:eastAsia="Arial" w:hAnsi="Arial"/>
          <w:b/>
          <w:bCs/>
          <w:color w:val="2E5496"/>
          <w:sz w:val="26"/>
          <w:szCs w:val="26"/>
        </w:rPr>
        <w:t xml:space="preserve">10.1 Hallucination Risk</w:t>
      </w:r>
    </w:p>
    <w:p>
      <w:pPr>
        <w:spacing w:after="140" w:before="60"/>
        <w:jc w:val="both"/>
      </w:pPr>
      <w:r>
        <w:rPr>
          <w:rFonts w:ascii="Arial" w:cs="Arial" w:eastAsia="Arial" w:hAnsi="Arial"/>
          <w:sz w:val="22"/>
          <w:szCs w:val="22"/>
        </w:rPr>
        <w:t xml:space="preserve">The most serious ethical risk is generating confident but incorrect legal information. LexAI addresses this through the GAN safety gate (no output below 0.75 discriminator confidence reaches the user), mandatory citation requirements, and the disclaimer framework. No system eliminates hallucination entirely, and the system's communications are transparent about this limitation.</w:t>
      </w:r>
    </w:p>
    <w:p>
      <w:pPr>
        <w:pStyle w:val="Heading2"/>
        <w:spacing w:after="100" w:before="280"/>
      </w:pPr>
      <w:r>
        <w:rPr>
          <w:rFonts w:ascii="Arial" w:cs="Arial" w:eastAsia="Arial" w:hAnsi="Arial"/>
          <w:b/>
          <w:bCs/>
          <w:color w:val="2E5496"/>
          <w:sz w:val="26"/>
          <w:szCs w:val="26"/>
        </w:rPr>
        <w:t xml:space="preserve">10.2 Data Privacy</w:t>
      </w:r>
    </w:p>
    <w:p>
      <w:pPr>
        <w:spacing w:after="140" w:before="60"/>
        <w:jc w:val="both"/>
      </w:pPr>
      <w:r>
        <w:rPr>
          <w:rFonts w:ascii="Arial" w:cs="Arial" w:eastAsia="Arial" w:hAnsi="Arial"/>
          <w:sz w:val="22"/>
          <w:szCs w:val="22"/>
        </w:rPr>
        <w:t xml:space="preserve">Users describing their legal situations may share sensitive personal information. All processing is performed locally — no query is stored after the session, and no data is transmitted to external servers. This is a direct benefit of the local GPU training and inference approach.</w:t>
      </w:r>
    </w:p>
    <w:p>
      <w:pPr>
        <w:pStyle w:val="Heading2"/>
        <w:spacing w:after="100" w:before="280"/>
      </w:pPr>
      <w:r>
        <w:rPr>
          <w:rFonts w:ascii="Arial" w:cs="Arial" w:eastAsia="Arial" w:hAnsi="Arial"/>
          <w:b/>
          <w:bCs/>
          <w:color w:val="2E5496"/>
          <w:sz w:val="26"/>
          <w:szCs w:val="26"/>
        </w:rPr>
        <w:t xml:space="preserve">10.3 Jurisdictional and Temporal Scope</w:t>
      </w:r>
    </w:p>
    <w:p>
      <w:pPr>
        <w:spacing w:after="140" w:before="60"/>
        <w:jc w:val="both"/>
      </w:pPr>
      <w:r>
        <w:rPr>
          <w:rFonts w:ascii="Arial" w:cs="Arial" w:eastAsia="Arial" w:hAnsi="Arial"/>
          <w:sz w:val="22"/>
          <w:szCs w:val="22"/>
        </w:rPr>
        <w:t xml:space="preserve">LexAI is scoped to Sri Lankan law as of its training data cutoff. Users are clearly informed that laws change, that recent amendments may not be reflected, and that for any matter with significant financial or personal consequences, consulting a qualified Sri Lankan lawyer remains the appropriate step.</w:t>
      </w:r>
    </w:p>
    <w:p>
      <w:pPr>
        <w:spacing w:after="120" w:before="0"/>
      </w:pPr>
      <w:r>
        <w:t xml:space="preserve"/>
      </w:r>
    </w:p>
    <w:p>
      <w:pPr>
        <w:pStyle w:val="Heading1"/>
        <w:pBdr>
          <w:bottom w:val="single" w:color="4472C4" w:sz="8" w:space="4"/>
        </w:pBdr>
        <w:spacing w:after="160" w:before="400"/>
      </w:pPr>
      <w:r>
        <w:rPr>
          <w:rFonts w:ascii="Arial" w:cs="Arial" w:eastAsia="Arial" w:hAnsi="Arial"/>
          <w:b/>
          <w:bCs/>
          <w:color w:val="1F3864"/>
          <w:sz w:val="32"/>
          <w:szCs w:val="32"/>
        </w:rPr>
        <w:t xml:space="preserve">11. Real-World Impact</w:t>
      </w:r>
    </w:p>
    <w:p>
      <w:pPr>
        <w:spacing w:after="140" w:before="60"/>
        <w:jc w:val="both"/>
      </w:pPr>
      <w:r>
        <w:rPr>
          <w:rFonts w:ascii="Arial" w:cs="Arial" w:eastAsia="Arial" w:hAnsi="Arial"/>
          <w:sz w:val="22"/>
          <w:szCs w:val="22"/>
        </w:rPr>
        <w:t xml:space="preserve">LexAI directly addresses four of the most common categories of everyday legal dispute in Sri Lanka:</w:t>
      </w:r>
    </w:p>
    <w:p>
      <w:pPr>
        <w:pStyle w:val="Heading3"/>
        <w:spacing w:after="80" w:before="200"/>
      </w:pPr>
      <w:r>
        <w:rPr>
          <w:rFonts w:ascii="Arial" w:cs="Arial" w:eastAsia="Arial" w:hAnsi="Arial"/>
          <w:b/>
          <w:bCs/>
          <w:color w:val="375623"/>
          <w:sz w:val="23"/>
          <w:szCs w:val="23"/>
        </w:rPr>
        <w:t xml:space="preserve">Employment disputes</w:t>
      </w:r>
    </w:p>
    <w:p>
      <w:pPr>
        <w:spacing w:after="140" w:before="60"/>
        <w:jc w:val="both"/>
      </w:pPr>
      <w:r>
        <w:rPr>
          <w:rFonts w:ascii="Arial" w:cs="Arial" w:eastAsia="Arial" w:hAnsi="Arial"/>
          <w:sz w:val="22"/>
          <w:szCs w:val="22"/>
        </w:rPr>
        <w:t xml:space="preserve">Sri Lanka's Labour Tribunal handles thousands of wrongful dismissal cases annually. Most workers who file complaints have no legal representation and are unfamiliar with the Industrial Disputes Act. LexAI can explain exactly what the Act requires for a lawful dismissal, what compensation the worker is entitled to, and critically — if the worker themselves acted in breach of contract — it will say so clearly.</w:t>
      </w:r>
    </w:p>
    <w:p>
      <w:pPr>
        <w:pStyle w:val="Heading3"/>
        <w:spacing w:after="80" w:before="200"/>
      </w:pPr>
      <w:r>
        <w:rPr>
          <w:rFonts w:ascii="Arial" w:cs="Arial" w:eastAsia="Arial" w:hAnsi="Arial"/>
          <w:b/>
          <w:bCs/>
          <w:color w:val="375623"/>
          <w:sz w:val="23"/>
          <w:szCs w:val="23"/>
        </w:rPr>
        <w:t xml:space="preserve">Tenancy disputes</w:t>
      </w:r>
    </w:p>
    <w:p>
      <w:pPr>
        <w:spacing w:after="140" w:before="60"/>
        <w:jc w:val="both"/>
      </w:pPr>
      <w:r>
        <w:rPr>
          <w:rFonts w:ascii="Arial" w:cs="Arial" w:eastAsia="Arial" w:hAnsi="Arial"/>
          <w:sz w:val="22"/>
          <w:szCs w:val="22"/>
        </w:rPr>
        <w:t xml:space="preserve">Millions of Sri Lankans rent property. Disputes over deposits, rent increases, and eviction are extremely common. Most tenants do not know what the Rent Act says about their rights, and most landlords do not know the procedures they must follow. LexAI resolves the information asymmetry on both sides, including telling landlords when their own actions have been unlawful.</w:t>
      </w:r>
    </w:p>
    <w:p>
      <w:pPr>
        <w:pStyle w:val="Heading3"/>
        <w:spacing w:after="80" w:before="200"/>
      </w:pPr>
      <w:r>
        <w:rPr>
          <w:rFonts w:ascii="Arial" w:cs="Arial" w:eastAsia="Arial" w:hAnsi="Arial"/>
          <w:b/>
          <w:bCs/>
          <w:color w:val="375623"/>
          <w:sz w:val="23"/>
          <w:szCs w:val="23"/>
        </w:rPr>
        <w:t xml:space="preserve">Consumer protection</w:t>
      </w:r>
    </w:p>
    <w:p>
      <w:pPr>
        <w:spacing w:after="140" w:before="60"/>
        <w:jc w:val="both"/>
      </w:pPr>
      <w:r>
        <w:rPr>
          <w:rFonts w:ascii="Arial" w:cs="Arial" w:eastAsia="Arial" w:hAnsi="Arial"/>
          <w:sz w:val="22"/>
          <w:szCs w:val="22"/>
        </w:rPr>
        <w:t xml:space="preserve">The Consumer Affairs Authority handles complaints about defective goods, unfair pricing, and fraudulent trade practices. Most consumers with a valid complaint never file one because they do not know how or whether they have a legal basis. LexAI can assess the situation, explain the applicable consumer protection law, and generate the complaint letter needed to initiate proceedings.</w:t>
      </w:r>
    </w:p>
    <w:p>
      <w:pPr>
        <w:pStyle w:val="Heading3"/>
        <w:spacing w:after="80" w:before="200"/>
      </w:pPr>
      <w:r>
        <w:rPr>
          <w:rFonts w:ascii="Arial" w:cs="Arial" w:eastAsia="Arial" w:hAnsi="Arial"/>
          <w:b/>
          <w:bCs/>
          <w:color w:val="375623"/>
          <w:sz w:val="23"/>
          <w:szCs w:val="23"/>
        </w:rPr>
        <w:t xml:space="preserve">Family law</w:t>
      </w:r>
    </w:p>
    <w:p>
      <w:pPr>
        <w:spacing w:after="140" w:before="60"/>
        <w:jc w:val="both"/>
      </w:pPr>
      <w:r>
        <w:rPr>
          <w:rFonts w:ascii="Arial" w:cs="Arial" w:eastAsia="Arial" w:hAnsi="Arial"/>
          <w:sz w:val="22"/>
          <w:szCs w:val="22"/>
        </w:rPr>
        <w:t xml:space="preserve">Divorce, child custody, and maintenance disputes affect a significant portion of the population. Legal aid for family matters is severely constrained. LexAI can explain the Marriage Registration Ordinance, the Maintenance Act, and the Children and Young Persons Ordinance in plain English, giving people their first honest account of what the law says about their circumstances.</w:t>
      </w:r>
    </w:p>
    <w:p>
      <w:pPr>
        <w:spacing w:after="120" w:before="0"/>
      </w:pPr>
      <w:r>
        <w:t xml:space="preserve"/>
      </w:r>
    </w:p>
    <w:p>
      <w:pPr>
        <w:pStyle w:val="Heading1"/>
        <w:pBdr>
          <w:bottom w:val="single" w:color="4472C4" w:sz="8" w:space="4"/>
        </w:pBdr>
        <w:spacing w:after="160" w:before="400"/>
      </w:pPr>
      <w:r>
        <w:rPr>
          <w:rFonts w:ascii="Arial" w:cs="Arial" w:eastAsia="Arial" w:hAnsi="Arial"/>
          <w:b/>
          <w:bCs/>
          <w:color w:val="1F3864"/>
          <w:sz w:val="32"/>
          <w:szCs w:val="32"/>
        </w:rPr>
        <w:t xml:space="preserve">12. Conclusion</w:t>
      </w:r>
    </w:p>
    <w:p>
      <w:pPr>
        <w:spacing w:after="140" w:before="60"/>
        <w:jc w:val="both"/>
      </w:pPr>
      <w:r>
        <w:rPr>
          <w:rFonts w:ascii="Arial" w:cs="Arial" w:eastAsia="Arial" w:hAnsi="Arial"/>
          <w:sz w:val="22"/>
          <w:szCs w:val="22"/>
        </w:rPr>
        <w:t xml:space="preserve">LexAI addresses one of the most consequential equity problems in Sri Lankan society: the gap between the rights the law grants and the ability of ordinary people to access and exercise those rights. By applying the full stack of NLP and deep learning technologies from the Advanced AI module — Legal-BERT as the transformer, a denoising autoencoder for situation compression, ChromaDB for dual statute and precedent retrieval, and a GAN discriminator for hallucination detection — the system demonstrates that AI can not only democratise expensive human expertise but do so more fairly.</w:t>
      </w:r>
    </w:p>
    <w:p>
      <w:pPr>
        <w:spacing w:after="140" w:before="60"/>
        <w:jc w:val="both"/>
      </w:pPr>
      <w:r>
        <w:rPr>
          <w:rFonts w:ascii="Arial" w:cs="Arial" w:eastAsia="Arial" w:hAnsi="Arial"/>
          <w:sz w:val="22"/>
          <w:szCs w:val="22"/>
        </w:rPr>
        <w:t xml:space="preserve">The fine-tuning approach is technically honest: it does not claim to train a large language model from scratch but instead demonstrates sophisticated use of transfer learning, domain adaptation, and model composition, which is how real-world legal AI systems are actually built. The dataset strategy is carefully scoped to what is achievable on local hardware without sacrificing quality. The impartiality property is not a philosophical aspiration but a measurable, testable design requirement embedded in the training data and evaluation framework.</w:t>
      </w:r>
    </w:p>
    <w:p>
      <w:pPr>
        <w:spacing w:after="140" w:before="60"/>
        <w:jc w:val="both"/>
      </w:pPr>
      <w:r>
        <w:rPr>
          <w:rFonts w:ascii="Arial" w:cs="Arial" w:eastAsia="Arial" w:hAnsi="Arial"/>
          <w:sz w:val="22"/>
          <w:szCs w:val="22"/>
        </w:rPr>
        <w:t xml:space="preserve">LexAI is original, technically rigorous, practically achievable on local hardware, and solves a problem that affects millions of real people. Every component is academically citable. Every design decision is justified by both technical and social reasoning. It is a project that is worth building.</w:t>
      </w:r>
    </w:p>
    <w:p>
      <w:pPr>
        <w:spacing w:after="200" w:before="0"/>
      </w:pPr>
      <w:r>
        <w:t xml:space="preserve"/>
      </w:r>
    </w:p>
    <w:p>
      <w:pPr>
        <w:pBdr>
          <w:top w:val="single" w:color="4472C4" w:sz="4" w:space="6"/>
        </w:pBdr>
        <w:spacing w:after="0" w:before="0"/>
        <w:jc w:val="center"/>
      </w:pPr>
      <w:r>
        <w:rPr>
          <w:rFonts w:ascii="Arial" w:cs="Arial" w:eastAsia="Arial" w:hAnsi="Arial"/>
          <w:i/>
          <w:iCs/>
          <w:color w:val="888888"/>
          <w:sz w:val="20"/>
          <w:szCs w:val="20"/>
        </w:rPr>
        <w:t xml:space="preserve">End of Proposal  —  LexAI v2.0</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tabs>
        <w:tab w:val="right" w:pos="9026"/>
      </w:tabs>
      <w:spacing w:after="0" w:before="80"/>
    </w:pPr>
    <w:r>
      <w:rPr>
        <w:rFonts w:ascii="Arial" w:cs="Arial" w:eastAsia="Arial" w:hAnsi="Arial"/>
        <w:color w:val="888888"/>
        <w:sz w:val="17"/>
        <w:szCs w:val="17"/>
      </w:rPr>
      <w:t xml:space="preserve">Faculty of Computing — Advanced AI Module</w:t>
    </w:r>
    <w:r>
      <w:rPr>
        <w:rFonts w:ascii="Arial" w:cs="Arial" w:eastAsia="Arial" w:hAnsi="Arial"/>
        <w:sz w:val="17"/>
        <w:szCs w:val="17"/>
      </w:rPr>
      <w:t xml:space="preserve">	</w:t>
    </w:r>
    <w:r>
      <w:rPr>
        <w:rFonts w:ascii="Arial" w:cs="Arial" w:eastAsia="Arial" w:hAnsi="Arial"/>
        <w:color w:val="888888"/>
        <w:sz w:val="17"/>
        <w:szCs w:val="17"/>
      </w:rPr>
      <w:t xml:space="preserve">Page </w:t>
    </w:r>
    <w:r>
      <w:rPr>
        <w:rFonts w:ascii="Arial" w:cs="Arial" w:eastAsia="Arial" w:hAnsi="Arial"/>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472C4" w:sz="6" w:space="4"/>
      </w:pBdr>
      <w:tabs>
        <w:tab w:val="right" w:pos="9026"/>
      </w:tabs>
      <w:spacing w:after="80" w:before="0"/>
    </w:pPr>
    <w:r>
      <w:rPr>
        <w:rFonts w:ascii="Arial" w:cs="Arial" w:eastAsia="Arial" w:hAnsi="Arial"/>
        <w:b/>
        <w:bCs/>
        <w:color w:val="1F3864"/>
        <w:sz w:val="18"/>
        <w:szCs w:val="18"/>
      </w:rPr>
      <w:t xml:space="preserve">LexAI — Impartial AI Legal Advisory System</w:t>
    </w:r>
    <w:r>
      <w:rPr>
        <w:rFonts w:ascii="Arial" w:cs="Arial" w:eastAsia="Arial" w:hAnsi="Arial"/>
        <w:sz w:val="18"/>
        <w:szCs w:val="18"/>
      </w:rPr>
      <w:t xml:space="preserve">	</w:t>
    </w:r>
    <w:r>
      <w:rPr>
        <w:rFonts w:ascii="Arial" w:cs="Arial" w:eastAsia="Arial" w:hAnsi="Arial"/>
        <w:color w:val="888888"/>
        <w:sz w:val="18"/>
        <w:szCs w:val="18"/>
      </w:rPr>
      <w:t xml:space="preserve">Project Proposal  |  Advanced AI Module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549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7562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2026-04-05T15:19:37.775Z</dcterms:created>
  <dcterms:modified xsi:type="dcterms:W3CDTF">2026-04-05T15:19:37.776Z</dcterms:modified>
</cp:coreProperties>
</file>

<file path=docProps/custom.xml><?xml version="1.0" encoding="utf-8"?>
<Properties xmlns="http://schemas.openxmlformats.org/officeDocument/2006/custom-properties" xmlns:vt="http://schemas.openxmlformats.org/officeDocument/2006/docPropsVTypes"/>
</file>