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044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0" w:type="dxa"/>
            <w:tcBorders>
              <w:top w:val="nil"/>
              <w:left w:val="nil"/>
              <w:bottom w:val="nil"/>
              <w:right w:val="nil"/>
            </w:tcBorders>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BDD7EE" w:themeColor="accent1" w:themeTint="66"/>
                <w:sz w:val="40"/>
                <w:szCs w:val="40"/>
                <w:shd w:val="clear" w:color="auto" w:fill="auto"/>
                <w:vertAlign w:val="baseline"/>
                <w:lang w:val="en-US" w:eastAsia="zh-CN"/>
                <w14:textFill>
                  <w14:solidFill>
                    <w14:schemeClr w14:val="accent1">
                      <w14:lumMod w14:val="40000"/>
                      <w14:lumOff w14:val="60000"/>
                    </w14:schemeClr>
                  </w14:solidFill>
                </w14:textFill>
              </w:rPr>
            </w:pPr>
            <w:bookmarkStart w:id="0" w:name="OLE_LINK2"/>
            <w:r>
              <w:rPr>
                <w:rFonts w:hint="eastAsia" w:ascii="微软雅黑" w:hAnsi="微软雅黑" w:eastAsia="微软雅黑" w:cs="微软雅黑"/>
                <w:b/>
                <w:bCs/>
                <w:color w:val="BDD7EE" w:themeColor="accent1" w:themeTint="66"/>
                <w:sz w:val="40"/>
                <w:szCs w:val="40"/>
                <w:shd w:val="clear" w:color="auto" w:fill="auto"/>
                <w:lang w:val="en-US" w:eastAsia="zh-CN"/>
                <w14:textFill>
                  <w14:solidFill>
                    <w14:schemeClr w14:val="accent1">
                      <w14:lumMod w14:val="40000"/>
                      <w14:lumOff w14:val="60000"/>
                    </w14:schemeClr>
                  </w14:solidFill>
                </w14:textFill>
              </w:rPr>
              <w:t>TO READERS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0" w:type="dxa"/>
            <w:tcBorders>
              <w:top w:val="nil"/>
              <w:left w:val="nil"/>
              <w:bottom w:val="nil"/>
              <w:right w:val="nil"/>
            </w:tcBorders>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BDD7EE" w:themeColor="accent1" w:themeTint="66"/>
                <w:sz w:val="40"/>
                <w:szCs w:val="40"/>
                <w:shd w:val="clear" w:color="auto" w:fill="auto"/>
                <w:vertAlign w:val="baseline"/>
                <w:lang w:val="en-US" w:eastAsia="zh-CN"/>
                <w14:textFill>
                  <w14:solidFill>
                    <w14:schemeClr w14:val="accent1">
                      <w14:lumMod w14:val="40000"/>
                      <w14:lumOff w14:val="60000"/>
                    </w14:schemeClr>
                  </w14:solidFill>
                </w14:textFill>
              </w:rPr>
            </w:pPr>
            <w:r>
              <w:rPr>
                <w:rFonts w:hint="eastAsia" w:ascii="微软雅黑" w:hAnsi="微软雅黑" w:eastAsia="微软雅黑" w:cs="微软雅黑"/>
                <w:b/>
                <w:bCs/>
                <w:color w:val="2E75B6" w:themeColor="accent1" w:themeShade="BF"/>
                <w:sz w:val="40"/>
                <w:szCs w:val="40"/>
                <w:shd w:val="clear" w:color="auto" w:fill="auto"/>
                <w:lang w:val="en-US" w:eastAsia="zh-CN"/>
              </w:rPr>
              <w:t>致读者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0" w:type="dxa"/>
            <w:tcBorders>
              <w:top w:val="nil"/>
              <w:left w:val="nil"/>
              <w:bottom w:val="nil"/>
              <w:right w:val="nil"/>
            </w:tcBorders>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22"/>
                <w:szCs w:val="22"/>
                <w:shd w:val="clear" w:color="auto" w:fill="auto"/>
                <w:lang w:val="en-US" w:eastAsia="zh-CN"/>
              </w:rPr>
            </w:pPr>
            <w:r>
              <w:rPr>
                <w:rFonts w:hint="eastAsia" w:ascii="微软雅黑" w:hAnsi="微软雅黑" w:eastAsia="微软雅黑" w:cs="微软雅黑"/>
                <w:b/>
                <w:bCs/>
                <w:color w:val="auto"/>
                <w:sz w:val="21"/>
                <w:szCs w:val="21"/>
                <w:shd w:val="clear" w:color="auto" w:fill="auto"/>
                <w:lang w:val="en-US" w:eastAsia="zh-CN"/>
              </w:rPr>
              <w:t>尊敬的{{name}}{{call}}：</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20"/>
                <w:szCs w:val="20"/>
                <w:shd w:val="clear" w:color="auto" w:fill="auto"/>
                <w:lang w:val="en-US" w:eastAsia="zh-CN"/>
              </w:rPr>
            </w:pPr>
            <w:r>
              <w:rPr>
                <w:rFonts w:hint="eastAsia" w:ascii="微软雅黑" w:hAnsi="微软雅黑" w:eastAsia="微软雅黑" w:cs="微软雅黑"/>
                <w:color w:val="auto"/>
                <w:sz w:val="20"/>
                <w:szCs w:val="20"/>
                <w:shd w:val="clear" w:color="auto" w:fill="auto"/>
                <w:lang w:val="en-US" w:eastAsia="zh-CN"/>
              </w:rPr>
              <w:t>您好！</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BDD7EE" w:themeColor="accent1" w:themeTint="66"/>
                <w:sz w:val="40"/>
                <w:szCs w:val="40"/>
                <w:shd w:val="clear" w:color="auto" w:fill="auto"/>
                <w:vertAlign w:val="baseline"/>
                <w:lang w:val="en-US" w:eastAsia="zh-CN"/>
                <w14:textFill>
                  <w14:solidFill>
                    <w14:schemeClr w14:val="accent1">
                      <w14:lumMod w14:val="40000"/>
                      <w14:lumOff w14:val="60000"/>
                    </w14:schemeClr>
                  </w14:solidFill>
                </w14:textFill>
              </w:rPr>
            </w:pPr>
            <w:r>
              <w:rPr>
                <w:rFonts w:hint="eastAsia" w:ascii="微软雅黑" w:hAnsi="微软雅黑" w:eastAsia="微软雅黑" w:cs="微软雅黑"/>
                <w:color w:val="auto"/>
                <w:sz w:val="20"/>
                <w:szCs w:val="20"/>
                <w:shd w:val="clear" w:color="auto" w:fill="auto"/>
                <w:lang w:val="en-US" w:eastAsia="zh-CN"/>
              </w:rPr>
              <w:t>感谢您的选择和信任！</w:t>
            </w:r>
          </w:p>
        </w:tc>
      </w:tr>
    </w:tbl>
    <w:p>
      <w:pPr>
        <w:rPr>
          <w:rFonts w:hint="eastAsia" w:ascii="微软雅黑" w:hAnsi="微软雅黑" w:eastAsia="微软雅黑" w:cs="微软雅黑"/>
          <w:color w:val="auto"/>
          <w:sz w:val="20"/>
          <w:szCs w:val="20"/>
          <w:shd w:val="clear" w:color="auto" w:fill="auto"/>
          <w:lang w:val="en-US" w:eastAsia="zh-CN"/>
        </w:rPr>
      </w:pPr>
    </w:p>
    <w:tbl>
      <w:tblPr>
        <w:tblStyle w:val="11"/>
        <w:tblW w:w="1047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6"/>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6" w:hRule="atLeast"/>
        </w:trPr>
        <w:tc>
          <w:tcPr>
            <w:tcW w:w="5226" w:type="dxa"/>
            <w:tcBorders>
              <w:top w:val="nil"/>
              <w:left w:val="nil"/>
              <w:bottom w:val="nil"/>
              <w:right w:val="nil"/>
            </w:tcBorders>
          </w:tcPr>
          <w:p>
            <w:pPr>
              <w:keepNext w:val="0"/>
              <w:keepLines w:val="0"/>
              <w:suppressLineNumbers w:val="0"/>
              <w:spacing w:before="0" w:beforeAutospacing="0" w:after="0" w:afterAutospacing="0"/>
              <w:ind w:left="0" w:right="0" w:firstLine="420" w:firstLineChars="200"/>
              <w:rPr>
                <w:rFonts w:hint="eastAsia" w:ascii="微软雅黑" w:hAnsi="微软雅黑" w:eastAsia="微软雅黑" w:cs="微软雅黑"/>
                <w:b w:val="0"/>
                <w:bCs w:val="0"/>
                <w:i w:val="0"/>
                <w:iCs w:val="0"/>
                <w:caps w:val="0"/>
                <w:color w:val="auto"/>
                <w:spacing w:val="15"/>
                <w:sz w:val="18"/>
                <w:szCs w:val="18"/>
                <w:shd w:val="clear" w:color="auto" w:fill="auto"/>
              </w:rPr>
            </w:pPr>
            <w:r>
              <w:rPr>
                <w:rFonts w:hint="eastAsia" w:ascii="微软雅黑" w:hAnsi="微软雅黑" w:eastAsia="微软雅黑" w:cs="微软雅黑"/>
                <w:b w:val="0"/>
                <w:bCs w:val="0"/>
                <w:i w:val="0"/>
                <w:iCs w:val="0"/>
                <w:caps w:val="0"/>
                <w:color w:val="auto"/>
                <w:spacing w:val="15"/>
                <w:sz w:val="18"/>
                <w:szCs w:val="18"/>
                <w:shd w:val="clear" w:color="auto" w:fill="auto"/>
              </w:rPr>
              <w:t>安智因生物是国内首批将基因测序技术实现临床应用转化的践行者，公司以高通量测序技术及先进的生物信息学分析为基础，全面布局遗传病分子诊断领域，旨在为临床提供遗传病检测的整体解决方案，产品覆盖遗传性心血管病、肾病、血液病、遗传性肿瘤的临床检测服务，以及个体化用药指导检测与肿瘤分子检测等领域，同时开展体外诊断试剂盒的开发、生产与注册，致力于成为全球领先的遗传病检测全流程产品及服务提供商。旗下设立2家标准GMP厂、4家医学检验所、10余家区域标杆精准医学中心及60余家三甲医院LDT联合实验室，拥有世界一流分子生物学硬件与生物信息分析能力。安智因生物与国内外多家知名医疗机构建立了长期稳定的合作，覆盖全国50余城市。</w:t>
            </w:r>
          </w:p>
          <w:p>
            <w:pPr>
              <w:keepNext w:val="0"/>
              <w:keepLines w:val="0"/>
              <w:suppressLineNumbers w:val="0"/>
              <w:spacing w:before="0" w:beforeAutospacing="0" w:after="0" w:afterAutospacing="0"/>
              <w:ind w:left="0" w:right="0" w:firstLine="210" w:firstLineChars="100"/>
              <w:rPr>
                <w:rFonts w:hint="eastAsia" w:ascii="微软雅黑" w:hAnsi="微软雅黑" w:eastAsia="微软雅黑" w:cs="微软雅黑"/>
                <w:b w:val="0"/>
                <w:bCs w:val="0"/>
                <w:i w:val="0"/>
                <w:iCs w:val="0"/>
                <w:caps w:val="0"/>
                <w:color w:val="auto"/>
                <w:spacing w:val="15"/>
                <w:sz w:val="18"/>
                <w:szCs w:val="18"/>
                <w:shd w:val="clear" w:color="auto" w:fill="auto"/>
                <w:lang w:val="en-US" w:eastAsia="zh-CN"/>
              </w:rPr>
            </w:pPr>
          </w:p>
          <w:p>
            <w:pPr>
              <w:keepNext w:val="0"/>
              <w:keepLines w:val="0"/>
              <w:suppressLineNumbers w:val="0"/>
              <w:spacing w:before="0" w:beforeAutospacing="0" w:after="0" w:afterAutospacing="0"/>
              <w:ind w:left="0" w:right="0" w:firstLine="0" w:firstLineChars="0"/>
              <w:rPr>
                <w:rFonts w:hint="default" w:ascii="微软雅黑" w:hAnsi="微软雅黑" w:eastAsia="微软雅黑" w:cs="微软雅黑"/>
                <w:b w:val="0"/>
                <w:bCs w:val="0"/>
                <w:color w:val="auto"/>
                <w:sz w:val="18"/>
                <w:szCs w:val="18"/>
                <w:shd w:val="clear" w:color="auto" w:fill="auto"/>
                <w:vertAlign w:val="baseline"/>
                <w:lang w:val="en-US" w:eastAsia="zh-CN"/>
              </w:rPr>
            </w:pPr>
            <w:r>
              <w:rPr>
                <w:rFonts w:hint="eastAsia" w:ascii="微软雅黑" w:hAnsi="微软雅黑" w:eastAsia="微软雅黑" w:cs="微软雅黑"/>
                <w:b w:val="0"/>
                <w:bCs w:val="0"/>
                <w:color w:val="auto"/>
                <w:sz w:val="18"/>
                <w:szCs w:val="18"/>
                <w:shd w:val="clear" w:color="auto" w:fill="auto"/>
                <w:vertAlign w:val="baseline"/>
                <w:lang w:val="en-US" w:eastAsia="zh-CN"/>
              </w:rPr>
              <w:t>欲知更多详情，请访问公司网址：http://www.anngeen.com/</w:t>
            </w:r>
          </w:p>
        </w:tc>
        <w:tc>
          <w:tcPr>
            <w:tcW w:w="5244" w:type="dxa"/>
            <w:tcBorders>
              <w:top w:val="nil"/>
              <w:left w:val="nil"/>
              <w:bottom w:val="nil"/>
              <w:right w:val="nil"/>
            </w:tcBorders>
            <w:shd w:val="clear" w:color="auto" w:fill="2E75B5" w:themeFill="accent1" w:themeFillShade="BF"/>
            <w:vAlign w:val="top"/>
          </w:tcPr>
          <w:p>
            <w:pPr>
              <w:keepNext w:val="0"/>
              <w:keepLines w:val="0"/>
              <w:suppressLineNumbers w:val="0"/>
              <w:spacing w:before="0" w:beforeAutospacing="0" w:after="0" w:afterAutospacing="0"/>
              <w:ind w:left="0" w:right="0" w:firstLine="0" w:firstLineChars="0"/>
              <w:rPr>
                <w:rFonts w:hint="default"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pPr>
            <w:r>
              <w:rPr>
                <w:rFonts w:hint="eastAsia"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肺癌是发病率和死亡率增长最快，对人类健康和生命</w:t>
            </w:r>
            <w:r>
              <w:rPr>
                <w:rFonts w:hint="default"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威胁最大的恶性肿瘤之一。常见肺癌包括非小细胞肺癌和小细胞肺癌，其中非小细胞肺癌约占肺癌总数的80-85%。非小细胞肺癌主要包括腺癌（32-40%）、鳞癌（25-30%）和大细胞癌（8-16%）三种病理类型。随着对肺癌治疗和发病机理的深入研究，非小细胞肺癌的治疗已进入以生物标志物为指导的精准治疗时代。国内外指南推荐检测的生物标志物如：EGFR、KRAS、ERBB2、BRAF等基因突变，ALK、ROS1、RET和NTRK等基因融合，MET扩增和MET基因14号外显子跳跃突变等，以及PD-L1表达和TMB。此外，还有大量尚未纳入指南但是有临床试验级别证据的标志物，以及其他适应症的标志物。对以上生物标志物进行检测，不仅能够指导肺癌患者的靶向治疗，而且可以提示免疫治疗的效果，有助于临床找到合适的治疗方案。</w:t>
            </w:r>
          </w:p>
          <w:p>
            <w:pPr>
              <w:keepNext w:val="0"/>
              <w:keepLines w:val="0"/>
              <w:suppressLineNumbers w:val="0"/>
              <w:spacing w:before="0" w:beforeAutospacing="0" w:after="0" w:afterAutospacing="0"/>
              <w:ind w:left="0" w:right="0"/>
              <w:rPr>
                <w:rFonts w:hint="eastAsia" w:ascii="微软雅黑" w:hAnsi="微软雅黑" w:eastAsia="微软雅黑" w:cs="微软雅黑"/>
                <w:b w:val="0"/>
                <w:bCs w:val="0"/>
                <w:color w:val="auto"/>
                <w:sz w:val="18"/>
                <w:szCs w:val="18"/>
                <w:shd w:val="clear" w:color="auto" w:fill="auto"/>
                <w:vertAlign w:val="baseline"/>
                <w:lang w:val="en-US" w:eastAsia="zh-CN"/>
              </w:rPr>
            </w:pPr>
            <w:r>
              <w:rPr>
                <w:rFonts w:hint="default"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您的赤诚相待，我们必定全力以赴！</w:t>
            </w:r>
            <w:r>
              <w:rPr>
                <w:rFonts w:hint="eastAsia"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安智因</w:t>
            </w:r>
            <w:r>
              <w:rPr>
                <w:rFonts w:hint="default"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团队将与您一起并肩作战，用科学的方法为您保驾护航，祝愿您能早日康</w:t>
            </w:r>
            <w:r>
              <w:rPr>
                <w:rFonts w:hint="eastAsia" w:ascii="微软雅黑" w:hAnsi="微软雅黑" w:eastAsia="微软雅黑" w:cs="微软雅黑"/>
                <w:b w:val="0"/>
                <w:bCs w:val="0"/>
                <w:i w:val="0"/>
                <w:iCs w:val="0"/>
                <w:caps w:val="0"/>
                <w:color w:val="FFFFFF" w:themeColor="background1"/>
                <w:spacing w:val="15"/>
                <w:sz w:val="18"/>
                <w:szCs w:val="18"/>
                <w:shd w:val="clear" w:color="auto" w:fill="auto"/>
                <w:lang w:val="en-US" w:eastAsia="zh-CN"/>
                <w14:textFill>
                  <w14:solidFill>
                    <w14:schemeClr w14:val="bg1"/>
                  </w14:solidFill>
                </w14:textFill>
              </w:rPr>
              <w:t>！</w:t>
            </w:r>
          </w:p>
        </w:tc>
      </w:tr>
    </w:tbl>
    <w:p>
      <w:pPr>
        <w:rPr>
          <w:rFonts w:hint="eastAsia" w:ascii="微软雅黑" w:hAnsi="微软雅黑" w:eastAsia="微软雅黑" w:cs="微软雅黑"/>
          <w:color w:val="auto"/>
          <w:sz w:val="18"/>
          <w:szCs w:val="18"/>
          <w:shd w:val="clear" w:color="auto" w:fill="auto"/>
          <w:lang w:val="en-US" w:eastAsia="zh-CN"/>
        </w:rPr>
      </w:pPr>
    </w:p>
    <w:p>
      <w:pPr>
        <w:jc w:val="right"/>
        <w:rPr>
          <w:rFonts w:hint="default" w:ascii="微软雅黑" w:hAnsi="微软雅黑" w:eastAsia="微软雅黑" w:cs="微软雅黑"/>
          <w:color w:val="2E75B6" w:themeColor="accent1" w:themeShade="BF"/>
          <w:sz w:val="21"/>
          <w:szCs w:val="21"/>
          <w:shd w:val="clear" w:color="auto" w:fill="auto"/>
          <w:lang w:val="en-US" w:eastAsia="zh-CN"/>
        </w:rPr>
      </w:pPr>
      <w:r>
        <w:rPr>
          <w:rFonts w:hint="eastAsia" w:ascii="微软雅黑" w:hAnsi="微软雅黑" w:eastAsia="微软雅黑" w:cs="微软雅黑"/>
          <w:b/>
          <w:bCs/>
          <w:color w:val="2E75B6" w:themeColor="accent1" w:themeShade="BF"/>
          <w:sz w:val="21"/>
          <w:szCs w:val="21"/>
          <w:shd w:val="clear" w:color="auto" w:fill="auto"/>
          <w:lang w:val="en-US" w:eastAsia="zh-CN"/>
        </w:rPr>
        <w:t>安智因全体员工致</w:t>
      </w:r>
    </w:p>
    <w:p>
      <w:pPr>
        <w:rPr>
          <w:rFonts w:hint="eastAsia" w:ascii="微软雅黑" w:hAnsi="微软雅黑" w:eastAsia="微软雅黑" w:cs="微软雅黑"/>
          <w:color w:val="auto"/>
          <w:sz w:val="21"/>
          <w:szCs w:val="21"/>
          <w:shd w:val="clear" w:color="auto" w:fill="auto"/>
          <w:lang w:val="en-US" w:eastAsia="zh-CN"/>
        </w:rPr>
      </w:pPr>
      <w:r>
        <w:rPr>
          <w:rFonts w:hint="eastAsia" w:ascii="微软雅黑" w:hAnsi="微软雅黑" w:eastAsia="微软雅黑" w:cs="微软雅黑"/>
          <w:color w:val="auto"/>
          <w:sz w:val="21"/>
          <w:szCs w:val="21"/>
          <w:shd w:val="clear" w:color="auto" w:fill="auto"/>
          <w:lang w:val="en-US" w:eastAsia="zh-CN"/>
        </w:rPr>
        <w:br w:type="page"/>
      </w:r>
    </w:p>
    <w:bookmarkEnd w:id="0"/>
    <w:p>
      <w:pPr>
        <w:rPr>
          <w:rFonts w:hint="eastAsia" w:ascii="微软雅黑" w:hAnsi="微软雅黑" w:eastAsia="微软雅黑" w:cs="微软雅黑"/>
          <w:color w:val="auto"/>
          <w:sz w:val="21"/>
          <w:szCs w:val="21"/>
          <w:shd w:val="clear" w:color="auto" w:fill="auto"/>
          <w:lang w:val="en-US" w:eastAsia="zh-CN"/>
        </w:rPr>
      </w:pPr>
    </w:p>
    <w:sdt>
      <w:sdtPr>
        <w:rPr>
          <w:rFonts w:ascii="宋体" w:hAnsi="宋体" w:eastAsia="宋体" w:cstheme="minorBidi"/>
          <w:kern w:val="2"/>
          <w:sz w:val="21"/>
          <w:szCs w:val="24"/>
          <w:lang w:val="en-US" w:eastAsia="zh-CN" w:bidi="ar-SA"/>
        </w:rPr>
        <w:id w:val="14747713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 w:name="_Toc16329"/>
          <w:r>
            <w:rPr>
              <w:rFonts w:hint="eastAsia" w:ascii="微软雅黑" w:hAnsi="微软雅黑" w:eastAsia="微软雅黑" w:cs="微软雅黑"/>
              <w:b/>
              <w:bCs/>
              <w:color w:val="2E75B6" w:themeColor="accent1" w:themeShade="BF"/>
              <w:sz w:val="32"/>
              <w:szCs w:val="32"/>
            </w:rPr>
            <w:t>目</w:t>
          </w:r>
          <w:r>
            <w:rPr>
              <w:rFonts w:hint="eastAsia" w:ascii="微软雅黑" w:hAnsi="微软雅黑" w:eastAsia="微软雅黑" w:cs="微软雅黑"/>
              <w:b/>
              <w:bCs/>
              <w:color w:val="2E75B6" w:themeColor="accent1" w:themeShade="BF"/>
              <w:sz w:val="32"/>
              <w:szCs w:val="32"/>
              <w:lang w:val="en-US" w:eastAsia="zh-CN"/>
            </w:rPr>
            <w:t xml:space="preserve"> </w:t>
          </w:r>
          <w:r>
            <w:rPr>
              <w:rFonts w:hint="eastAsia" w:ascii="微软雅黑" w:hAnsi="微软雅黑" w:eastAsia="微软雅黑" w:cs="微软雅黑"/>
              <w:b/>
              <w:bCs/>
              <w:color w:val="2E75B6" w:themeColor="accent1" w:themeShade="BF"/>
              <w:sz w:val="32"/>
              <w:szCs w:val="32"/>
            </w:rPr>
            <w:t>录</w:t>
          </w:r>
        </w:p>
        <w:p>
          <w:pPr>
            <w:pStyle w:val="8"/>
            <w:tabs>
              <w:tab w:val="right" w:leader="dot" w:pos="10466"/>
            </w:tabs>
          </w:pPr>
          <w:r>
            <w:fldChar w:fldCharType="begin"/>
          </w:r>
          <w:r>
            <w:instrText xml:space="preserve">TOC \o "1-1" \h \u </w:instrText>
          </w:r>
          <w:r>
            <w:fldChar w:fldCharType="separate"/>
          </w:r>
          <w:r>
            <w:fldChar w:fldCharType="begin"/>
          </w:r>
          <w:r>
            <w:instrText xml:space="preserve"> HYPERLINK \l _Toc24925 </w:instrText>
          </w:r>
          <w:r>
            <w:fldChar w:fldCharType="separate"/>
          </w:r>
          <w:r>
            <w:rPr>
              <w:rFonts w:hint="eastAsia" w:ascii="微软雅黑" w:hAnsi="微软雅黑" w:eastAsia="微软雅黑" w:cs="微软雅黑"/>
              <w:color w:val="044A91" w:themeColor="hyperlink" w:themeShade="BF"/>
              <w:lang w:val="en-US" w:eastAsia="zh-CN"/>
            </w:rPr>
            <w:t>基本信息</w:t>
          </w:r>
          <w:r>
            <w:tab/>
          </w:r>
          <w:r>
            <w:fldChar w:fldCharType="begin"/>
          </w:r>
          <w:r>
            <w:instrText xml:space="preserve"> PAGEREF _Toc24925 </w:instrText>
          </w:r>
          <w:r>
            <w:fldChar w:fldCharType="separate"/>
          </w:r>
          <w:r>
            <w:t>1</w:t>
          </w:r>
          <w:r>
            <w:fldChar w:fldCharType="end"/>
          </w:r>
          <w:r>
            <w:fldChar w:fldCharType="end"/>
          </w:r>
        </w:p>
        <w:p>
          <w:pPr>
            <w:pStyle w:val="8"/>
            <w:tabs>
              <w:tab w:val="right" w:leader="dot" w:pos="10466"/>
            </w:tabs>
          </w:pPr>
          <w:r>
            <w:fldChar w:fldCharType="begin"/>
          </w:r>
          <w:r>
            <w:instrText xml:space="preserve"> HYPERLINK \l _Toc16871 </w:instrText>
          </w:r>
          <w:r>
            <w:fldChar w:fldCharType="separate"/>
          </w:r>
          <w:r>
            <w:rPr>
              <w:rFonts w:hint="eastAsia" w:ascii="微软雅黑" w:hAnsi="微软雅黑" w:eastAsia="微软雅黑" w:cs="微软雅黑"/>
              <w:color w:val="044A91" w:themeColor="hyperlink" w:themeShade="BF"/>
              <w:lang w:val="en-US" w:eastAsia="zh-CN"/>
            </w:rPr>
            <w:t>检测结果总览</w:t>
          </w:r>
          <w:r>
            <w:tab/>
          </w:r>
          <w:r>
            <w:fldChar w:fldCharType="begin"/>
          </w:r>
          <w:r>
            <w:instrText xml:space="preserve"> PAGEREF _Toc16871 </w:instrText>
          </w:r>
          <w:r>
            <w:fldChar w:fldCharType="separate"/>
          </w:r>
          <w:r>
            <w:t>2</w:t>
          </w:r>
          <w:r>
            <w:fldChar w:fldCharType="end"/>
          </w:r>
          <w:r>
            <w:fldChar w:fldCharType="end"/>
          </w:r>
        </w:p>
        <w:p>
          <w:pPr>
            <w:pStyle w:val="8"/>
            <w:tabs>
              <w:tab w:val="right" w:leader="dot" w:pos="10466"/>
            </w:tabs>
          </w:pPr>
          <w:r>
            <w:fldChar w:fldCharType="begin"/>
          </w:r>
          <w:r>
            <w:instrText xml:space="preserve"> HYPERLINK \l _Toc4572 </w:instrText>
          </w:r>
          <w:r>
            <w:fldChar w:fldCharType="separate"/>
          </w:r>
          <w:r>
            <w:rPr>
              <w:rFonts w:hint="eastAsia" w:ascii="微软雅黑" w:hAnsi="微软雅黑" w:eastAsia="微软雅黑" w:cs="微软雅黑"/>
              <w:color w:val="044A91" w:themeColor="hyperlink" w:themeShade="BF"/>
              <w:lang w:val="en-US" w:eastAsia="zh-CN"/>
            </w:rPr>
            <w:t>核心基因变异检测结果</w:t>
          </w:r>
          <w:r>
            <w:tab/>
          </w:r>
          <w:r>
            <w:fldChar w:fldCharType="begin"/>
          </w:r>
          <w:r>
            <w:instrText xml:space="preserve"> PAGEREF _Toc4572 </w:instrText>
          </w:r>
          <w:r>
            <w:fldChar w:fldCharType="separate"/>
          </w:r>
          <w:r>
            <w:t>4</w:t>
          </w:r>
          <w:r>
            <w:fldChar w:fldCharType="end"/>
          </w:r>
          <w:r>
            <w:fldChar w:fldCharType="end"/>
          </w:r>
        </w:p>
        <w:p>
          <w:pPr>
            <w:pStyle w:val="8"/>
            <w:tabs>
              <w:tab w:val="right" w:leader="dot" w:pos="10466"/>
            </w:tabs>
          </w:pPr>
          <w:r>
            <w:fldChar w:fldCharType="begin"/>
          </w:r>
          <w:r>
            <w:instrText xml:space="preserve"> HYPERLINK \l _Toc3446 </w:instrText>
          </w:r>
          <w:r>
            <w:fldChar w:fldCharType="separate"/>
          </w:r>
          <w:r>
            <w:rPr>
              <w:rFonts w:hint="eastAsia" w:ascii="微软雅黑" w:hAnsi="微软雅黑" w:eastAsia="微软雅黑" w:cs="微软雅黑"/>
              <w:color w:val="044A91" w:themeColor="hyperlink" w:themeShade="BF"/>
              <w:lang w:val="en-US" w:eastAsia="zh-CN"/>
            </w:rPr>
            <w:t>靶向药选择小结</w:t>
          </w:r>
          <w:r>
            <w:tab/>
          </w:r>
          <w:r>
            <w:fldChar w:fldCharType="begin"/>
          </w:r>
          <w:r>
            <w:instrText xml:space="preserve"> PAGEREF _Toc3446 </w:instrText>
          </w:r>
          <w:r>
            <w:fldChar w:fldCharType="separate"/>
          </w:r>
          <w:r>
            <w:t>6</w:t>
          </w:r>
          <w:r>
            <w:fldChar w:fldCharType="end"/>
          </w:r>
          <w:r>
            <w:fldChar w:fldCharType="end"/>
          </w:r>
        </w:p>
        <w:p>
          <w:pPr>
            <w:pStyle w:val="8"/>
            <w:tabs>
              <w:tab w:val="right" w:leader="dot" w:pos="10466"/>
            </w:tabs>
          </w:pPr>
          <w:r>
            <w:fldChar w:fldCharType="begin"/>
          </w:r>
          <w:r>
            <w:instrText xml:space="preserve"> HYPERLINK \l _Toc22444 </w:instrText>
          </w:r>
          <w:r>
            <w:fldChar w:fldCharType="separate"/>
          </w:r>
          <w:r>
            <w:rPr>
              <w:rFonts w:hint="eastAsia" w:ascii="微软雅黑" w:hAnsi="微软雅黑" w:eastAsia="微软雅黑" w:cs="微软雅黑"/>
              <w:color w:val="044A91" w:themeColor="hyperlink" w:themeShade="BF"/>
              <w:lang w:val="en-US" w:eastAsia="zh-CN"/>
            </w:rPr>
            <w:t>靶向药治疗相关检测结果</w:t>
          </w:r>
          <w:r>
            <w:tab/>
          </w:r>
          <w:r>
            <w:fldChar w:fldCharType="begin"/>
          </w:r>
          <w:r>
            <w:instrText xml:space="preserve"> PAGEREF _Toc22444 </w:instrText>
          </w:r>
          <w:r>
            <w:fldChar w:fldCharType="separate"/>
          </w:r>
          <w:r>
            <w:t>7</w:t>
          </w:r>
          <w:r>
            <w:fldChar w:fldCharType="end"/>
          </w:r>
          <w:r>
            <w:fldChar w:fldCharType="end"/>
          </w:r>
        </w:p>
        <w:p>
          <w:pPr>
            <w:pStyle w:val="8"/>
            <w:tabs>
              <w:tab w:val="right" w:leader="dot" w:pos="10466"/>
            </w:tabs>
          </w:pPr>
          <w:r>
            <w:fldChar w:fldCharType="begin"/>
          </w:r>
          <w:r>
            <w:instrText xml:space="preserve"> HYPERLINK \l _Toc940 </w:instrText>
          </w:r>
          <w:r>
            <w:fldChar w:fldCharType="separate"/>
          </w:r>
          <w:r>
            <w:rPr>
              <w:rFonts w:hint="eastAsia" w:ascii="微软雅黑" w:hAnsi="微软雅黑" w:eastAsia="微软雅黑" w:cs="微软雅黑"/>
              <w:color w:val="044A91" w:themeColor="hyperlink" w:themeShade="BF"/>
              <w:lang w:val="en-US" w:eastAsia="zh-CN"/>
            </w:rPr>
            <w:t>免疫治疗相关检测结果</w:t>
          </w:r>
          <w:r>
            <w:tab/>
          </w:r>
          <w:r>
            <w:fldChar w:fldCharType="begin"/>
          </w:r>
          <w:r>
            <w:instrText xml:space="preserve"> PAGEREF _Toc940 </w:instrText>
          </w:r>
          <w:r>
            <w:fldChar w:fldCharType="separate"/>
          </w:r>
          <w:r>
            <w:t>9</w:t>
          </w:r>
          <w:r>
            <w:fldChar w:fldCharType="end"/>
          </w:r>
          <w:r>
            <w:fldChar w:fldCharType="end"/>
          </w:r>
        </w:p>
        <w:p>
          <w:pPr>
            <w:pStyle w:val="8"/>
            <w:tabs>
              <w:tab w:val="right" w:leader="dot" w:pos="10466"/>
            </w:tabs>
          </w:pPr>
          <w:r>
            <w:fldChar w:fldCharType="begin"/>
          </w:r>
          <w:r>
            <w:instrText xml:space="preserve"> HYPERLINK \l _Toc23221 </w:instrText>
          </w:r>
          <w:r>
            <w:fldChar w:fldCharType="separate"/>
          </w:r>
          <w:r>
            <w:rPr>
              <w:rFonts w:hint="eastAsia" w:ascii="微软雅黑" w:hAnsi="微软雅黑" w:eastAsia="微软雅黑" w:cs="微软雅黑"/>
              <w:color w:val="044A91" w:themeColor="hyperlink" w:themeShade="BF"/>
              <w:lang w:val="en-US" w:eastAsia="zh-CN"/>
            </w:rPr>
            <w:t>化疗药物相关多态性位点检测结果</w:t>
          </w:r>
          <w:r>
            <w:tab/>
          </w:r>
          <w:r>
            <w:fldChar w:fldCharType="begin"/>
          </w:r>
          <w:r>
            <w:instrText xml:space="preserve"> PAGEREF _Toc23221 </w:instrText>
          </w:r>
          <w:r>
            <w:fldChar w:fldCharType="separate"/>
          </w:r>
          <w:r>
            <w:t>14</w:t>
          </w:r>
          <w:r>
            <w:fldChar w:fldCharType="end"/>
          </w:r>
          <w:r>
            <w:fldChar w:fldCharType="end"/>
          </w:r>
        </w:p>
        <w:p>
          <w:pPr>
            <w:pStyle w:val="8"/>
            <w:tabs>
              <w:tab w:val="right" w:leader="dot" w:pos="10466"/>
            </w:tabs>
          </w:pPr>
          <w:r>
            <w:fldChar w:fldCharType="begin"/>
          </w:r>
          <w:r>
            <w:instrText xml:space="preserve"> HYPERLINK \l _Toc5035 </w:instrText>
          </w:r>
          <w:r>
            <w:fldChar w:fldCharType="separate"/>
          </w:r>
          <w:r>
            <w:rPr>
              <w:rFonts w:hint="eastAsia" w:ascii="微软雅黑" w:hAnsi="微软雅黑" w:eastAsia="微软雅黑" w:cs="微软雅黑"/>
              <w:color w:val="044A91" w:themeColor="hyperlink" w:themeShade="BF"/>
              <w:lang w:val="en-US" w:eastAsia="zh-CN"/>
            </w:rPr>
            <w:t>肿瘤遗传易感相关基因变异</w:t>
          </w:r>
          <w:r>
            <w:tab/>
          </w:r>
          <w:r>
            <w:fldChar w:fldCharType="begin"/>
          </w:r>
          <w:r>
            <w:instrText xml:space="preserve"> PAGEREF _Toc5035 </w:instrText>
          </w:r>
          <w:r>
            <w:fldChar w:fldCharType="separate"/>
          </w:r>
          <w:r>
            <w:t>17</w:t>
          </w:r>
          <w:r>
            <w:fldChar w:fldCharType="end"/>
          </w:r>
          <w:r>
            <w:fldChar w:fldCharType="end"/>
          </w:r>
        </w:p>
        <w:p>
          <w:pPr>
            <w:pStyle w:val="8"/>
            <w:tabs>
              <w:tab w:val="right" w:leader="dot" w:pos="10466"/>
            </w:tabs>
          </w:pPr>
          <w:r>
            <w:fldChar w:fldCharType="begin"/>
          </w:r>
          <w:r>
            <w:instrText xml:space="preserve"> HYPERLINK \l _Toc260 </w:instrText>
          </w:r>
          <w:r>
            <w:fldChar w:fldCharType="separate"/>
          </w:r>
          <w:r>
            <w:rPr>
              <w:rFonts w:hint="eastAsia" w:ascii="微软雅黑" w:hAnsi="微软雅黑" w:eastAsia="微软雅黑" w:cs="微软雅黑"/>
              <w:color w:val="044A91" w:themeColor="hyperlink" w:themeShade="BF"/>
              <w:lang w:val="en-US" w:eastAsia="zh-CN"/>
            </w:rPr>
            <w:t>DDR相关基因变异检测结果</w:t>
          </w:r>
          <w:r>
            <w:tab/>
          </w:r>
          <w:r>
            <w:fldChar w:fldCharType="begin"/>
          </w:r>
          <w:r>
            <w:instrText xml:space="preserve"> PAGEREF _Toc260 </w:instrText>
          </w:r>
          <w:r>
            <w:fldChar w:fldCharType="separate"/>
          </w:r>
          <w:r>
            <w:t>19</w:t>
          </w:r>
          <w:r>
            <w:fldChar w:fldCharType="end"/>
          </w:r>
          <w:r>
            <w:fldChar w:fldCharType="end"/>
          </w:r>
        </w:p>
        <w:p>
          <w:pPr>
            <w:pStyle w:val="8"/>
            <w:tabs>
              <w:tab w:val="right" w:leader="dot" w:pos="10466"/>
            </w:tabs>
          </w:pPr>
          <w:r>
            <w:fldChar w:fldCharType="begin"/>
          </w:r>
          <w:r>
            <w:instrText xml:space="preserve"> HYPERLINK \l _Toc14588 </w:instrText>
          </w:r>
          <w:r>
            <w:fldChar w:fldCharType="separate"/>
          </w:r>
          <w:r>
            <w:rPr>
              <w:rFonts w:hint="eastAsia" w:ascii="微软雅黑" w:hAnsi="微软雅黑" w:eastAsia="微软雅黑" w:cs="微软雅黑"/>
              <w:color w:val="044A91" w:themeColor="hyperlink" w:themeShade="BF"/>
              <w:lang w:val="en-US" w:eastAsia="zh-CN"/>
            </w:rPr>
            <w:t>样本质控信息</w:t>
          </w:r>
          <w:r>
            <w:tab/>
          </w:r>
          <w:r>
            <w:fldChar w:fldCharType="begin"/>
          </w:r>
          <w:r>
            <w:instrText xml:space="preserve"> PAGEREF _Toc14588 </w:instrText>
          </w:r>
          <w:r>
            <w:fldChar w:fldCharType="separate"/>
          </w:r>
          <w:r>
            <w:t>21</w:t>
          </w:r>
          <w:r>
            <w:fldChar w:fldCharType="end"/>
          </w:r>
          <w:r>
            <w:fldChar w:fldCharType="end"/>
          </w:r>
        </w:p>
        <w:p>
          <w:pPr>
            <w:pStyle w:val="8"/>
            <w:tabs>
              <w:tab w:val="right" w:leader="dot" w:pos="10466"/>
            </w:tabs>
          </w:pPr>
          <w:r>
            <w:fldChar w:fldCharType="begin"/>
          </w:r>
          <w:r>
            <w:instrText xml:space="preserve"> HYPERLINK \l _Toc30465 </w:instrText>
          </w:r>
          <w:r>
            <w:fldChar w:fldCharType="separate"/>
          </w:r>
          <w:r>
            <w:rPr>
              <w:rFonts w:hint="eastAsia" w:ascii="微软雅黑" w:hAnsi="微软雅黑" w:eastAsia="微软雅黑" w:cs="微软雅黑"/>
              <w:color w:val="044A91" w:themeColor="hyperlink" w:themeShade="BF"/>
              <w:lang w:val="en-US" w:eastAsia="zh-CN"/>
            </w:rPr>
            <w:t>基因变异汇总</w:t>
          </w:r>
          <w:r>
            <w:tab/>
          </w:r>
          <w:r>
            <w:fldChar w:fldCharType="begin"/>
          </w:r>
          <w:r>
            <w:instrText xml:space="preserve"> PAGEREF _Toc30465 </w:instrText>
          </w:r>
          <w:r>
            <w:fldChar w:fldCharType="separate"/>
          </w:r>
          <w:r>
            <w:t>22</w:t>
          </w:r>
          <w:r>
            <w:fldChar w:fldCharType="end"/>
          </w:r>
          <w:r>
            <w:fldChar w:fldCharType="end"/>
          </w:r>
        </w:p>
        <w:p>
          <w:pPr>
            <w:pStyle w:val="8"/>
            <w:tabs>
              <w:tab w:val="right" w:leader="dot" w:pos="10466"/>
            </w:tabs>
          </w:pPr>
          <w:r>
            <w:fldChar w:fldCharType="begin"/>
          </w:r>
          <w:r>
            <w:instrText xml:space="preserve"> HYPERLINK \l _Toc6488 </w:instrText>
          </w:r>
          <w:r>
            <w:fldChar w:fldCharType="separate"/>
          </w:r>
          <w:r>
            <w:rPr>
              <w:rFonts w:hint="eastAsia" w:ascii="微软雅黑" w:hAnsi="微软雅黑" w:eastAsia="微软雅黑" w:cs="微软雅黑"/>
              <w:color w:val="044A91" w:themeColor="hyperlink" w:themeShade="BF"/>
              <w:lang w:val="en-US" w:eastAsia="zh-CN"/>
            </w:rPr>
            <w:t>附录</w:t>
          </w:r>
          <w:r>
            <w:tab/>
          </w:r>
          <w:r>
            <w:fldChar w:fldCharType="begin"/>
          </w:r>
          <w:r>
            <w:instrText xml:space="preserve"> PAGEREF _Toc6488 </w:instrText>
          </w:r>
          <w:r>
            <w:fldChar w:fldCharType="separate"/>
          </w:r>
          <w:r>
            <w:t>23</w:t>
          </w:r>
          <w:r>
            <w:fldChar w:fldCharType="end"/>
          </w:r>
          <w:r>
            <w:fldChar w:fldCharType="end"/>
          </w:r>
        </w:p>
        <w:p>
          <w:pPr>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r>
            <w:fldChar w:fldCharType="end"/>
          </w:r>
          <w:r>
            <w:rPr>
              <w:rFonts w:hint="eastAsia"/>
              <w:lang w:val="en-US" w:eastAsia="zh-CN"/>
            </w:rPr>
            <w:t xml:space="preserve"> </w:t>
          </w:r>
        </w:p>
      </w:sdtContent>
    </w:sdt>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2" w:name="_Toc24925"/>
      <w:bookmarkStart w:id="3" w:name="_Toc17039"/>
      <w:r>
        <mc:AlternateContent>
          <mc:Choice Requires="wpg">
            <w:drawing>
              <wp:anchor distT="0" distB="0" distL="114300" distR="114300" simplePos="0" relativeHeight="251659264" behindDoc="0" locked="0" layoutInCell="1" allowOverlap="1">
                <wp:simplePos x="0" y="0"/>
                <wp:positionH relativeFrom="column">
                  <wp:posOffset>-4445</wp:posOffset>
                </wp:positionH>
                <wp:positionV relativeFrom="paragraph">
                  <wp:posOffset>166370</wp:posOffset>
                </wp:positionV>
                <wp:extent cx="472440" cy="499110"/>
                <wp:effectExtent l="0" t="0" r="3810" b="15240"/>
                <wp:wrapNone/>
                <wp:docPr id="3686"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3687"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3688"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3689"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3690"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0.35pt;margin-top:13.1pt;height:39.3pt;width:37.2pt;z-index:251659264;mso-width-relative:page;mso-height-relative:page;" coordorigin="1825800,1651625" coordsize="539989,571775" o:gfxdata="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&#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O2LFuPWAAAABwEAAA8AAAAAAAAAAQAgAAAAIgAAAGRy&#10;cy9kb3ducmV2LnhtbFBLAQIUABQAAAAIAIdO4kDorOOIswQAACoTAAAOAAAAAAAAAAEAIAAAACUB&#10;AABkcnMvZTJvRG9jLnhtbFBLBQYAAAAABgAGAFkBAABKC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FOnR7sEAAADd&#10;AAAADwAAAGRycy9kb3ducmV2LnhtbEWPzWrDMBCE74G+g9hCLqGR44JrXCuhJCS0h1CcuvS6WFvb&#10;1FoZS87P21eBQI7DzHzD5Kuz6cSRBtdaVrCYRyCIK6tbrhWUX9unFITzyBo7y6TgQg5Wy4dJjpm2&#10;Jy7oePC1CBB2GSpovO8zKV3VkEE3tz1x8H7tYNAHOdRSD3gKcNPJOIoSabDlsNBgT+uGqr/DaBSs&#10;y4+f3aXcfMZF8u3TNzmr9vGo1PRxEb2C8HT29/Ct/a4VPCfpC1zfhCcgl/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OnR&#10;7sEAAADdAAAADwAAAAAAAAABACAAAAAiAAAAZHJzL2Rvd25yZXYueG1sUEsBAhQAFAAAAAgAh07i&#10;QDMvBZ47AAAAOQAAABAAAAAAAAAAAQAgAAAAEAEAAGRycy9zaGFwZXhtbC54bWxQSwUGAAAAAAYA&#10;BgBbAQAAugM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tWJfGL0AAADd&#10;AAAADwAAAGRycy9kb3ducmV2LnhtbEVPz2vCMBS+D/Y/hDfwIprooGhnFBQELx7mFDw+m2db1ryU&#10;JFXrX28Ogx0/vt+L1cM24kY+1I41TMYKBHHhTM2lhuPPdjQDESKywcYxaegpwGr5/rbA3Lg7f9Pt&#10;EEuRQjjkqKGKsc2lDEVFFsPYtcSJuzpvMSboS2k83lO4beRUqUxarDk1VNjSpqLi99BZDV23P/tM&#10;+X7+fK4vp2F/HM6vSuvBx0R9gYj0iP/iP/fOaPjMZmluepOe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Yl8YvQAA&#10;AN0AAAAPAAAAAAAAAAEAIAAAACIAAABkcnMvZG93bnJldi54bWxQSwECFAAUAAAACACHTuJAMy8F&#10;njsAAAA5AAAAEAAAAAAAAAABACAAAAAMAQAAZHJzL3NoYXBleG1sLnhtbFBLBQYAAAAABgAGAFsB&#10;AAC2Aw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Fcs2IcAAAADd&#10;AAAADwAAAGRycy9kb3ducmV2LnhtbEWPQWvCQBSE7wX/w/IEL0U3phA0dfVgG8hVa6neXrOvSWj2&#10;bdhdTfz33UKhx2FmvmE2u9F04kbOt5YVLBcJCOLK6pZrBae3Yr4C4QOyxs4yKbiTh9128rDBXNuB&#10;D3Q7hlpECPscFTQh9LmUvmrIoF/Ynjh6X9YZDFG6WmqHQ4SbTqZJkkmDLceFBnvaN1R9H69GQRk+&#10;3lP7+uh8IbPzy+f+ci76i1Kz6TJ5BhFoDP/hv3apFTxlqz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yzYh&#10;wAAAAN0AAAAPAAAAAAAAAAEAIAAAACIAAABkcnMvZG93bnJldi54bWxQSwECFAAUAAAACACHTuJA&#10;My8FnjsAAAA5AAAAEAAAAAAAAAABACAAAAAPAQAAZHJzL3NoYXBleG1sLnhtbFBLBQYAAAAABgAG&#10;AFsBAAC5Aw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pwhlD78AAADd&#10;AAAADwAAAGRycy9kb3ducmV2LnhtbEVPz2vCMBS+D/Y/hCfsIpq6qsxq9KBsbG4MdAoeH82zKWte&#10;ahO1/vfmMNjx4/s9W7S2EhdqfOlYwaCfgCDOnS65ULD7ee29gPABWWPlmBTcyMNi/vgww0y7K2/o&#10;sg2FiCHsM1RgQqgzKX1uyKLvu5o4ckfXWAwRNoXUDV5juK3kc5KMpcWSY4PBmpaG8t/t2SpoD5P9&#10;KD2lq9vojT4+h1/fa3PqKvXUGSRTEIHa8C/+c79rBel4EvfH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IZQ+/&#10;AAAA3QAAAA8AAAAAAAAAAQAgAAAAIgAAAGRycy9kb3ducmV2LnhtbFBLAQIUABQAAAAIAIdO4kAz&#10;LwWeOwAAADkAAAAQAAAAAAAAAAEAIAAAAA4BAABkcnMvc2hhcGV4bWwueG1sUEsFBgAAAAAGAAYA&#10;WwEAALgDA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基本信息</w:t>
      </w:r>
      <w:bookmarkEnd w:id="1"/>
      <w:bookmarkEnd w:id="2"/>
      <w:bookmarkEnd w:id="3"/>
    </w:p>
    <w:tbl>
      <w:tblPr>
        <w:tblStyle w:val="11"/>
        <w:tblW w:w="10484"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0"/>
        <w:gridCol w:w="1334"/>
        <w:gridCol w:w="2116"/>
        <w:gridCol w:w="854"/>
        <w:gridCol w:w="127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00" w:type="dxa"/>
            <w:vMerge w:val="restart"/>
            <w:tcBorders>
              <w:top w:val="single" w:color="4F81BD" w:sz="8" w:space="0"/>
              <w:left w:val="single" w:color="4F81BD" w:sz="8" w:space="0"/>
              <w:bottom w:val="single" w:color="FFFFFF" w:sz="18" w:space="0"/>
              <w:right w:val="nil"/>
            </w:tcBorders>
            <w:shd w:val="clear" w:color="auto" w:fill="2E75B5" w:themeFill="accent1" w:themeFillShade="BF"/>
          </w:tcPr>
          <w:p>
            <w:pPr>
              <w:keepNext w:val="0"/>
              <w:keepLines w:val="0"/>
              <w:suppressLineNumbers w:val="0"/>
              <w:spacing w:before="0" w:beforeAutospacing="0" w:after="0" w:afterAutospacing="0"/>
              <w:ind w:left="0" w:right="0"/>
              <w:rPr>
                <w:rFonts w:hint="eastAsia" w:ascii="微软雅黑" w:hAnsi="微软雅黑" w:eastAsia="微软雅黑" w:cs="微软雅黑"/>
                <w:color w:val="FFFFFF"/>
                <w:vertAlign w:val="baseline"/>
                <w:lang w:val="en-US" w:eastAsia="zh-CN"/>
              </w:rPr>
            </w:pPr>
            <w:bookmarkStart w:id="4" w:name="_Toc6092"/>
          </w:p>
        </w:tc>
        <w:tc>
          <w:tcPr>
            <w:tcW w:w="3450" w:type="dxa"/>
            <w:gridSpan w:val="2"/>
            <w:tcBorders>
              <w:top w:val="single" w:color="4F81BD" w:sz="8" w:space="0"/>
              <w:left w:val="nil"/>
              <w:bottom w:val="dotted" w:color="FFFFFF" w:themeColor="background1" w:sz="4" w:space="0"/>
              <w:right w:val="dotted" w:color="FFFFFF" w:themeColor="background1" w:sz="4" w:space="0"/>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sz w:val="21"/>
                <w:szCs w:val="21"/>
                <w:vertAlign w:val="baseline"/>
                <w:lang w:val="en-US" w:eastAsia="zh-CN"/>
              </w:rPr>
            </w:pPr>
            <w:r>
              <w:rPr>
                <w:rFonts w:hint="eastAsia" w:ascii="微软雅黑" w:hAnsi="微软雅黑" w:eastAsia="微软雅黑" w:cs="微软雅黑"/>
                <w:b w:val="0"/>
                <w:bCs w:val="0"/>
                <w:color w:val="FFFFFF"/>
                <w:sz w:val="21"/>
                <w:szCs w:val="21"/>
                <w:vertAlign w:val="baseline"/>
                <w:lang w:val="en-US" w:eastAsia="zh-CN"/>
              </w:rPr>
              <w:t>姓名：{{ name }}</w:t>
            </w:r>
          </w:p>
        </w:tc>
        <w:tc>
          <w:tcPr>
            <w:tcW w:w="4634" w:type="dxa"/>
            <w:gridSpan w:val="3"/>
            <w:tcBorders>
              <w:top w:val="single" w:color="4F81BD" w:sz="8" w:space="0"/>
              <w:left w:val="dotted" w:color="FFFFFF" w:themeColor="background1" w:sz="4" w:space="0"/>
              <w:bottom w:val="dotted" w:color="FFFFFF" w:themeColor="background1" w:sz="4" w:space="0"/>
              <w:right w:val="nil"/>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sz w:val="21"/>
                <w:szCs w:val="21"/>
                <w:vertAlign w:val="baseline"/>
                <w:lang w:val="en-US" w:eastAsia="zh-CN"/>
              </w:rPr>
            </w:pPr>
            <w:r>
              <w:rPr>
                <w:rFonts w:hint="eastAsia" w:ascii="微软雅黑" w:hAnsi="微软雅黑" w:eastAsia="微软雅黑" w:cs="微软雅黑"/>
                <w:b w:val="0"/>
                <w:bCs w:val="0"/>
                <w:color w:val="FFFFFF"/>
                <w:sz w:val="21"/>
                <w:szCs w:val="21"/>
                <w:vertAlign w:val="baseline"/>
                <w:lang w:val="en-US" w:eastAsia="zh-CN"/>
              </w:rPr>
              <w:t>性别：{{ gender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top w:val="single" w:color="FFFFFF" w:sz="18" w:space="0"/>
              <w:left w:val="single" w:color="4F81BD" w:sz="8" w:space="0"/>
              <w:bottom w:val="single" w:color="4F81BD" w:sz="8" w:space="0"/>
              <w:right w:val="nil"/>
            </w:tcBorders>
            <w:shd w:val="clear" w:color="auto" w:fill="2E75B5" w:themeFill="accent1" w:themeFillShade="BF"/>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vertAlign w:val="baseline"/>
                <w:lang w:val="en-US" w:eastAsia="zh-CN"/>
              </w:rPr>
            </w:pPr>
          </w:p>
        </w:tc>
        <w:tc>
          <w:tcPr>
            <w:tcW w:w="3450" w:type="dxa"/>
            <w:gridSpan w:val="2"/>
            <w:tcBorders>
              <w:top w:val="dotted" w:color="FFFFFF" w:themeColor="background1" w:sz="4" w:space="0"/>
              <w:left w:val="nil"/>
              <w:bottom w:val="dotted" w:color="FFFFFF" w:themeColor="background1" w:sz="4" w:space="0"/>
              <w:right w:val="dotted" w:color="FFFFFF" w:themeColor="background1" w:sz="4" w:space="0"/>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出生日期：{{ birthday }}</w:t>
            </w:r>
          </w:p>
        </w:tc>
        <w:tc>
          <w:tcPr>
            <w:tcW w:w="4634" w:type="dxa"/>
            <w:gridSpan w:val="3"/>
            <w:tcBorders>
              <w:top w:val="dotted" w:color="FFFFFF" w:themeColor="background1" w:sz="4" w:space="0"/>
              <w:left w:val="dotted" w:color="FFFFFF" w:themeColor="background1" w:sz="4" w:space="0"/>
              <w:bottom w:val="dotted" w:color="FFFFFF" w:themeColor="background1" w:sz="4" w:space="0"/>
              <w:right w:val="nil"/>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 xml:space="preserve">住院/门诊病历号: {{ </w: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begin"/>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instrText xml:space="preserve"> HYPERLINK "C:/Users/summerghw/AppData/Local/youdao/dict/Application/8.9.6.0/resultui/html/index.html" \l "/javascript:;" </w:instrTex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separate"/>
            </w:r>
            <w:r>
              <w:rPr>
                <w:rStyle w:val="13"/>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t>admission</w: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end"/>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lang w:val="en-US" w:eastAsia="zh-CN"/>
                <w14:textFill>
                  <w14:solidFill>
                    <w14:schemeClr w14:val="bg1"/>
                  </w14:solidFill>
                </w14:textFill>
              </w:rPr>
              <w:t>_</w: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begin"/>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instrText xml:space="preserve"> HYPERLINK "C:/Users/summerghw/AppData/Local/youdao/dict/Application/8.9.6.0/resultui/html/index.html" \l "/javascript:;" </w:instrTex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separate"/>
            </w:r>
            <w:r>
              <w:rPr>
                <w:rStyle w:val="13"/>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t>number</w:t>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14:textFill>
                  <w14:solidFill>
                    <w14:schemeClr w14:val="bg1"/>
                  </w14:solidFill>
                </w14:textFill>
              </w:rPr>
              <w:fldChar w:fldCharType="end"/>
            </w:r>
            <w:r>
              <w:rPr>
                <w:rFonts w:hint="eastAsia" w:ascii="微软雅黑" w:hAnsi="微软雅黑" w:eastAsia="微软雅黑" w:cs="微软雅黑"/>
                <w:b w:val="0"/>
                <w:bCs w:val="0"/>
                <w:i w:val="0"/>
                <w:iCs w:val="0"/>
                <w:caps w:val="0"/>
                <w:color w:val="FFFFFF" w:themeColor="background1"/>
                <w:spacing w:val="0"/>
                <w:sz w:val="21"/>
                <w:szCs w:val="21"/>
                <w:u w:val="none"/>
                <w:shd w:val="clear" w:fill="FFFFFF"/>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top w:val="single" w:color="FFFFFF" w:sz="18" w:space="0"/>
              <w:left w:val="single" w:color="4F81BD" w:sz="8" w:space="0"/>
              <w:bottom w:val="single" w:color="4F81BD" w:sz="8" w:space="0"/>
              <w:right w:val="nil"/>
            </w:tcBorders>
            <w:shd w:val="clear" w:color="auto" w:fill="2E75B5" w:themeFill="accent1" w:themeFillShade="BF"/>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vertAlign w:val="baseline"/>
                <w:lang w:val="en-US" w:eastAsia="zh-CN"/>
              </w:rPr>
            </w:pPr>
          </w:p>
        </w:tc>
        <w:tc>
          <w:tcPr>
            <w:tcW w:w="3450" w:type="dxa"/>
            <w:gridSpan w:val="2"/>
            <w:tcBorders>
              <w:top w:val="dotted" w:color="FFFFFF" w:themeColor="background1" w:sz="4" w:space="0"/>
              <w:left w:val="nil"/>
              <w:bottom w:val="dotted" w:color="FFFFFF" w:themeColor="background1" w:sz="4" w:space="0"/>
              <w:right w:val="dotted" w:color="FFFFFF" w:themeColor="background1" w:sz="4" w:space="0"/>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临床诊断: {{ diagnosis }}</w:t>
            </w:r>
          </w:p>
        </w:tc>
        <w:tc>
          <w:tcPr>
            <w:tcW w:w="4634" w:type="dxa"/>
            <w:gridSpan w:val="3"/>
            <w:tcBorders>
              <w:top w:val="dotted" w:color="FFFFFF" w:themeColor="background1" w:sz="4" w:space="0"/>
              <w:left w:val="dotted" w:color="FFFFFF" w:themeColor="background1" w:sz="4" w:space="0"/>
              <w:bottom w:val="dotted" w:color="FFFFFF" w:themeColor="background1" w:sz="4" w:space="0"/>
              <w:right w:val="nil"/>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家族病史：{{ family_history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400" w:type="dxa"/>
            <w:vMerge w:val="continue"/>
            <w:tcBorders>
              <w:top w:val="single" w:color="4F81BD" w:sz="8" w:space="0"/>
              <w:left w:val="single" w:color="4F81BD" w:sz="8" w:space="0"/>
              <w:bottom w:val="single" w:color="4F81BD" w:sz="8" w:space="0"/>
              <w:right w:val="nil"/>
            </w:tcBorders>
            <w:shd w:val="clear" w:color="auto" w:fill="2E75B5" w:themeFill="accent1" w:themeFillShade="BF"/>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vertAlign w:val="baseline"/>
                <w:lang w:val="en-US" w:eastAsia="zh-CN"/>
              </w:rPr>
            </w:pPr>
          </w:p>
        </w:tc>
        <w:tc>
          <w:tcPr>
            <w:tcW w:w="3450" w:type="dxa"/>
            <w:gridSpan w:val="2"/>
            <w:tcBorders>
              <w:top w:val="dotted" w:color="FFFFFF" w:themeColor="background1" w:sz="4" w:space="0"/>
              <w:left w:val="nil"/>
              <w:bottom w:val="nil"/>
              <w:right w:val="dotted" w:color="FFFFFF" w:themeColor="background1" w:sz="4" w:space="0"/>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t>用药史: {{ medical_history }}</w:t>
            </w:r>
          </w:p>
        </w:tc>
        <w:tc>
          <w:tcPr>
            <w:tcW w:w="4634" w:type="dxa"/>
            <w:gridSpan w:val="3"/>
            <w:tcBorders>
              <w:top w:val="dotted" w:color="FFFFFF" w:themeColor="background1" w:sz="4" w:space="0"/>
              <w:left w:val="dotted" w:color="FFFFFF" w:themeColor="background1" w:sz="4" w:space="0"/>
              <w:bottom w:val="nil"/>
              <w:right w:val="nil"/>
            </w:tcBorders>
            <w:shd w:val="clear" w:color="auto" w:fill="2E75B5" w:themeFill="accent1" w:themeFillShade="BF"/>
          </w:tcPr>
          <w:p>
            <w:pPr>
              <w:keepNext w:val="0"/>
              <w:keepLines w:val="0"/>
              <w:suppressLineNumbers w:val="0"/>
              <w:spacing w:before="0" w:beforeAutospacing="0" w:after="0" w:afterAutospacing="0"/>
              <w:ind w:left="0" w:right="0"/>
              <w:jc w:val="left"/>
              <w:rPr>
                <w:rFonts w:hint="eastAsia" w:ascii="微软雅黑" w:hAnsi="微软雅黑" w:eastAsia="微软雅黑" w:cs="微软雅黑"/>
                <w:b w:val="0"/>
                <w:bCs w:val="0"/>
                <w:color w:val="FFFFFF" w:themeColor="background1"/>
                <w:sz w:val="21"/>
                <w:szCs w:val="21"/>
                <w:vertAlign w:val="baseline"/>
                <w:lang w:val="en-US" w:eastAsia="zh-CN"/>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00" w:type="dxa"/>
            <w:vMerge w:val="restart"/>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样本类型及部位</w:t>
            </w:r>
          </w:p>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血细胞 NA</w:t>
            </w:r>
          </w:p>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血浆 NA</w:t>
            </w:r>
          </w:p>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囊液（离心管装）上清 NA</w:t>
            </w:r>
          </w:p>
        </w:tc>
        <w:tc>
          <w:tcPr>
            <w:tcW w:w="1334" w:type="dxa"/>
            <w:tcBorders>
              <w:top w:val="nil"/>
              <w:left w:val="single" w:color="auto" w:sz="4" w:space="0"/>
              <w:bottom w:val="nil"/>
              <w:right w:val="nil"/>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编号：</w:t>
            </w:r>
          </w:p>
        </w:tc>
        <w:tc>
          <w:tcPr>
            <w:tcW w:w="2970" w:type="dxa"/>
            <w:gridSpan w:val="2"/>
            <w:tcBorders>
              <w:top w:val="nil"/>
              <w:left w:val="nil"/>
              <w:bottom w:val="nil"/>
              <w:right w:val="nil"/>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sample_id }}</w:t>
            </w:r>
          </w:p>
        </w:tc>
        <w:tc>
          <w:tcPr>
            <w:tcW w:w="127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样本类型：</w:t>
            </w:r>
          </w:p>
        </w:tc>
        <w:tc>
          <w:tcPr>
            <w:tcW w:w="250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b w:val="0"/>
                <w:bCs w:val="0"/>
                <w:i w:val="0"/>
                <w:iCs w:val="0"/>
                <w:caps w:val="0"/>
                <w:color w:val="auto"/>
                <w:spacing w:val="0"/>
                <w:sz w:val="18"/>
                <w:szCs w:val="18"/>
                <w:shd w:val="clear" w:fill="FFFFFF"/>
                <w:lang w:val="en-US" w:eastAsia="zh-CN"/>
              </w:rPr>
              <w:t>{{ sample_type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top w:val="single" w:color="auto" w:sz="4" w:space="0"/>
              <w:left w:val="nil"/>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c>
          <w:tcPr>
            <w:tcW w:w="1334"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检测平台：</w:t>
            </w:r>
          </w:p>
        </w:tc>
        <w:tc>
          <w:tcPr>
            <w:tcW w:w="2970" w:type="dxa"/>
            <w:gridSpan w:val="2"/>
            <w:tcBorders>
              <w:top w:val="nil"/>
              <w:left w:val="nil"/>
              <w:bottom w:val="nil"/>
              <w:right w:val="nil"/>
            </w:tcBorders>
            <w:vAlign w:val="top"/>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paltform }}</w:t>
            </w:r>
          </w:p>
        </w:tc>
        <w:tc>
          <w:tcPr>
            <w:tcW w:w="127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采样日期：</w:t>
            </w:r>
          </w:p>
        </w:tc>
        <w:tc>
          <w:tcPr>
            <w:tcW w:w="250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xml:space="preserve">{{ </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s</w:t>
            </w:r>
            <w:r>
              <w:rPr>
                <w:rFonts w:hint="eastAsia" w:ascii="微软雅黑" w:hAnsi="微软雅黑" w:eastAsia="微软雅黑" w:cs="微软雅黑"/>
                <w:b w:val="0"/>
                <w:bCs w:val="0"/>
                <w:i w:val="0"/>
                <w:iCs w:val="0"/>
                <w:caps w:val="0"/>
                <w:color w:val="auto"/>
                <w:spacing w:val="0"/>
                <w:sz w:val="18"/>
                <w:szCs w:val="18"/>
                <w:shd w:val="clear" w:fill="FFFFFF"/>
              </w:rPr>
              <w:t>ampling</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_</w:t>
            </w:r>
            <w:r>
              <w:rPr>
                <w:rFonts w:hint="eastAsia" w:ascii="微软雅黑" w:hAnsi="微软雅黑" w:eastAsia="微软雅黑" w:cs="微软雅黑"/>
                <w:b w:val="0"/>
                <w:bCs w:val="0"/>
                <w:i w:val="0"/>
                <w:iCs w:val="0"/>
                <w:caps w:val="0"/>
                <w:color w:val="auto"/>
                <w:spacing w:val="0"/>
                <w:sz w:val="18"/>
                <w:szCs w:val="18"/>
                <w:shd w:val="clear" w:fill="FFFFFF"/>
              </w:rPr>
              <w:t>date</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 xml:space="preserve"> </w:t>
            </w:r>
            <w:r>
              <w:rPr>
                <w:rFonts w:hint="eastAsia" w:ascii="微软雅黑" w:hAnsi="微软雅黑" w:eastAsia="微软雅黑" w:cs="微软雅黑"/>
                <w:color w:val="auto"/>
                <w:sz w:val="18"/>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top w:val="single" w:color="auto" w:sz="4" w:space="0"/>
              <w:left w:val="nil"/>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c>
          <w:tcPr>
            <w:tcW w:w="1334"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检测方法：</w:t>
            </w:r>
          </w:p>
        </w:tc>
        <w:tc>
          <w:tcPr>
            <w:tcW w:w="2970" w:type="dxa"/>
            <w:gridSpan w:val="2"/>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目标基因捕获测序方法</w:t>
            </w:r>
          </w:p>
        </w:tc>
        <w:tc>
          <w:tcPr>
            <w:tcW w:w="127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收样日期：</w:t>
            </w:r>
          </w:p>
        </w:tc>
        <w:tc>
          <w:tcPr>
            <w:tcW w:w="250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recive_date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top w:val="single" w:color="auto" w:sz="4" w:space="0"/>
              <w:left w:val="nil"/>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c>
          <w:tcPr>
            <w:tcW w:w="1334"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参考基因组:</w:t>
            </w:r>
          </w:p>
        </w:tc>
        <w:tc>
          <w:tcPr>
            <w:tcW w:w="2970" w:type="dxa"/>
            <w:gridSpan w:val="2"/>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xml:space="preserve">GRCh37/hg19 </w:t>
            </w:r>
          </w:p>
        </w:tc>
        <w:tc>
          <w:tcPr>
            <w:tcW w:w="127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报告日期：</w:t>
            </w:r>
          </w:p>
        </w:tc>
        <w:tc>
          <w:tcPr>
            <w:tcW w:w="2505" w:type="dxa"/>
            <w:tcBorders>
              <w:top w:val="nil"/>
              <w:left w:val="nil"/>
              <w:bottom w:val="nil"/>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report_date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400" w:type="dxa"/>
            <w:vMerge w:val="continue"/>
            <w:tcBorders>
              <w:top w:val="single" w:color="auto" w:sz="4" w:space="0"/>
              <w:left w:val="nil"/>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c>
          <w:tcPr>
            <w:tcW w:w="1334" w:type="dxa"/>
            <w:tcBorders>
              <w:top w:val="nil"/>
              <w:left w:val="single" w:color="auto" w:sz="4" w:space="0"/>
              <w:bottom w:val="single" w:color="auto" w:sz="4" w:space="0"/>
              <w:right w:val="nil"/>
            </w:tcBorders>
            <w:vAlign w:val="top"/>
          </w:tcPr>
          <w:p>
            <w:pPr>
              <w:keepNext w:val="0"/>
              <w:keepLines w:val="0"/>
              <w:suppressLineNumbers w:val="0"/>
              <w:spacing w:before="0" w:beforeAutospacing="0" w:after="0" w:afterAutospacing="0"/>
              <w:ind w:left="0" w:right="0"/>
              <w:rPr>
                <w:rFonts w:hint="default" w:ascii="微软雅黑" w:hAnsi="微软雅黑" w:eastAsia="微软雅黑" w:cs="微软雅黑"/>
                <w:b/>
                <w:bCs/>
                <w:color w:val="auto"/>
                <w:sz w:val="18"/>
                <w:szCs w:val="21"/>
                <w:vertAlign w:val="baseline"/>
                <w:lang w:val="en-US" w:eastAsia="zh-CN"/>
              </w:rPr>
            </w:pPr>
            <w:r>
              <w:rPr>
                <w:rFonts w:hint="eastAsia" w:ascii="微软雅黑" w:hAnsi="微软雅黑" w:eastAsia="微软雅黑" w:cs="微软雅黑"/>
                <w:b/>
                <w:bCs/>
                <w:color w:val="auto"/>
                <w:sz w:val="18"/>
                <w:szCs w:val="21"/>
                <w:vertAlign w:val="baseline"/>
                <w:lang w:val="en-US" w:eastAsia="zh-CN"/>
              </w:rPr>
              <w:t>送检次数：</w:t>
            </w:r>
          </w:p>
        </w:tc>
        <w:tc>
          <w:tcPr>
            <w:tcW w:w="2970" w:type="dxa"/>
            <w:gridSpan w:val="2"/>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test_times }}</w:t>
            </w:r>
          </w:p>
        </w:tc>
        <w:tc>
          <w:tcPr>
            <w:tcW w:w="1275"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auto"/>
                <w:sz w:val="18"/>
                <w:szCs w:val="21"/>
                <w:vertAlign w:val="baseline"/>
                <w:lang w:val="en-US" w:eastAsia="zh-CN"/>
              </w:rPr>
            </w:pPr>
          </w:p>
        </w:tc>
        <w:tc>
          <w:tcPr>
            <w:tcW w:w="2505"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r>
    </w:tbl>
    <w:p>
      <w:pPr>
        <w:pStyle w:val="4"/>
        <w:bidi w:val="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t>检测项目内容</w:t>
      </w:r>
      <w:bookmarkEnd w:id="4"/>
    </w:p>
    <w:tbl>
      <w:tblPr>
        <w:tblStyle w:val="11"/>
        <w:tblW w:w="10484"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8"/>
        <w:gridCol w:w="7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8" w:type="dxa"/>
            <w:tcBorders>
              <w:top w:val="single" w:color="D7D7D7" w:themeColor="background1" w:themeShade="D8" w:sz="4" w:space="0"/>
              <w:left w:val="single" w:color="D7D7D7" w:themeColor="background1" w:themeShade="D8" w:sz="4" w:space="0"/>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kern w:val="2"/>
                <w:sz w:val="18"/>
                <w:szCs w:val="21"/>
                <w:vertAlign w:val="baseline"/>
                <w:lang w:val="en-US" w:eastAsia="zh-CN" w:bidi="ar-SA"/>
              </w:rPr>
            </w:pPr>
            <w:r>
              <w:rPr>
                <w:rFonts w:hint="eastAsia" w:ascii="微软雅黑" w:hAnsi="微软雅黑" w:eastAsia="微软雅黑" w:cs="微软雅黑"/>
                <w:b/>
                <w:bCs/>
                <w:color w:val="2E75B6" w:themeColor="accent1" w:themeShade="BF"/>
                <w:sz w:val="18"/>
                <w:szCs w:val="21"/>
                <w:shd w:val="clear" w:fill="DEEBF6" w:themeFill="accent1" w:themeFillTint="32"/>
                <w:vertAlign w:val="baseline"/>
                <w:lang w:val="en-US" w:eastAsia="zh-CN"/>
              </w:rPr>
              <w:t>基因变异检测</w:t>
            </w:r>
          </w:p>
        </w:tc>
        <w:tc>
          <w:tcPr>
            <w:tcW w:w="7516" w:type="dxa"/>
            <w:tcBorders>
              <w:top w:val="single" w:color="D7D7D7" w:themeColor="background1" w:themeShade="D8" w:sz="4" w:space="0"/>
              <w:left w:val="nil"/>
              <w:bottom w:val="nil"/>
              <w:right w:val="single" w:color="D7D7D7" w:themeColor="background1" w:themeShade="D8" w:sz="4" w:space="0"/>
            </w:tcBorders>
            <w:shd w:val="clear" w:color="auto" w:fill="F1F1F1" w:themeFill="background1" w:themeFillShade="F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2E75B6" w:themeColor="accent1" w:themeShade="BF"/>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本产品涵盖了多种实体瘤的靶向治疗相关基因（172个），免疫治疗相关基因（14个）、DDR通路相关基因（69个）、基因融合/重排相关基因（38个）和化疗相关基因（78个）。检测内容包含点突变、插入/缺失、拷贝数变异和基因融合/重排，可预测相关靶向药物和免疫治疗药物的疗效，同时也检测化疗相关多态性位点，可预测常见化疗药的疗效和副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4" w:type="dxa"/>
            <w:gridSpan w:val="2"/>
            <w:tcBorders>
              <w:top w:val="single" w:color="D7D7D7" w:themeColor="background1" w:themeShade="D8" w:sz="4" w:space="0"/>
              <w:left w:val="single" w:color="D7D7D7" w:themeColor="background1" w:themeShade="D8" w:sz="4" w:space="0"/>
              <w:bottom w:val="nil"/>
              <w:right w:val="single" w:color="D7D7D7" w:themeColor="background1" w:themeShade="D8" w:sz="4" w:space="0"/>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2968" w:type="dxa"/>
            <w:tcBorders>
              <w:top w:val="nil"/>
              <w:left w:val="single" w:color="D7D7D7" w:themeColor="background1" w:themeShade="D8" w:sz="4" w:space="0"/>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kern w:val="2"/>
                <w:sz w:val="18"/>
                <w:szCs w:val="21"/>
                <w:vertAlign w:val="baseline"/>
                <w:lang w:val="en-US" w:eastAsia="zh-CN" w:bidi="ar-SA"/>
              </w:rPr>
            </w:pPr>
            <w:r>
              <w:rPr>
                <w:rFonts w:hint="eastAsia" w:ascii="微软雅黑" w:hAnsi="微软雅黑" w:eastAsia="微软雅黑" w:cs="微软雅黑"/>
                <w:b/>
                <w:bCs/>
                <w:color w:val="2E75B6" w:themeColor="accent1" w:themeShade="BF"/>
                <w:sz w:val="18"/>
                <w:szCs w:val="21"/>
                <w:vertAlign w:val="baseline"/>
                <w:lang w:val="en-US" w:eastAsia="zh-CN"/>
              </w:rPr>
              <w:t>微卫星不稳定性检测</w:t>
            </w:r>
          </w:p>
        </w:tc>
        <w:tc>
          <w:tcPr>
            <w:tcW w:w="7516" w:type="dxa"/>
            <w:tcBorders>
              <w:top w:val="nil"/>
              <w:left w:val="nil"/>
              <w:bottom w:val="nil"/>
              <w:right w:val="single" w:color="D7D7D7" w:themeColor="background1" w:themeShade="D8" w:sz="4" w:space="0"/>
            </w:tcBorders>
            <w:shd w:val="clear" w:color="auto" w:fill="F1F1F1" w:themeFill="background1" w:themeFillShade="F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包</w:t>
            </w:r>
            <w:r>
              <w:rPr>
                <w:rFonts w:hint="eastAsia" w:ascii="微软雅黑" w:hAnsi="微软雅黑" w:eastAsia="微软雅黑" w:cs="微软雅黑"/>
                <w:color w:val="auto"/>
                <w:sz w:val="18"/>
                <w:szCs w:val="21"/>
                <w:shd w:val="clear" w:fill="F1F1F1" w:themeFill="background1" w:themeFillShade="F2"/>
                <w:vertAlign w:val="baseline"/>
                <w:lang w:val="en-US" w:eastAsia="zh-CN"/>
              </w:rPr>
              <w:t>含15个微卫星位点，判断微卫星不稳定性，预测免</w:t>
            </w:r>
            <w:r>
              <w:rPr>
                <w:rFonts w:hint="eastAsia" w:ascii="微软雅黑" w:hAnsi="微软雅黑" w:eastAsia="微软雅黑" w:cs="微软雅黑"/>
                <w:color w:val="auto"/>
                <w:sz w:val="18"/>
                <w:szCs w:val="21"/>
                <w:vertAlign w:val="baseline"/>
                <w:lang w:val="en-US" w:eastAsia="zh-CN"/>
              </w:rPr>
              <w:t>疫治疗疗效。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 w:hRule="atLeast"/>
        </w:trPr>
        <w:tc>
          <w:tcPr>
            <w:tcW w:w="10484" w:type="dxa"/>
            <w:gridSpan w:val="2"/>
            <w:tcBorders>
              <w:top w:val="nil"/>
              <w:left w:val="single" w:color="D7D7D7" w:themeColor="background1" w:themeShade="D8" w:sz="4" w:space="0"/>
              <w:bottom w:val="nil"/>
              <w:right w:val="single" w:color="D7D7D7" w:themeColor="background1" w:themeShade="D8" w:sz="4" w:space="0"/>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2968" w:type="dxa"/>
            <w:tcBorders>
              <w:top w:val="nil"/>
              <w:left w:val="single" w:color="D7D7D7" w:themeColor="background1" w:themeShade="D8" w:sz="4" w:space="0"/>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kern w:val="2"/>
                <w:sz w:val="18"/>
                <w:szCs w:val="21"/>
                <w:vertAlign w:val="baseline"/>
                <w:lang w:val="en-US" w:eastAsia="zh-CN" w:bidi="ar-SA"/>
              </w:rPr>
            </w:pPr>
            <w:r>
              <w:rPr>
                <w:rFonts w:hint="eastAsia" w:ascii="微软雅黑" w:hAnsi="微软雅黑" w:eastAsia="微软雅黑" w:cs="微软雅黑"/>
                <w:b/>
                <w:bCs/>
                <w:color w:val="2E75B6" w:themeColor="accent1" w:themeShade="BF"/>
                <w:sz w:val="18"/>
                <w:szCs w:val="21"/>
                <w:vertAlign w:val="baseline"/>
                <w:lang w:val="en-US" w:eastAsia="zh-CN"/>
              </w:rPr>
              <w:t>肿瘤突变负荷检测</w:t>
            </w:r>
          </w:p>
        </w:tc>
        <w:tc>
          <w:tcPr>
            <w:tcW w:w="7516" w:type="dxa"/>
            <w:tcBorders>
              <w:top w:val="nil"/>
              <w:left w:val="nil"/>
              <w:bottom w:val="nil"/>
              <w:right w:val="single" w:color="D7D7D7" w:themeColor="background1" w:themeShade="D8" w:sz="4" w:space="0"/>
            </w:tcBorders>
            <w:shd w:val="clear" w:color="auto" w:fill="F1F1F1" w:themeFill="background1" w:themeFillShade="F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分析肿瘤细胞的突变负荷，预测免疫治疗疗效。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10484" w:type="dxa"/>
            <w:gridSpan w:val="2"/>
            <w:tcBorders>
              <w:top w:val="nil"/>
              <w:left w:val="single" w:color="D7D7D7" w:themeColor="background1" w:themeShade="D8" w:sz="4" w:space="0"/>
              <w:bottom w:val="nil"/>
              <w:right w:val="single" w:color="D7D7D7" w:themeColor="background1" w:themeShade="D8" w:sz="4" w:space="0"/>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2968" w:type="dxa"/>
            <w:tcBorders>
              <w:top w:val="nil"/>
              <w:left w:val="single" w:color="D7D7D7" w:themeColor="background1" w:themeShade="D8" w:sz="4" w:space="0"/>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kern w:val="2"/>
                <w:sz w:val="18"/>
                <w:szCs w:val="21"/>
                <w:vertAlign w:val="baseline"/>
                <w:lang w:val="en-US" w:eastAsia="zh-CN" w:bidi="ar-SA"/>
              </w:rPr>
            </w:pPr>
            <w:r>
              <w:rPr>
                <w:rFonts w:hint="eastAsia" w:ascii="微软雅黑" w:hAnsi="微软雅黑" w:eastAsia="微软雅黑" w:cs="微软雅黑"/>
                <w:b/>
                <w:bCs/>
                <w:color w:val="2E75B6" w:themeColor="accent1" w:themeShade="BF"/>
                <w:sz w:val="18"/>
                <w:szCs w:val="21"/>
                <w:vertAlign w:val="baseline"/>
                <w:lang w:val="en-US" w:eastAsia="zh-CN"/>
              </w:rPr>
              <w:t>肿瘤遗传易感性筛查</w:t>
            </w:r>
          </w:p>
        </w:tc>
        <w:tc>
          <w:tcPr>
            <w:tcW w:w="7516" w:type="dxa"/>
            <w:tcBorders>
              <w:top w:val="nil"/>
              <w:left w:val="nil"/>
              <w:bottom w:val="nil"/>
              <w:right w:val="single" w:color="D7D7D7" w:themeColor="background1" w:themeShade="D8" w:sz="4" w:space="0"/>
            </w:tcBorders>
            <w:shd w:val="clear" w:color="auto" w:fill="F1F1F1" w:themeFill="background1" w:themeFillShade="F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68个</w:t>
            </w:r>
            <w:r>
              <w:rPr>
                <w:rFonts w:hint="eastAsia" w:ascii="微软雅黑" w:hAnsi="微软雅黑" w:eastAsia="微软雅黑" w:cs="微软雅黑"/>
                <w:color w:val="auto"/>
                <w:sz w:val="18"/>
                <w:szCs w:val="21"/>
                <w:shd w:val="clear"/>
                <w:vertAlign w:val="baseline"/>
                <w:lang w:val="en-US" w:eastAsia="zh-CN"/>
              </w:rPr>
              <w:t>遗传性肿瘤相关致病基因的检测，预测肿瘤遗传风险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10484" w:type="dxa"/>
            <w:gridSpan w:val="2"/>
            <w:tcBorders>
              <w:top w:val="nil"/>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21"/>
                <w:vertAlign w:val="baseline"/>
                <w:lang w:val="en-US" w:eastAsia="zh-CN"/>
              </w:rPr>
            </w:pPr>
          </w:p>
        </w:tc>
      </w:tr>
    </w:tbl>
    <w:p>
      <w:pPr>
        <w:bidi w:val="0"/>
        <w:ind w:firstLine="420" w:firstLineChars="200"/>
        <w:rPr>
          <w:rFonts w:hint="eastAsia" w:ascii="微软雅黑" w:hAnsi="微软雅黑" w:eastAsia="微软雅黑" w:cs="微软雅黑"/>
          <w:color w:val="2E75B6" w:themeColor="accent1" w:themeShade="BF"/>
          <w:sz w:val="21"/>
          <w:szCs w:val="21"/>
          <w:lang w:val="en-US" w:eastAsia="zh-CN"/>
        </w:rPr>
      </w:pPr>
      <w:bookmarkStart w:id="5" w:name="_Toc31803"/>
      <w:bookmarkStart w:id="6" w:name="_Toc24813"/>
      <w:r>
        <w:rPr>
          <w:rFonts w:hint="eastAsia" w:ascii="微软雅黑" w:hAnsi="微软雅黑" w:eastAsia="微软雅黑" w:cs="微软雅黑"/>
          <w:color w:val="2E75B6" w:themeColor="accent1" w:themeShade="BF"/>
          <w:sz w:val="21"/>
          <w:szCs w:val="21"/>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7" w:name="_Toc16871"/>
      <w:r>
        <mc:AlternateContent>
          <mc:Choice Requires="wpg">
            <w:drawing>
              <wp:anchor distT="0" distB="0" distL="114300" distR="114300" simplePos="0" relativeHeight="251661312" behindDoc="0" locked="0" layoutInCell="1" allowOverlap="1">
                <wp:simplePos x="0" y="0"/>
                <wp:positionH relativeFrom="column">
                  <wp:posOffset>17780</wp:posOffset>
                </wp:positionH>
                <wp:positionV relativeFrom="paragraph">
                  <wp:posOffset>20320</wp:posOffset>
                </wp:positionV>
                <wp:extent cx="472440" cy="499110"/>
                <wp:effectExtent l="0" t="0" r="3810" b="15240"/>
                <wp:wrapNone/>
                <wp:docPr id="13"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14"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15"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16"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17"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1.4pt;margin-top:1.6pt;height:39.3pt;width:37.2pt;z-index:251661312;mso-width-relative:page;mso-height-relative:page;" coordorigin="1825800,1651625" coordsize="539989,571775" o:gfxdata="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GR1AzPWAAAABQEAAA8AAAAAAAAAAQAgAAAAIgAAAGRycy9k&#10;b3ducmV2LnhtbFBLAQIUABQAAAAIAIdO4kD0Dbh2sAQAACATAAAOAAAAAAAAAAEAIAAAACUBAABk&#10;cnMvZTJvRG9jLnhtbFBLBQYAAAAABgAGAFkBAABHC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f9GsYLsAAADb&#10;AAAADwAAAGRycy9kb3ducmV2LnhtbEVPS4vCMBC+L+x/CLPgZVlTi4hU07Ioih5EdCteh2ZsyzaT&#10;0sTXvzeC4G0+vudMs5tpxIU6V1tWMOhHIIgLq2suFeR/i58xCOeRNTaWScGdHGTp58cUE22vvKPL&#10;3pcihLBLUEHlfZtI6YqKDLq+bYkDd7KdQR9gV0rd4TWEm0bGUTSSBmsODRW2NKuo+N+fjYJZvj4u&#10;7/l8G+9GBz/+ld/FJj4r1fsaRBMQnm7+LX65VzrMH8Lzl3CAT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9GsYLsAAADb&#10;AAAADwAAAAAAAAABACAAAAAiAAAAZHJzL2Rvd25yZXYueG1sUEsBAhQAFAAAAAgAh07iQDMvBZ47&#10;AAAAOQAAABAAAAAAAAAAAQAgAAAACgEAAGRycy9zaGFwZXhtbC54bWxQSwUGAAAAAAYABgBbAQAA&#10;tAM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duPDf7wAAADb&#10;AAAADwAAAGRycy9kb3ducmV2LnhtbEVPS2sCMRC+C/0PYQq9SE0UlLoahQqClx58FHocN+Pu0s1k&#10;SbLq+uuNIHibj+858+XV1uJMPlSONQwHCgRx7kzFhYbDfv35BSJEZIO1Y9LQUYDl4q03x8y4C2/p&#10;vIuFSCEcMtRQxthkUoa8JIth4BrixJ2ctxgT9IU0Hi8p3NZypNREWqw4NZTY0Kqk/H/XWg1t+/Pn&#10;J8p309vt+/jb7w796Ulp/fE+VDMQka7xJX66NybNH8Pjl3SA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jw3+8AAAA&#10;2wAAAA8AAAAAAAAAAQAgAAAAIgAAAGRycy9kb3ducmV2LnhtbFBLAQIUABQAAAAIAIdO4kAzLwWe&#10;OwAAADkAAAAQAAAAAAAAAAEAIAAAAAsBAABkcnMvc2hhcGV4bWwueG1sUEsFBgAAAAAGAAYAWwEA&#10;ALUDA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qUvdTbsAAADb&#10;AAAADwAAAGRycy9kb3ducmV2LnhtbEVPPWvDMBDdC/0P4gJZSiPHgyluZA9JDVnrtDTZrtbFNrFO&#10;RlJj599HhUK3e7zP25SzGcSVnO8tK1ivEhDEjdU9two+DtXzCwgfkDUOlknBjTyUxePDBnNtJ36n&#10;ax1aEUPY56igC2HMpfRNRwb9yo7EkTtbZzBE6FqpHU4x3AwyTZJMGuw5NnQ40raj5lL/GAX78PWZ&#10;2rcn5yuZHXff29OxGk9KLRfr5BVEoDn8i//cex3nZ/D7SzxAF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vdTbsAAADb&#10;AAAADwAAAAAAAAABACAAAAAiAAAAZHJzL2Rvd25yZXYueG1sUEsBAhQAFAAAAAgAh07iQDMvBZ47&#10;AAAAOQAAABAAAAAAAAAAAQAgAAAACgEAAGRycy9zaGFwZXhtbC54bWxQSwUGAAAAAAYABgBbAQAA&#10;tAM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won9nb8AAADb&#10;AAAADwAAAGRycy9kb3ducmV2LnhtbEVPS0vDQBC+C/6HZQpeit2kDx+xmx4qllZFMCp4HLLTbDA7&#10;m2bXNv33bqHgbT6+58wXvW3EnjpfO1aQjhIQxKXTNVcKPj+eru9A+ICssXFMCo7kYZFfXswx0+7A&#10;77QvQiViCPsMFZgQ2kxKXxqy6EeuJY7c1nUWQ4RdJXWHhxhuGzlOkhtpsebYYLClpaHyp/i1Cvrv&#10;+6/ZZDd5PM5WtHmZvr49m91QqatBmjyACNSHf/HZvdZx/i2cfokHy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J/Z2/&#10;AAAA2wAAAA8AAAAAAAAAAQAgAAAAIgAAAGRycy9kb3ducmV2LnhtbFBLAQIUABQAAAAIAIdO4kAz&#10;LwWeOwAAADkAAAAQAAAAAAAAAAEAIAAAAA4BAABkcnMvc2hhcGV4bWwueG1sUEsFBgAAAAAGAAYA&#10;WwEAALgDA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检测结果总览</w:t>
      </w:r>
      <w:bookmarkEnd w:id="5"/>
      <w:bookmarkEnd w:id="6"/>
      <w:bookmarkEnd w:id="7"/>
    </w:p>
    <w:p>
      <w:pPr>
        <w:pStyle w:val="4"/>
        <w:bidi w:val="0"/>
        <w:rPr>
          <w:rFonts w:hint="eastAsia" w:ascii="微软雅黑" w:hAnsi="微软雅黑" w:eastAsia="微软雅黑" w:cs="微软雅黑"/>
          <w:color w:val="2E75B6" w:themeColor="accent1" w:themeShade="BF"/>
          <w:lang w:val="en-US" w:eastAsia="zh-CN"/>
        </w:rPr>
      </w:pPr>
      <w:bookmarkStart w:id="8" w:name="_Toc2935"/>
      <w:r>
        <w:rPr>
          <w:rFonts w:hint="eastAsia" w:ascii="微软雅黑" w:hAnsi="微软雅黑" w:eastAsia="微软雅黑" w:cs="微软雅黑"/>
          <w:color w:val="2E75B6" w:themeColor="accent1" w:themeShade="BF"/>
          <w:lang w:val="en-US" w:eastAsia="zh-CN"/>
        </w:rPr>
        <w:t>基因变异检测结果汇总</w:t>
      </w:r>
      <w:bookmarkEnd w:id="8"/>
    </w:p>
    <w:tbl>
      <w:tblPr>
        <w:tblStyle w:val="11"/>
        <w:tblW w:w="10446" w:type="dxa"/>
        <w:tblInd w:w="125" w:type="dxa"/>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Layout w:type="fixed"/>
        <w:tblCellMar>
          <w:top w:w="0" w:type="dxa"/>
          <w:left w:w="108" w:type="dxa"/>
          <w:bottom w:w="0" w:type="dxa"/>
          <w:right w:w="108" w:type="dxa"/>
        </w:tblCellMar>
      </w:tblPr>
      <w:tblGrid>
        <w:gridCol w:w="5223"/>
        <w:gridCol w:w="5223"/>
      </w:tblGrid>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rPr>
          <w:trHeight w:val="394" w:hRule="atLeast"/>
        </w:trPr>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bCs/>
                <w:color w:val="2E75B6" w:themeColor="accent1" w:themeShade="BF"/>
                <w:sz w:val="18"/>
                <w:szCs w:val="21"/>
                <w:shd w:val="clear"/>
                <w:vertAlign w:val="baseline"/>
                <w:lang w:val="en-US" w:eastAsia="zh-CN"/>
              </w:rPr>
            </w:pPr>
            <w:r>
              <w:rPr>
                <w:rFonts w:hint="eastAsia" w:ascii="微软雅黑" w:hAnsi="微软雅黑" w:eastAsia="微软雅黑" w:cs="微软雅黑"/>
                <w:b/>
                <w:bCs/>
                <w:color w:val="2E75B6" w:themeColor="accent1" w:themeShade="BF"/>
                <w:sz w:val="18"/>
                <w:szCs w:val="21"/>
                <w:shd w:val="clear"/>
                <w:vertAlign w:val="baseline"/>
                <w:lang w:val="en-US" w:eastAsia="zh-CN"/>
              </w:rPr>
              <w:t>变异位点</w:t>
            </w:r>
          </w:p>
        </w:tc>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bCs/>
                <w:color w:val="2E75B6" w:themeColor="accent1" w:themeShade="BF"/>
                <w:sz w:val="18"/>
                <w:szCs w:val="21"/>
                <w:shd w:val="clear"/>
                <w:vertAlign w:val="baseline"/>
                <w:lang w:val="en-US" w:eastAsia="zh-CN"/>
              </w:rPr>
            </w:pPr>
            <w:r>
              <w:rPr>
                <w:rFonts w:hint="eastAsia" w:ascii="微软雅黑" w:hAnsi="微软雅黑" w:eastAsia="微软雅黑" w:cs="微软雅黑"/>
                <w:b/>
                <w:bCs/>
                <w:color w:val="2E75B6" w:themeColor="accent1" w:themeShade="BF"/>
                <w:sz w:val="18"/>
                <w:szCs w:val="21"/>
                <w:shd w:val="clear"/>
                <w:vertAlign w:val="baseline"/>
                <w:lang w:val="en-US" w:eastAsia="zh-CN"/>
              </w:rPr>
              <w:t>突变频率</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rPr>
          <w:trHeight w:val="394" w:hRule="atLeast"/>
        </w:trPr>
        <w:tc>
          <w:tcPr>
            <w:tcW w:w="10446" w:type="dxa"/>
            <w:gridSpan w:val="2"/>
            <w:tcBorders>
              <w:tl2br w:val="nil"/>
              <w:tr2bl w:val="nil"/>
            </w:tcBorders>
            <w:shd w:val="clear" w:color="auto" w:fill="DEEBF6" w:themeFill="accent1" w:themeFillTint="32"/>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b/>
                <w:bCs/>
                <w:color w:val="2E75B6" w:themeColor="accent1" w:themeShade="BF"/>
                <w:sz w:val="18"/>
                <w:szCs w:val="21"/>
                <w:shd w:val="clear"/>
                <w:vertAlign w:val="baseline"/>
                <w:lang w:val="en-US" w:eastAsia="zh-CN"/>
              </w:rPr>
              <w:t xml:space="preserve">一级变异 </w:t>
            </w:r>
            <w:r>
              <w:rPr>
                <w:rFonts w:hint="eastAsia" w:ascii="微软雅黑" w:hAnsi="微软雅黑" w:eastAsia="微软雅黑" w:cs="微软雅黑"/>
                <w:b/>
                <w:bCs/>
                <w:color w:val="2E75B6" w:themeColor="accent1" w:themeShade="BF"/>
                <w:sz w:val="18"/>
                <w:szCs w:val="21"/>
                <w:shd w:val="clear" w:fill="DEEAF6" w:themeFill="accent1" w:themeFillTint="33"/>
                <w:vertAlign w:val="baseline"/>
                <w:lang w:val="en-US" w:eastAsia="zh-CN"/>
              </w:rPr>
              <w:t>{{level1_var_number}}个</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rPr>
          <w:trHeight w:val="258" w:hRule="atLeast"/>
        </w:trPr>
        <w:tc>
          <w:tcPr>
            <w:tcW w:w="10446" w:type="dxa"/>
            <w:gridSpan w:val="2"/>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sz w:val="18"/>
                <w:szCs w:val="18"/>
                <w:highlight w:val="yellow"/>
                <w:lang w:val="en-US" w:eastAsia="zh-CN"/>
              </w:rPr>
              <w:t>{%tr for a in level1_var_dict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a.mutation }}</w:t>
            </w:r>
          </w:p>
        </w:tc>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xml:space="preserve"> {{ a.AF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10446" w:type="dxa"/>
            <w:gridSpan w:val="2"/>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21"/>
                <w:vertAlign w:val="baseline"/>
                <w:lang w:val="en-US" w:eastAsia="zh-CN"/>
              </w:rPr>
            </w:pPr>
            <w:r>
              <w:rPr>
                <w:rFonts w:hint="eastAsia" w:ascii="Times New Roman" w:hAnsi="Times New Roman"/>
                <w:szCs w:val="21"/>
                <w:highlight w:val="yellow"/>
                <w:lang w:val="en-US" w:eastAsia="zh-CN"/>
              </w:rPr>
              <w:t>{%tr endfor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10446" w:type="dxa"/>
            <w:gridSpan w:val="2"/>
            <w:tcBorders>
              <w:tl2br w:val="nil"/>
              <w:tr2bl w:val="nil"/>
            </w:tcBorders>
            <w:shd w:val="clear" w:color="auto" w:fill="DEEBF6" w:themeFill="accent1" w:themeFillTint="32"/>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000000"/>
                <w:sz w:val="20"/>
                <w:szCs w:val="22"/>
                <w:vertAlign w:val="baseline"/>
                <w:lang w:val="en-US" w:eastAsia="zh-CN"/>
              </w:rPr>
            </w:pPr>
            <w:r>
              <w:rPr>
                <w:rFonts w:hint="eastAsia" w:ascii="微软雅黑" w:hAnsi="微软雅黑" w:eastAsia="微软雅黑" w:cs="微软雅黑"/>
                <w:b/>
                <w:bCs/>
                <w:color w:val="2E75B6" w:themeColor="accent1" w:themeShade="BF"/>
                <w:sz w:val="18"/>
                <w:szCs w:val="21"/>
                <w:shd w:val="clear" w:fill="DEEAF6" w:themeFill="accent1" w:themeFillTint="33"/>
                <w:vertAlign w:val="baseline"/>
                <w:lang w:val="en-US" w:eastAsia="zh-CN"/>
              </w:rPr>
              <w:t>二级变异 {{level2_var_number}}个</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10446" w:type="dxa"/>
            <w:gridSpan w:val="2"/>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sz w:val="18"/>
                <w:szCs w:val="18"/>
                <w:highlight w:val="yellow"/>
                <w:lang w:val="en-US" w:eastAsia="zh-CN"/>
              </w:rPr>
              <w:t>{%tr for a in level2_var_dict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xml:space="preserve">{{ a.mutation }} </w:t>
            </w:r>
          </w:p>
        </w:tc>
        <w:tc>
          <w:tcPr>
            <w:tcW w:w="5223"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 a.AF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10446" w:type="dxa"/>
            <w:gridSpan w:val="2"/>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21"/>
                <w:vertAlign w:val="baseline"/>
                <w:lang w:val="en-US" w:eastAsia="zh-CN"/>
              </w:rPr>
            </w:pPr>
            <w:r>
              <w:rPr>
                <w:rFonts w:hint="eastAsia" w:ascii="Times New Roman" w:hAnsi="Times New Roman"/>
                <w:szCs w:val="21"/>
                <w:highlight w:val="yellow"/>
                <w:lang w:val="en-US" w:eastAsia="zh-CN"/>
              </w:rPr>
              <w:t>{%tr endfor %}</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10446" w:type="dxa"/>
            <w:gridSpan w:val="2"/>
            <w:tcBorders>
              <w:tl2br w:val="nil"/>
              <w:tr2bl w:val="nil"/>
            </w:tcBorders>
            <w:shd w:val="clear" w:color="auto" w:fill="DEEBF6" w:themeFill="accent1" w:themeFillTint="32"/>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b/>
                <w:bCs/>
                <w:color w:val="2E75B6" w:themeColor="accent1" w:themeShade="BF"/>
                <w:sz w:val="18"/>
                <w:szCs w:val="21"/>
                <w:shd w:val="clear" w:fill="DEEAF6" w:themeFill="accent1" w:themeFillTint="33"/>
                <w:vertAlign w:val="baseline"/>
                <w:lang w:val="en-US" w:eastAsia="zh-CN"/>
              </w:rPr>
              <w:t>三级变异 {{level3_var_number}}个</w:t>
            </w:r>
          </w:p>
        </w:tc>
      </w:tr>
    </w:tbl>
    <w:p>
      <w:pPr>
        <w:rPr>
          <w:rFonts w:hint="eastAsia"/>
          <w:lang w:val="en-US" w:eastAsia="zh-CN"/>
        </w:rPr>
      </w:pPr>
    </w:p>
    <w:p>
      <w:pPr>
        <w:pStyle w:val="4"/>
        <w:bidi w:val="0"/>
        <w:rPr>
          <w:rFonts w:hint="eastAsia" w:ascii="微软雅黑" w:hAnsi="微软雅黑" w:eastAsia="微软雅黑" w:cs="微软雅黑"/>
          <w:color w:val="2E75B6" w:themeColor="accent1" w:themeShade="BF"/>
          <w:lang w:val="en-US" w:eastAsia="zh-CN"/>
        </w:rPr>
      </w:pPr>
      <w:bookmarkStart w:id="9" w:name="_Toc25178"/>
      <w:r>
        <w:rPr>
          <w:rFonts w:hint="eastAsia" w:ascii="微软雅黑" w:hAnsi="微软雅黑" w:eastAsia="微软雅黑" w:cs="微软雅黑"/>
          <w:color w:val="2E75B6" w:themeColor="accent1" w:themeShade="BF"/>
          <w:lang w:val="en-US" w:eastAsia="zh-CN"/>
        </w:rPr>
        <w:t>免疫治疗预测评估相关检测结果汇总</w:t>
      </w:r>
      <w:bookmarkEnd w:id="9"/>
    </w:p>
    <w:tbl>
      <w:tblPr>
        <w:tblStyle w:val="11"/>
        <w:tblW w:w="10570" w:type="dxa"/>
        <w:tblInd w:w="112"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Layout w:type="fixed"/>
        <w:tblCellMar>
          <w:top w:w="0" w:type="dxa"/>
          <w:left w:w="108" w:type="dxa"/>
          <w:bottom w:w="0" w:type="dxa"/>
          <w:right w:w="108" w:type="dxa"/>
        </w:tblCellMar>
      </w:tblPr>
      <w:tblGrid>
        <w:gridCol w:w="3716"/>
        <w:gridCol w:w="1734"/>
        <w:gridCol w:w="1260"/>
        <w:gridCol w:w="3860"/>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3716"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微卫星不稳定性检测结果（MSI）</w:t>
            </w:r>
          </w:p>
        </w:tc>
        <w:tc>
          <w:tcPr>
            <w:tcW w:w="1734"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sample_type }}：</w:t>
            </w:r>
          </w:p>
        </w:tc>
        <w:tc>
          <w:tcPr>
            <w:tcW w:w="5120" w:type="dxa"/>
            <w:gridSpan w:val="2"/>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MSI_score }} ({{ MSI_type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3716"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肿瘤突变负荷检测结果（TMB）</w:t>
            </w:r>
          </w:p>
        </w:tc>
        <w:tc>
          <w:tcPr>
            <w:tcW w:w="1734"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sample_type }}：</w:t>
            </w:r>
          </w:p>
        </w:tc>
        <w:tc>
          <w:tcPr>
            <w:tcW w:w="5120" w:type="dxa"/>
            <w:gridSpan w:val="2"/>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TMB_result }} 个/MB {{ TMB_type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3716" w:type="dxa"/>
            <w:vMerge w:val="restart"/>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潜在与免疫治疗相关变异检测结果（{{immu_var_number}}）个</w:t>
            </w:r>
          </w:p>
        </w:tc>
        <w:tc>
          <w:tcPr>
            <w:tcW w:w="1734" w:type="dxa"/>
            <w:vMerge w:val="restart"/>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与{{ cancer }}相关（包含实体瘤）</w:t>
            </w:r>
          </w:p>
        </w:tc>
        <w:tc>
          <w:tcPr>
            <w:tcW w:w="12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正向基因：</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38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for a in immu_postive_dict %}</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endfor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3716" w:type="dxa"/>
            <w:vMerge w:val="continue"/>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p>
        </w:tc>
        <w:tc>
          <w:tcPr>
            <w:tcW w:w="1734" w:type="dxa"/>
            <w:vMerge w:val="continue"/>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12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负向基因：</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38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for a in immu_negtive_dict %}</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endfor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DEEBF6" w:themeFill="accent1" w:themeFillTint="32"/>
          <w:tblCellMar>
            <w:top w:w="0" w:type="dxa"/>
            <w:left w:w="108" w:type="dxa"/>
            <w:bottom w:w="0" w:type="dxa"/>
            <w:right w:w="108" w:type="dxa"/>
          </w:tblCellMar>
        </w:tblPrEx>
        <w:tc>
          <w:tcPr>
            <w:tcW w:w="3716" w:type="dxa"/>
            <w:vMerge w:val="continue"/>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p>
        </w:tc>
        <w:tc>
          <w:tcPr>
            <w:tcW w:w="1734" w:type="dxa"/>
            <w:vMerge w:val="continue"/>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12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超进展基因：</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3860" w:type="dxa"/>
            <w:tcBorders>
              <w:tl2br w:val="nil"/>
              <w:tr2bl w:val="nil"/>
            </w:tcBorders>
            <w:shd w:val="clear" w:color="auto" w:fill="FFFFFF" w:themeFill="background1" w:themeFillShade="F2"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for a in immu_supper_dict %}</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p>
            <w:pPr>
              <w:keepNext w:val="0"/>
              <w:keepLines w:val="0"/>
              <w:suppressLineNumbers w:val="0"/>
              <w:spacing w:before="0" w:beforeAutospacing="0" w:after="0" w:afterAutospacing="0"/>
              <w:ind w:left="0" w:right="0"/>
              <w:rPr>
                <w:rFonts w:hint="eastAsia" w:ascii="微软雅黑" w:hAnsi="微软雅黑" w:eastAsia="微软雅黑" w:cs="微软雅黑"/>
                <w:sz w:val="18"/>
                <w:szCs w:val="18"/>
                <w:highlight w:val="yellow"/>
                <w:lang w:val="en-US" w:eastAsia="zh-CN"/>
              </w:rPr>
            </w:pPr>
            <w:r>
              <w:rPr>
                <w:rFonts w:hint="eastAsia" w:ascii="微软雅黑" w:hAnsi="微软雅黑" w:eastAsia="微软雅黑" w:cs="微软雅黑"/>
                <w:sz w:val="18"/>
                <w:szCs w:val="18"/>
                <w:highlight w:val="yellow"/>
                <w:lang w:val="en-US" w:eastAsia="zh-CN"/>
              </w:rPr>
              <w:t>{%p endfor %}</w:t>
            </w:r>
          </w:p>
        </w:tc>
      </w:tr>
    </w:tbl>
    <w:p>
      <w:pPr>
        <w:pStyle w:val="4"/>
        <w:bidi w:val="0"/>
        <w:rPr>
          <w:rFonts w:hint="eastAsia" w:ascii="微软雅黑" w:hAnsi="微软雅黑" w:eastAsia="微软雅黑" w:cs="微软雅黑"/>
          <w:color w:val="2E75B6" w:themeColor="accent1" w:themeShade="BF"/>
          <w:lang w:val="en-US" w:eastAsia="zh-CN"/>
        </w:rPr>
      </w:pPr>
      <w:bookmarkStart w:id="10" w:name="_Toc24928"/>
      <w:r>
        <w:rPr>
          <w:rFonts w:hint="eastAsia" w:ascii="微软雅黑" w:hAnsi="微软雅黑" w:eastAsia="微软雅黑" w:cs="微软雅黑"/>
          <w:color w:val="2E75B6" w:themeColor="accent1" w:themeShade="BF"/>
          <w:lang w:val="en-US" w:eastAsia="zh-CN"/>
        </w:rPr>
        <w:t>肿瘤遗传易感性筛查结果汇总</w:t>
      </w:r>
      <w:bookmarkEnd w:id="10"/>
    </w:p>
    <w:tbl>
      <w:tblPr>
        <w:tblStyle w:val="11"/>
        <w:tblW w:w="1055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146"/>
        <w:gridCol w:w="6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D7D7D7" w:themeColor="background1" w:themeShade="D8" w:sz="4" w:space="0"/>
              <w:left w:val="single" w:color="D7D7D7" w:themeColor="background1" w:themeShade="D8" w:sz="4" w:space="0"/>
              <w:bottom w:val="single" w:color="D7D7D7" w:themeColor="background1" w:themeShade="D8" w:sz="4" w:space="0"/>
              <w:right w:val="nil"/>
            </w:tcBorders>
            <w:shd w:val="clear" w:color="auto" w:fill="DEEBF6" w:themeFill="accent1"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潜在肿瘤遗传易感性相关胚系突变</w:t>
            </w:r>
          </w:p>
        </w:tc>
        <w:tc>
          <w:tcPr>
            <w:tcW w:w="2146" w:type="dxa"/>
            <w:tcBorders>
              <w:top w:val="single" w:color="D7D7D7" w:themeColor="background1" w:themeShade="D8" w:sz="4" w:space="0"/>
              <w:left w:val="nil"/>
              <w:bottom w:val="single" w:color="D7D7D7" w:themeColor="background1" w:themeShade="D8" w:sz="4" w:space="0"/>
              <w:right w:val="nil"/>
            </w:tcBorders>
            <w:shd w:val="clear" w:color="auto" w:fill="DEEBF6" w:themeFill="accent1"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bookmarkStart w:id="11" w:name="OLE_LINK4"/>
            <w:r>
              <w:rPr>
                <w:rFonts w:hint="eastAsia" w:ascii="微软雅黑" w:hAnsi="微软雅黑" w:eastAsia="微软雅黑" w:cs="微软雅黑"/>
                <w:b/>
                <w:bCs/>
                <w:color w:val="2E75B6" w:themeColor="accent1" w:themeShade="BF"/>
                <w:sz w:val="18"/>
                <w:szCs w:val="18"/>
                <w:vertAlign w:val="baseline"/>
                <w:lang w:val="en-US" w:eastAsia="zh-CN"/>
              </w:rPr>
              <w:t>{{ germline_var_number }}</w:t>
            </w:r>
            <w:bookmarkEnd w:id="11"/>
            <w:r>
              <w:rPr>
                <w:rFonts w:hint="eastAsia" w:ascii="微软雅黑" w:hAnsi="微软雅黑" w:eastAsia="微软雅黑" w:cs="微软雅黑"/>
                <w:b/>
                <w:bCs/>
                <w:color w:val="2E75B6" w:themeColor="accent1" w:themeShade="BF"/>
                <w:sz w:val="18"/>
                <w:szCs w:val="18"/>
                <w:vertAlign w:val="baseline"/>
                <w:lang w:val="en-US" w:eastAsia="zh-CN"/>
              </w:rPr>
              <w:t>个</w:t>
            </w:r>
          </w:p>
        </w:tc>
        <w:tc>
          <w:tcPr>
            <w:tcW w:w="6194" w:type="dxa"/>
            <w:tcBorders>
              <w:top w:val="single" w:color="D7D7D7" w:themeColor="background1" w:themeShade="D8" w:sz="4" w:space="0"/>
              <w:left w:val="nil"/>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eastAsia" w:ascii="微软雅黑" w:hAnsi="微软雅黑" w:eastAsia="微软雅黑" w:cs="微软雅黑"/>
                <w:i w:val="0"/>
                <w:iCs w:val="0"/>
                <w:caps w:val="0"/>
                <w:color w:val="404040"/>
                <w:spacing w:val="0"/>
                <w:sz w:val="18"/>
                <w:szCs w:val="18"/>
              </w:rPr>
            </w:pPr>
            <w:r>
              <w:rPr>
                <w:rFonts w:hint="eastAsia" w:ascii="微软雅黑" w:hAnsi="微软雅黑" w:eastAsia="微软雅黑" w:cs="微软雅黑"/>
                <w:i w:val="0"/>
                <w:iCs w:val="0"/>
                <w:caps w:val="0"/>
                <w:color w:val="404040"/>
                <w:spacing w:val="0"/>
                <w:sz w:val="18"/>
                <w:szCs w:val="18"/>
              </w:rPr>
              <w:t>{</w:t>
            </w:r>
            <w:r>
              <w:rPr>
                <w:rFonts w:hint="eastAsia" w:ascii="微软雅黑" w:hAnsi="微软雅黑" w:eastAsia="微软雅黑" w:cs="微软雅黑"/>
                <w:i w:val="0"/>
                <w:iCs w:val="0"/>
                <w:caps w:val="0"/>
                <w:color w:val="666666"/>
                <w:spacing w:val="0"/>
                <w:sz w:val="18"/>
                <w:szCs w:val="18"/>
              </w:rPr>
              <w:t>%</w:t>
            </w:r>
            <w:r>
              <w:rPr>
                <w:rFonts w:hint="eastAsia" w:ascii="微软雅黑" w:hAnsi="微软雅黑" w:eastAsia="微软雅黑" w:cs="微软雅黑"/>
                <w:i w:val="0"/>
                <w:iCs w:val="0"/>
                <w:caps w:val="0"/>
                <w:color w:val="404040"/>
                <w:spacing w:val="0"/>
                <w:sz w:val="18"/>
                <w:szCs w:val="18"/>
              </w:rPr>
              <w:t xml:space="preserve">p </w:t>
            </w:r>
            <w:r>
              <w:rPr>
                <w:rFonts w:hint="eastAsia" w:ascii="微软雅黑" w:hAnsi="微软雅黑" w:eastAsia="微软雅黑" w:cs="微软雅黑"/>
                <w:i w:val="0"/>
                <w:iCs w:val="0"/>
                <w:caps w:val="0"/>
                <w:color w:val="404040"/>
                <w:spacing w:val="0"/>
                <w:sz w:val="18"/>
                <w:szCs w:val="18"/>
                <w:lang w:val="en-US" w:eastAsia="zh-CN"/>
              </w:rPr>
              <w:t xml:space="preserve">for a in </w:t>
            </w:r>
            <w:r>
              <w:rPr>
                <w:rFonts w:hint="eastAsia" w:ascii="微软雅黑" w:hAnsi="微软雅黑" w:eastAsia="微软雅黑" w:cs="微软雅黑"/>
                <w:sz w:val="18"/>
                <w:szCs w:val="18"/>
                <w:highlight w:val="yellow"/>
                <w:lang w:val="en-US" w:eastAsia="zh-CN"/>
              </w:rPr>
              <w:t xml:space="preserve"> germline_var_dict</w:t>
            </w:r>
            <w:r>
              <w:rPr>
                <w:rFonts w:hint="eastAsia" w:ascii="微软雅黑" w:hAnsi="微软雅黑" w:eastAsia="微软雅黑" w:cs="微软雅黑"/>
                <w:i w:val="0"/>
                <w:iCs w:val="0"/>
                <w:caps w:val="0"/>
                <w:color w:val="404040"/>
                <w:spacing w:val="0"/>
                <w:sz w:val="18"/>
                <w:szCs w:val="18"/>
              </w:rPr>
              <w:t xml:space="preserve"> </w:t>
            </w:r>
            <w:r>
              <w:rPr>
                <w:rFonts w:hint="eastAsia" w:ascii="微软雅黑" w:hAnsi="微软雅黑" w:eastAsia="微软雅黑" w:cs="微软雅黑"/>
                <w:i w:val="0"/>
                <w:iCs w:val="0"/>
                <w:caps w:val="0"/>
                <w:color w:val="666666"/>
                <w:spacing w:val="0"/>
                <w:sz w:val="18"/>
                <w:szCs w:val="18"/>
              </w:rPr>
              <w:t>%</w:t>
            </w:r>
            <w:r>
              <w:rPr>
                <w:rFonts w:hint="eastAsia" w:ascii="微软雅黑" w:hAnsi="微软雅黑" w:eastAsia="微软雅黑" w:cs="微软雅黑"/>
                <w:i w:val="0"/>
                <w:iCs w:val="0"/>
                <w:caps w:val="0"/>
                <w:color w:val="404040"/>
                <w:spacing w:val="0"/>
                <w:sz w:val="18"/>
                <w:szCs w:val="18"/>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eastAsia" w:ascii="微软雅黑" w:hAnsi="微软雅黑" w:eastAsia="微软雅黑" w:cs="微软雅黑"/>
                <w:i w:val="0"/>
                <w:iCs w:val="0"/>
                <w:caps w:val="0"/>
                <w:color w:val="404040"/>
                <w:spacing w:val="0"/>
                <w:sz w:val="18"/>
                <w:szCs w:val="18"/>
                <w:lang w:val="en-US" w:eastAsia="zh-CN"/>
              </w:rPr>
            </w:pPr>
            <w:r>
              <w:rPr>
                <w:rFonts w:hint="eastAsia" w:ascii="微软雅黑" w:hAnsi="微软雅黑" w:eastAsia="微软雅黑" w:cs="微软雅黑"/>
                <w:i w:val="0"/>
                <w:iCs w:val="0"/>
                <w:caps w:val="0"/>
                <w:color w:val="404040"/>
                <w:spacing w:val="0"/>
                <w:sz w:val="18"/>
                <w:szCs w:val="18"/>
                <w:lang w:val="en-US" w:eastAsia="zh-CN"/>
              </w:rPr>
              <w:t>{{ a.mutation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leftChars="0" w:right="0" w:rightChars="0" w:firstLine="0" w:firstLineChars="0"/>
              <w:jc w:val="both"/>
              <w:rPr>
                <w:rFonts w:hint="default"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sz w:val="18"/>
                <w:szCs w:val="18"/>
                <w:highlight w:val="yellow"/>
                <w:lang w:val="en-US" w:eastAsia="zh-CN"/>
              </w:rPr>
              <w:t>{%p endfor %}</w:t>
            </w:r>
          </w:p>
        </w:tc>
      </w:tr>
    </w:tbl>
    <w:p>
      <w:pPr>
        <w:pStyle w:val="4"/>
        <w:bidi w:val="0"/>
        <w:rPr>
          <w:rFonts w:hint="eastAsia" w:ascii="微软雅黑" w:hAnsi="微软雅黑" w:eastAsia="微软雅黑" w:cs="微软雅黑"/>
          <w:color w:val="2E75B6" w:themeColor="accent1" w:themeShade="BF"/>
          <w:lang w:val="en-US" w:eastAsia="zh-CN"/>
        </w:rPr>
      </w:pPr>
      <w:bookmarkStart w:id="12" w:name="_Toc25839"/>
    </w:p>
    <w:p>
      <w:pPr>
        <w:pStyle w:val="4"/>
        <w:bidi w:val="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t>DDR相关基因变异检测结果汇总</w:t>
      </w:r>
      <w:bookmarkEnd w:id="12"/>
    </w:p>
    <w:tbl>
      <w:tblPr>
        <w:tblStyle w:val="11"/>
        <w:tblW w:w="10554" w:type="dxa"/>
        <w:tblInd w:w="112"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tblLayout w:type="fixed"/>
        <w:tblCellMar>
          <w:top w:w="0" w:type="dxa"/>
          <w:left w:w="108" w:type="dxa"/>
          <w:bottom w:w="0" w:type="dxa"/>
          <w:right w:w="108" w:type="dxa"/>
        </w:tblCellMar>
      </w:tblPr>
      <w:tblGrid>
        <w:gridCol w:w="2209"/>
        <w:gridCol w:w="2127"/>
        <w:gridCol w:w="6218"/>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tblCellMar>
            <w:top w:w="0" w:type="dxa"/>
            <w:left w:w="108" w:type="dxa"/>
            <w:bottom w:w="0" w:type="dxa"/>
            <w:right w:w="108" w:type="dxa"/>
          </w:tblCellMar>
        </w:tblPrEx>
        <w:tc>
          <w:tcPr>
            <w:tcW w:w="2209"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DDR相关基因变异检测结果</w:t>
            </w:r>
          </w:p>
        </w:tc>
        <w:tc>
          <w:tcPr>
            <w:tcW w:w="2127" w:type="dxa"/>
            <w:tcBorders>
              <w:tl2br w:val="nil"/>
              <w:tr2bl w:val="nil"/>
            </w:tcBorders>
            <w:shd w:val="clear" w:color="auto" w:fill="DEEBF6" w:themeFill="accent1" w:themeFillTint="32"/>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 ddr_var_number }}个</w:t>
            </w:r>
          </w:p>
        </w:tc>
        <w:tc>
          <w:tcPr>
            <w:tcW w:w="6218" w:type="dxa"/>
            <w:tcBorders>
              <w:tl2br w:val="nil"/>
              <w:tr2bl w:val="nil"/>
            </w:tcBorders>
            <w:shd w:val="clear" w:color="auto" w:fill="F1F1F1" w:themeFill="background1" w:themeFillShade="F2"/>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eastAsia" w:ascii="微软雅黑" w:hAnsi="微软雅黑" w:eastAsia="微软雅黑" w:cs="微软雅黑"/>
                <w:i w:val="0"/>
                <w:iCs w:val="0"/>
                <w:caps w:val="0"/>
                <w:color w:val="404040"/>
                <w:spacing w:val="0"/>
                <w:sz w:val="18"/>
                <w:szCs w:val="18"/>
              </w:rPr>
            </w:pPr>
            <w:r>
              <w:rPr>
                <w:rFonts w:hint="eastAsia" w:ascii="微软雅黑" w:hAnsi="微软雅黑" w:eastAsia="微软雅黑" w:cs="微软雅黑"/>
                <w:i w:val="0"/>
                <w:iCs w:val="0"/>
                <w:caps w:val="0"/>
                <w:color w:val="404040"/>
                <w:spacing w:val="0"/>
                <w:sz w:val="18"/>
                <w:szCs w:val="18"/>
              </w:rPr>
              <w:t>{</w:t>
            </w:r>
            <w:r>
              <w:rPr>
                <w:rFonts w:hint="eastAsia" w:ascii="微软雅黑" w:hAnsi="微软雅黑" w:eastAsia="微软雅黑" w:cs="微软雅黑"/>
                <w:i w:val="0"/>
                <w:iCs w:val="0"/>
                <w:caps w:val="0"/>
                <w:color w:val="666666"/>
                <w:spacing w:val="0"/>
                <w:sz w:val="18"/>
                <w:szCs w:val="18"/>
              </w:rPr>
              <w:t>%</w:t>
            </w:r>
            <w:r>
              <w:rPr>
                <w:rFonts w:hint="eastAsia" w:ascii="微软雅黑" w:hAnsi="微软雅黑" w:eastAsia="微软雅黑" w:cs="微软雅黑"/>
                <w:i w:val="0"/>
                <w:iCs w:val="0"/>
                <w:caps w:val="0"/>
                <w:color w:val="404040"/>
                <w:spacing w:val="0"/>
                <w:sz w:val="18"/>
                <w:szCs w:val="18"/>
              </w:rPr>
              <w:t xml:space="preserve">p </w:t>
            </w:r>
            <w:r>
              <w:rPr>
                <w:rFonts w:hint="eastAsia" w:ascii="微软雅黑" w:hAnsi="微软雅黑" w:eastAsia="微软雅黑" w:cs="微软雅黑"/>
                <w:i w:val="0"/>
                <w:iCs w:val="0"/>
                <w:caps w:val="0"/>
                <w:color w:val="404040"/>
                <w:spacing w:val="0"/>
                <w:sz w:val="18"/>
                <w:szCs w:val="18"/>
                <w:lang w:val="en-US" w:eastAsia="zh-CN"/>
              </w:rPr>
              <w:t xml:space="preserve">for a in </w:t>
            </w:r>
            <w:r>
              <w:rPr>
                <w:rFonts w:hint="eastAsia" w:ascii="微软雅黑" w:hAnsi="微软雅黑" w:eastAsia="微软雅黑" w:cs="微软雅黑"/>
                <w:sz w:val="18"/>
                <w:szCs w:val="18"/>
                <w:highlight w:val="yellow"/>
                <w:lang w:val="en-US" w:eastAsia="zh-CN"/>
              </w:rPr>
              <w:t xml:space="preserve"> ddr_var_dict</w:t>
            </w:r>
            <w:r>
              <w:rPr>
                <w:rFonts w:hint="eastAsia" w:ascii="微软雅黑" w:hAnsi="微软雅黑" w:eastAsia="微软雅黑" w:cs="微软雅黑"/>
                <w:i w:val="0"/>
                <w:iCs w:val="0"/>
                <w:caps w:val="0"/>
                <w:color w:val="404040"/>
                <w:spacing w:val="0"/>
                <w:sz w:val="18"/>
                <w:szCs w:val="18"/>
              </w:rPr>
              <w:t xml:space="preserve"> </w:t>
            </w:r>
            <w:r>
              <w:rPr>
                <w:rFonts w:hint="eastAsia" w:ascii="微软雅黑" w:hAnsi="微软雅黑" w:eastAsia="微软雅黑" w:cs="微软雅黑"/>
                <w:i w:val="0"/>
                <w:iCs w:val="0"/>
                <w:caps w:val="0"/>
                <w:color w:val="666666"/>
                <w:spacing w:val="0"/>
                <w:sz w:val="18"/>
                <w:szCs w:val="18"/>
              </w:rPr>
              <w:t>%</w:t>
            </w:r>
            <w:r>
              <w:rPr>
                <w:rFonts w:hint="eastAsia" w:ascii="微软雅黑" w:hAnsi="微软雅黑" w:eastAsia="微软雅黑" w:cs="微软雅黑"/>
                <w:i w:val="0"/>
                <w:iCs w:val="0"/>
                <w:caps w:val="0"/>
                <w:color w:val="404040"/>
                <w:spacing w:val="0"/>
                <w:sz w:val="18"/>
                <w:szCs w:val="18"/>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eastAsia" w:ascii="微软雅黑" w:hAnsi="微软雅黑" w:eastAsia="微软雅黑" w:cs="微软雅黑"/>
                <w:i w:val="0"/>
                <w:iCs w:val="0"/>
                <w:caps w:val="0"/>
                <w:color w:val="404040"/>
                <w:spacing w:val="0"/>
                <w:sz w:val="18"/>
                <w:szCs w:val="18"/>
                <w:lang w:val="en-US" w:eastAsia="zh-CN"/>
              </w:rPr>
            </w:pPr>
            <w:r>
              <w:rPr>
                <w:rFonts w:hint="eastAsia" w:ascii="微软雅黑" w:hAnsi="微软雅黑" w:eastAsia="微软雅黑" w:cs="微软雅黑"/>
                <w:i w:val="0"/>
                <w:iCs w:val="0"/>
                <w:caps w:val="0"/>
                <w:color w:val="404040"/>
                <w:spacing w:val="0"/>
                <w:sz w:val="18"/>
                <w:szCs w:val="18"/>
                <w:lang w:val="en-US" w:eastAsia="zh-CN"/>
              </w:rPr>
              <w:t>{{ a.mutation }}</w:t>
            </w:r>
          </w:p>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sz w:val="18"/>
                <w:szCs w:val="18"/>
                <w:highlight w:val="yellow"/>
                <w:lang w:val="en-US" w:eastAsia="zh-CN"/>
              </w:rPr>
              <w:t>{%p endfor %}</w:t>
            </w:r>
          </w:p>
        </w:tc>
      </w:tr>
    </w:tbl>
    <w:p>
      <w:pPr>
        <w:rPr>
          <w:rFonts w:hint="eastAsia" w:eastAsia="微软雅黑"/>
          <w:b/>
          <w:szCs w:val="21"/>
          <w:lang w:val="en-US" w:eastAsia="zh-CN"/>
        </w:rPr>
      </w:pPr>
      <w:bookmarkStart w:id="13" w:name="_Toc15792"/>
      <w:bookmarkStart w:id="14" w:name="_Toc30026"/>
      <w:r>
        <w:rPr>
          <w:rFonts w:hint="eastAsia" w:eastAsia="微软雅黑"/>
          <w:b/>
          <w:szCs w:val="21"/>
          <w:lang w:val="en-US" w:eastAsia="zh-CN"/>
        </w:rPr>
        <w:t>{</w:t>
      </w:r>
      <w:r>
        <w:rPr>
          <w:rFonts w:eastAsia="微软雅黑"/>
          <w:b/>
          <w:szCs w:val="21"/>
        </w:rPr>
        <w:t>%</w:t>
      </w:r>
      <w:r>
        <w:rPr>
          <w:rFonts w:hint="eastAsia" w:ascii="微软雅黑" w:hAnsi="微软雅黑" w:eastAsia="微软雅黑" w:cs="微软雅黑"/>
          <w:sz w:val="18"/>
          <w:szCs w:val="18"/>
          <w:highlight w:val="none"/>
          <w:lang w:val="en-US" w:eastAsia="zh-CN"/>
        </w:rPr>
        <w:t xml:space="preserve">p </w:t>
      </w:r>
      <w:r>
        <w:rPr>
          <w:rFonts w:eastAsia="微软雅黑"/>
          <w:b/>
          <w:szCs w:val="21"/>
        </w:rPr>
        <w:t xml:space="preserve">if </w:t>
      </w:r>
      <w:r>
        <w:rPr>
          <w:rFonts w:hint="eastAsia" w:ascii="微软雅黑" w:hAnsi="微软雅黑" w:eastAsia="微软雅黑" w:cs="微软雅黑"/>
          <w:sz w:val="18"/>
          <w:szCs w:val="18"/>
          <w:highlight w:val="none"/>
          <w:lang w:val="en-US" w:eastAsia="zh-CN"/>
        </w:rPr>
        <w:t>msh_var_dict</w:t>
      </w:r>
      <w:r>
        <w:rPr>
          <w:rFonts w:eastAsia="微软雅黑"/>
          <w:b/>
          <w:szCs w:val="21"/>
        </w:rPr>
        <w:t>%</w:t>
      </w:r>
      <w:r>
        <w:rPr>
          <w:rFonts w:hint="eastAsia" w:eastAsia="微软雅黑"/>
          <w:b/>
          <w:szCs w:val="21"/>
          <w:lang w:val="en-US" w:eastAsia="zh-CN"/>
        </w:rPr>
        <w:t>}</w:t>
      </w:r>
    </w:p>
    <w:p>
      <w:pPr>
        <w:bidi w:val="0"/>
        <w:ind w:firstLine="360" w:firstLineChars="200"/>
        <w:rPr>
          <w:rFonts w:hint="eastAsia" w:ascii="微软雅黑" w:hAnsi="微软雅黑" w:eastAsia="微软雅黑" w:cs="微软雅黑"/>
          <w:color w:val="2E75B6" w:themeColor="accent1" w:themeShade="BF"/>
          <w:sz w:val="18"/>
          <w:szCs w:val="18"/>
          <w:lang w:val="en-US" w:eastAsia="zh-CN"/>
        </w:rPr>
      </w:pPr>
      <w:r>
        <w:rPr>
          <w:rFonts w:hint="eastAsia" w:ascii="微软雅黑" w:hAnsi="微软雅黑" w:eastAsia="微软雅黑" w:cs="微软雅黑"/>
          <w:color w:val="2E75B6" w:themeColor="accent1" w:themeShade="BF"/>
          <w:sz w:val="18"/>
          <w:szCs w:val="18"/>
          <w:lang w:val="en-US" w:eastAsia="zh-CN"/>
        </w:rPr>
        <w:br w:type="page"/>
      </w:r>
      <w:bookmarkStart w:id="97" w:name="_GoBack"/>
      <w:bookmarkEnd w:id="97"/>
    </w:p>
    <w:p>
      <w:pPr>
        <w:pStyle w:val="3"/>
        <w:bidi w:val="0"/>
        <w:ind w:firstLine="960" w:firstLineChars="200"/>
        <w:rPr>
          <w:rFonts w:hint="eastAsia" w:ascii="微软雅黑" w:hAnsi="微软雅黑" w:eastAsia="微软雅黑" w:cs="微软雅黑"/>
          <w:color w:val="2E75B6" w:themeColor="accent1" w:themeShade="BF"/>
          <w:lang w:val="en-US" w:eastAsia="zh-CN"/>
        </w:rPr>
      </w:pPr>
      <w:bookmarkStart w:id="15" w:name="_Toc4572"/>
      <w:r>
        <w:rPr>
          <w:rFonts w:hint="eastAsia" w:ascii="微软雅黑" w:hAnsi="微软雅黑" w:eastAsia="微软雅黑" w:cs="微软雅黑"/>
          <w:color w:val="2E75B6" w:themeColor="accent1" w:themeShade="BF"/>
          <w:lang w:val="en-US" w:eastAsia="zh-CN"/>
        </w:rPr>
        <mc:AlternateContent>
          <mc:Choice Requires="wpg">
            <w:drawing>
              <wp:anchor distT="0" distB="0" distL="114300" distR="114300" simplePos="0" relativeHeight="251662336" behindDoc="0" locked="0" layoutInCell="1" allowOverlap="1">
                <wp:simplePos x="0" y="0"/>
                <wp:positionH relativeFrom="column">
                  <wp:posOffset>17780</wp:posOffset>
                </wp:positionH>
                <wp:positionV relativeFrom="paragraph">
                  <wp:posOffset>30480</wp:posOffset>
                </wp:positionV>
                <wp:extent cx="472440" cy="499110"/>
                <wp:effectExtent l="0" t="0" r="3810" b="15240"/>
                <wp:wrapNone/>
                <wp:docPr id="19"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20"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1"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2"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3"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1.4pt;margin-top:2.4pt;height:39.3pt;width:37.2pt;z-index:251662336;mso-width-relative:page;mso-height-relative:page;" coordorigin="1825800,1651625" coordsize="539989,571775" o:gfxdata="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DK4vMvWAAAABQEAAA8AAAAAAAAAAQAgAAAAIgAAAGRy&#10;cy9kb3ducmV2LnhtbFBLAQIUABQAAAAIAIdO4kBATStYswQAACATAAAOAAAAAAAAAAEAIAAAACUB&#10;AABkcnMvZTJvRG9jLnhtbFBLBQYAAAAABgAGAFkBAABKC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zoZg3rgAAADb&#10;AAAADwAAAGRycy9kb3ducmV2LnhtbEVPuwrCMBTdBf8hXMFFNLWDSDWKKIoOImrF9dJc22JzU5r4&#10;+nszCI6H857O36YST2pcaVnBcBCBIM6sLjlXkJ7X/TEI55E1VpZJwYcczGft1hQTbV98pOfJ5yKE&#10;sEtQQeF9nUjpsoIMuoGtiQN3s41BH2CTS93gK4SbSsZRNJIGSw4NBda0LCi7nx5GwTLdXTefdHWI&#10;j6OLHy9kL9vHD6W6nWE0AeHp7f/in3urFcRhffgSfoCcf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oZg3rgAAADbAAAA&#10;DwAAAAAAAAABACAAAAAiAAAAZHJzL2Rvd25yZXYueG1sUEsBAhQAFAAAAAgAh07iQDMvBZ47AAAA&#10;OQAAABAAAAAAAAAAAQAgAAAABwEAAGRycy9zaGFwZXhtbC54bWxQSwUGAAAAAAYABgBbAQAAsQMA&#10;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x7QPwb4AAADb&#10;AAAADwAAAGRycy9kb3ducmV2LnhtbEWPT2sCMRTE7wW/Q3iFXqQm60HqahQqFHrpwX/g8XXz3F3c&#10;vCxJVl0/vREEj8PM/IaZL6+2EWfyoXasIRspEMSFMzWXGnbbn88vECEiG2wck4aeAiwXg7c55sZd&#10;eE3nTSxFgnDIUUMVY5tLGYqKLIaRa4mTd3TeYkzSl9J4vCS4beRYqYm0WHNaqLClVUXFadNZDV33&#10;d/AT5fvp7fb9vx/2u+H0qLT+eM/UDESka3yFn+1fo2GcweNL+g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QPwb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GBwR870AAADb&#10;AAAADwAAAGRycy9kb3ducmV2LnhtbEWPQWvCQBSE74X+h+UJXkrdmEMoqasHbcCr0VK9vWafSTD7&#10;NuyuJv57t1DwOMzMN8xiNZpO3Mj51rKC+SwBQVxZ3XKt4LAv3j9A+ICssbNMCu7kYbV8fVlgru3A&#10;O7qVoRYRwj5HBU0IfS6lrxoy6Ge2J47e2TqDIUpXS+1wiHDTyTRJMmmw5bjQYE/rhqpLeTUKtuHn&#10;O7Vfb84XMjtuftenY9GflJpO5skniEBjeIb/21utIE3h7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BHzvQAA&#10;ANsAAAAPAAAAAAAAAAEAIAAAACIAAABkcnMvZG93bnJldi54bWxQSwECFAAUAAAACACHTuJAMy8F&#10;njsAAAA5AAAAEAAAAAAAAAABACAAAAAMAQAAZHJzL3NoYXBleG1sLnhtbFBLBQYAAAAABgAGAFsB&#10;AAC2Aw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c94xI8EAAADb&#10;AAAADwAAAGRycy9kb3ducmV2LnhtbEWPT2sCMRTE70K/Q3iFXopmdVXq1uhBaal/EGor9PjYvG6W&#10;bl7WTarrt2+EgsdhZn7DTOetrcSJGl86VtDvJSCIc6dLLhR8frx0n0D4gKyxckwKLuRhPrvrTDHT&#10;7szvdNqHQkQI+wwVmBDqTEqfG7Loe64mjt63ayyGKJtC6gbPEW4rOUiSsbRYclwwWNPCUP6z/7UK&#10;2q/JYZQe0+Vl9EqrzXC7W5vjo1IP9/3kGUSgNtzC/+03rWCQwvVL/AFy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94x&#10;I8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 cancer }}核心基因变异检测结果</w:t>
      </w:r>
      <w:bookmarkEnd w:id="13"/>
      <w:bookmarkEnd w:id="14"/>
      <w:bookmarkEnd w:id="15"/>
    </w:p>
    <w:p>
      <w:pPr>
        <w:rPr>
          <w:rFonts w:hint="eastAsia" w:ascii="微软雅黑" w:hAnsi="微软雅黑" w:eastAsia="微软雅黑" w:cs="微软雅黑"/>
          <w:b/>
          <w:bCs/>
          <w:color w:val="auto"/>
          <w:sz w:val="18"/>
          <w:szCs w:val="18"/>
          <w:lang w:val="en-US" w:eastAsia="zh-CN"/>
        </w:rPr>
      </w:pPr>
    </w:p>
    <w:tbl>
      <w:tblPr>
        <w:tblStyle w:val="11"/>
        <w:tblW w:w="1044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9"/>
        <w:gridCol w:w="2861"/>
        <w:gridCol w:w="2862"/>
        <w:gridCol w:w="1719"/>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shd w:val="clear" w:color="auto" w:fill="1E4D78" w:themeFill="accent1" w:themeFillShade="7F"/>
            <w:vAlign w:val="top"/>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w:t>
            </w:r>
          </w:p>
        </w:tc>
        <w:tc>
          <w:tcPr>
            <w:tcW w:w="2861" w:type="dxa"/>
            <w:shd w:val="clear" w:color="auto" w:fill="1E4D78" w:themeFill="accent1" w:themeFillShade="7F"/>
            <w:vAlign w:val="top"/>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检测类型</w:t>
            </w:r>
          </w:p>
        </w:tc>
        <w:tc>
          <w:tcPr>
            <w:tcW w:w="2862" w:type="dxa"/>
            <w:shd w:val="clear" w:color="auto" w:fill="1E4D78" w:themeFill="accent1" w:themeFillShade="7F"/>
            <w:vAlign w:val="top"/>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检测结果</w:t>
            </w:r>
          </w:p>
        </w:tc>
        <w:tc>
          <w:tcPr>
            <w:tcW w:w="1719" w:type="dxa"/>
            <w:shd w:val="clear" w:color="auto" w:fill="1E4D78" w:themeFill="accent1" w:themeFillShade="7F"/>
            <w:vAlign w:val="top"/>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基因突变频率</w:t>
            </w:r>
          </w:p>
        </w:tc>
        <w:tc>
          <w:tcPr>
            <w:tcW w:w="1714" w:type="dxa"/>
            <w:shd w:val="clear" w:color="auto" w:fill="1E4D78" w:themeFill="accent1" w:themeFillShade="7F"/>
            <w:vAlign w:val="top"/>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289"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p>
        </w:tc>
        <w:tc>
          <w:tcPr>
            <w:tcW w:w="2861" w:type="dxa"/>
            <w:shd w:val="clear" w:color="auto" w:fill="F1F1F1" w:themeFill="background1" w:themeFillShade="F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353535"/>
                <w:kern w:val="0"/>
                <w:sz w:val="18"/>
                <w:szCs w:val="18"/>
                <w:lang w:val="en-US" w:eastAsia="zh-CN" w:bidi="ar"/>
              </w:rPr>
            </w:pPr>
          </w:p>
        </w:tc>
        <w:tc>
          <w:tcPr>
            <w:tcW w:w="2862" w:type="dxa"/>
            <w:shd w:val="clear" w:color="auto" w:fill="F1F1F1" w:themeFill="background1" w:themeFillShade="F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{%tr for i in core_list %}</w:t>
            </w:r>
          </w:p>
        </w:tc>
        <w:tc>
          <w:tcPr>
            <w:tcW w:w="171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1714"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289"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{{i.SYMBOL}}</w:t>
            </w:r>
          </w:p>
        </w:tc>
        <w:tc>
          <w:tcPr>
            <w:tcW w:w="2861" w:type="dxa"/>
            <w:shd w:val="clear" w:color="auto" w:fill="F1F1F1" w:themeFill="background1" w:themeFillShade="F2"/>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353535"/>
                <w:kern w:val="0"/>
                <w:sz w:val="18"/>
                <w:szCs w:val="18"/>
                <w:lang w:val="en-US" w:eastAsia="zh-CN" w:bidi="ar"/>
              </w:rPr>
              <w:t>{{ i.突变类型 }}</w:t>
            </w:r>
          </w:p>
        </w:tc>
        <w:tc>
          <w:tcPr>
            <w:tcW w:w="2862" w:type="dxa"/>
            <w:shd w:val="clear" w:color="auto" w:fill="F1F1F1" w:themeFill="background1" w:themeFillShade="F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i.HGVSp_x  }}</w:t>
            </w:r>
          </w:p>
          <w:p>
            <w:pPr>
              <w:keepNext w:val="0"/>
              <w:keepLines w:val="0"/>
              <w:suppressLineNumbers w:val="0"/>
              <w:spacing w:before="0" w:beforeAutospacing="0" w:after="0" w:afterAutospacing="0"/>
              <w:ind w:left="0" w:right="0"/>
              <w:jc w:val="both"/>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i.HGVSc}}</w:t>
            </w:r>
          </w:p>
        </w:tc>
        <w:tc>
          <w:tcPr>
            <w:tcW w:w="171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i.AF }}%</w:t>
            </w:r>
          </w:p>
        </w:tc>
        <w:tc>
          <w:tcPr>
            <w:tcW w:w="1714"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i.证据等级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289"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p>
        </w:tc>
        <w:tc>
          <w:tcPr>
            <w:tcW w:w="2861" w:type="dxa"/>
            <w:shd w:val="clear" w:color="auto" w:fill="F1F1F1" w:themeFill="background1" w:themeFillShade="F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353535"/>
                <w:kern w:val="0"/>
                <w:sz w:val="18"/>
                <w:szCs w:val="18"/>
                <w:lang w:val="en-US" w:eastAsia="zh-CN" w:bidi="ar"/>
              </w:rPr>
            </w:pPr>
          </w:p>
        </w:tc>
        <w:tc>
          <w:tcPr>
            <w:tcW w:w="2862" w:type="dxa"/>
            <w:shd w:val="clear" w:color="auto" w:fill="F1F1F1" w:themeFill="background1" w:themeFillShade="F2"/>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{%tr endfor %}</w:t>
            </w:r>
          </w:p>
        </w:tc>
        <w:tc>
          <w:tcPr>
            <w:tcW w:w="171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1714"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bl>
    <w:p>
      <w:pPr>
        <w:rPr>
          <w:rFonts w:hint="eastAsia" w:ascii="微软雅黑" w:hAnsi="微软雅黑" w:eastAsia="微软雅黑" w:cs="微软雅黑"/>
          <w:b/>
          <w:bCs/>
          <w:color w:val="auto"/>
          <w:sz w:val="18"/>
          <w:szCs w:val="18"/>
          <w:lang w:val="en-US" w:eastAsia="zh-CN"/>
        </w:rPr>
      </w:pP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备注：</w:t>
      </w:r>
    </w:p>
    <w:p>
      <w:pPr>
        <w:keepNext w:val="0"/>
        <w:keepLines w:val="0"/>
        <w:widowControl/>
        <w:numPr>
          <w:ilvl w:val="0"/>
          <w:numId w:val="0"/>
        </w:numPr>
        <w:suppressLineNumbers w:val="0"/>
        <w:jc w:val="left"/>
        <w:rPr>
          <w:rFonts w:hint="default" w:ascii="微软雅黑" w:hAnsi="微软雅黑" w:eastAsia="微软雅黑" w:cs="微软雅黑"/>
          <w:color w:val="auto"/>
          <w:sz w:val="16"/>
          <w:szCs w:val="16"/>
          <w:highlight w:val="none"/>
          <w:lang w:val="en-US" w:eastAsia="zh-CN"/>
        </w:rPr>
      </w:pPr>
      <w:r>
        <w:rPr>
          <w:rFonts w:hint="eastAsia" w:ascii="微软雅黑" w:hAnsi="微软雅黑" w:eastAsia="微软雅黑" w:cs="微软雅黑"/>
          <w:color w:val="auto"/>
          <w:sz w:val="16"/>
          <w:szCs w:val="16"/>
          <w:highlight w:val="none"/>
          <w:lang w:val="en-US" w:eastAsia="zh-CN"/>
        </w:rPr>
        <w:t>{{ core_gene_text }}</w:t>
      </w:r>
    </w:p>
    <w:p>
      <w:pPr>
        <w:rPr>
          <w:rFonts w:hint="eastAsia" w:ascii="微软雅黑" w:hAnsi="微软雅黑" w:eastAsia="微软雅黑" w:cs="微软雅黑"/>
          <w:color w:val="2E75B6" w:themeColor="accent1" w:themeShade="BF"/>
          <w:highlight w:val="none"/>
          <w:lang w:val="en-US" w:eastAsia="zh-CN"/>
        </w:rPr>
      </w:pPr>
      <w:r>
        <w:rPr>
          <w:rFonts w:hint="eastAsia" w:ascii="微软雅黑" w:hAnsi="微软雅黑" w:eastAsia="微软雅黑" w:cs="微软雅黑"/>
          <w:color w:val="auto"/>
          <w:sz w:val="16"/>
          <w:szCs w:val="16"/>
          <w:highlight w:val="none"/>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16" w:name="_Toc32000"/>
      <w:bookmarkStart w:id="17" w:name="_Toc23632"/>
      <w:bookmarkStart w:id="18" w:name="_Toc3446"/>
      <w:r>
        <mc:AlternateContent>
          <mc:Choice Requires="wpg">
            <w:drawing>
              <wp:anchor distT="0" distB="0" distL="114300" distR="114300" simplePos="0" relativeHeight="251663360" behindDoc="0" locked="0" layoutInCell="1" allowOverlap="1">
                <wp:simplePos x="0" y="0"/>
                <wp:positionH relativeFrom="column">
                  <wp:posOffset>-25400</wp:posOffset>
                </wp:positionH>
                <wp:positionV relativeFrom="paragraph">
                  <wp:posOffset>24130</wp:posOffset>
                </wp:positionV>
                <wp:extent cx="472440" cy="499110"/>
                <wp:effectExtent l="0" t="0" r="3810" b="15240"/>
                <wp:wrapNone/>
                <wp:docPr id="24"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25"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6"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7"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8"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2pt;margin-top:1.9pt;height:39.3pt;width:37.2pt;z-index:251663360;mso-width-relative:page;mso-height-relative:page;" coordorigin="1825800,1651625" coordsize="539989,571775" o:gfxdata="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3vHDRr0AAADb&#10;AAAADwAAAGRycy9kb3ducmV2LnhtbEWPzarCMBSE94LvEI7gRjS1oEivUURRdCGi9nK3h+bcttic&#10;lCb+vb0RBJfDzHzDTOcPU4kbNa60rGA4iEAQZ1aXnCtIz+v+BITzyBory6TgSQ7ms3Zriom2dz7S&#10;7eRzESDsElRQeF8nUrqsIINuYGvi4P3bxqAPssmlbvAe4KaScRSNpcGSw0KBNS0Lyi6nq1GwTHd/&#10;m2e6OsTH8a+fLGQv28dXpbqdYfQDwtPDf8Of9lYriEfw/hJ+gJ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8cNGvQAA&#10;ANsAAAAPAAAAAAAAAAEAIAAAACIAAABkcnMvZG93bnJldi54bWxQSwECFAAUAAAACACHTuJAMy8F&#10;njsAAAA5AAAAEAAAAAAAAAABACAAAAAMAQAAZHJzL3NoYXBleG1sLnhtbFBLBQYAAAAABgAGAFsB&#10;AAC2Aw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SF2Xtb4AAADb&#10;AAAADwAAAGRycy9kb3ducmV2LnhtbEWPT2sCMRTE74LfIbxCL1ITPSy6GoUKhV568E+hx9fNc3dx&#10;87IkWXX99EYQPA4z8xtmub7aRpzJh9qxhslYgSAunKm51HDYf33MQISIbLBxTBp6CrBeDQdLzI27&#10;8JbOu1iKBOGQo4YqxjaXMhQVWQxj1xIn7+i8xZikL6XxeElw28ipUpm0WHNaqLClTUXFaddZDV33&#10;8+cz5fv57fb5/zvqD6P5UWn9/jZRCxCRrvEVfra/jYZpBo8v6Qf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F2Xtb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CGuya70AAADb&#10;AAAADwAAAGRycy9kb3ducmV2LnhtbEWPT4vCMBTE78J+h/AEL6KpPehSjR7cLXjVVbbens2zLTYv&#10;Jcn659ubBcHjMDO/YRaru2nFlZxvLCuYjBMQxKXVDVcK9j/56BOED8gaW8uk4EEeVsuP3gIzbW+8&#10;pesuVCJC2GeooA6hy6T0ZU0G/dh2xNE7W2cwROkqqR3eIty0Mk2SqTTYcFyosaN1TeVl92cUbMLv&#10;IbXfQ+dzOS2+TutjkXdHpQb9STIHEege3uFXe6MVpDP4/x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a7JrvQAA&#10;ANsAAAAPAAAAAAAAAAEAIAAAACIAAABkcnMvZG93bnJldi54bWxQSwECFAAUAAAACACHTuJAMy8F&#10;njsAAAA5AAAAEAAAAAAAAAABACAAAAAMAQAAZHJzL3NoYXBleG1sLnhtbFBLBQYAAAAABgAGAFsB&#10;AAC2Aw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fXqjUrwAAADb&#10;AAAADwAAAGRycy9kb3ducmV2LnhtbEVPy2oCMRTdC/2HcAtuRDM+saPRhdLSF4LaQpeXyXUyOLkZ&#10;J1HHvzeLgsvDec+XjS3FhWpfOFbQ7yUgiDOnC84V/Oxfu1MQPiBrLB2Tght5WC6eWnNMtbvyli67&#10;kIsYwj5FBSaEKpXSZ4Ys+p6riCN3cLXFEGGdS13jNYbbUg6SZCItFhwbDFa0MpQdd2eroPl7+R0P&#10;T8P1bfxGH1+j782nOXWUaj/3kxmIQE14iP/d71rBII6NX+IP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16o1K8AAAA&#10;2wAAAA8AAAAAAAAAAQAgAAAAIgAAAGRycy9kb3ducmV2LnhtbFBLAQIUABQAAAAIAIdO4kAzLwWe&#10;OwAAADkAAAAQAAAAAAAAAAEAIAAAAAsBAABkcnMvc2hhcGV4bWwueG1sUEsFBgAAAAAGAAYAWwEA&#10;ALUDA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靶向药选择小结</w:t>
      </w:r>
      <w:bookmarkEnd w:id="16"/>
      <w:bookmarkEnd w:id="17"/>
      <w:bookmarkEnd w:id="18"/>
    </w:p>
    <w:tbl>
      <w:tblPr>
        <w:tblStyle w:val="11"/>
        <w:tblW w:w="10445" w:type="dxa"/>
        <w:tblInd w:w="112"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
      <w:tblGrid>
        <w:gridCol w:w="5222"/>
        <w:gridCol w:w="5223"/>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rPr>
          <w:trHeight w:val="579" w:hRule="atLeast"/>
        </w:trPr>
        <w:tc>
          <w:tcPr>
            <w:tcW w:w="5222" w:type="dxa"/>
            <w:tcBorders>
              <w:tl2br w:val="nil"/>
              <w:tr2bl w:val="nil"/>
            </w:tcBorders>
            <w:shd w:val="clear" w:color="auto" w:fill="2E75B5" w:themeFill="accent1" w:themeFillShade="BF"/>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b/>
                <w:bCs/>
                <w:color w:val="FFFFFF" w:themeColor="background1"/>
                <w:vertAlign w:val="baseline"/>
                <w:lang w:val="en-US" w:eastAsia="zh-CN"/>
                <w14:textFill>
                  <w14:solidFill>
                    <w14:schemeClr w14:val="bg1"/>
                  </w14:solidFill>
                </w14:textFill>
              </w:rPr>
              <w:t>变异位点</w:t>
            </w:r>
          </w:p>
        </w:tc>
        <w:tc>
          <w:tcPr>
            <w:tcW w:w="5223" w:type="dxa"/>
            <w:tcBorders>
              <w:bottom w:val="single" w:color="D7D7D7" w:themeColor="background1" w:themeShade="D8" w:sz="4" w:space="0"/>
              <w:tl2br w:val="nil"/>
              <w:tr2bl w:val="nil"/>
            </w:tcBorders>
            <w:shd w:val="clear" w:color="auto" w:fill="2E75B5" w:themeFill="accent1" w:themeFillShade="BF"/>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FFFFFF" w:themeColor="background1"/>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vertAlign w:val="baseline"/>
                <w:lang w:val="en-US" w:eastAsia="zh-CN"/>
                <w14:textFill>
                  <w14:solidFill>
                    <w14:schemeClr w14:val="bg1"/>
                  </w14:solidFill>
                </w14:textFill>
              </w:rPr>
              <w:t>样本来源</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5222" w:type="dxa"/>
            <w:tcBorders>
              <w:right w:val="single" w:color="D7D7D7" w:themeColor="background1" w:themeShade="D8" w:sz="4" w:space="0"/>
              <w:tl2br w:val="nil"/>
              <w:tr2bl w:val="nil"/>
            </w:tcBorders>
            <w:shd w:val="clear" w:color="auto" w:fill="F1F1F1" w:themeFill="background1" w:themeFillShade="F2"/>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{%p for a in durg_overall_var_dict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a.mutation }}</w:t>
            </w:r>
          </w:p>
          <w:p>
            <w:pPr>
              <w:keepNext w:val="0"/>
              <w:keepLines w:val="0"/>
              <w:suppressLineNumbers w:val="0"/>
              <w:spacing w:before="0" w:beforeAutospacing="0" w:after="0" w:afterAutospacing="0"/>
              <w:ind w:left="0" w:right="0"/>
              <w:rPr>
                <w:rFonts w:hint="eastAsia" w:ascii="微软雅黑" w:hAnsi="微软雅黑" w:eastAsia="微软雅黑" w:cs="微软雅黑"/>
                <w:color w:val="FFFFFF" w:themeColor="background1"/>
                <w:vertAlign w:val="baseline"/>
                <w:lang w:val="en-US" w:eastAsia="zh-CN"/>
                <w14:textFill>
                  <w14:solidFill>
                    <w14:schemeClr w14:val="bg1"/>
                  </w14:solidFill>
                </w14:textFill>
              </w:rPr>
            </w:pPr>
            <w:r>
              <w:rPr>
                <w:rFonts w:hint="eastAsia" w:ascii="微软雅黑" w:hAnsi="微软雅黑" w:eastAsia="微软雅黑" w:cs="微软雅黑"/>
                <w:b/>
                <w:bCs/>
                <w:color w:val="2F5597" w:themeColor="accent5" w:themeShade="BF"/>
                <w:vertAlign w:val="baseline"/>
                <w:lang w:val="en-US" w:eastAsia="zh-CN"/>
              </w:rPr>
              <w:t>{%p endfor %} ;</w:t>
            </w:r>
          </w:p>
        </w:tc>
        <w:tc>
          <w:tcPr>
            <w:tcW w:w="5223" w:type="dxa"/>
            <w:tcBorders>
              <w:top w:val="single" w:color="D7D7D7" w:themeColor="background1" w:themeShade="D8" w:sz="4" w:space="0"/>
              <w:left w:val="single" w:color="D7D7D7" w:themeColor="background1" w:themeShade="D8" w:sz="4" w:space="0"/>
              <w:bottom w:val="single" w:color="D7D7D7" w:themeColor="background1" w:themeShade="D8" w:sz="4" w:space="0"/>
            </w:tcBorders>
            <w:shd w:val="clear" w:color="auto" w:fill="F1F1F1" w:themeFill="background1" w:themeFillShade="F2"/>
          </w:tcPr>
          <w:p>
            <w:pPr>
              <w:keepNext w:val="0"/>
              <w:keepLines w:val="0"/>
              <w:suppressLineNumbers w:val="0"/>
              <w:spacing w:before="0" w:beforeAutospacing="0" w:after="0" w:afterAutospacing="0"/>
              <w:ind w:left="0" w:right="0"/>
              <w:rPr>
                <w:rFonts w:hint="eastAsia" w:ascii="微软雅黑" w:hAnsi="微软雅黑" w:eastAsia="微软雅黑" w:cs="微软雅黑"/>
                <w:color w:val="FFFFFF" w:themeColor="background1"/>
                <w:vertAlign w:val="baseline"/>
                <w:lang w:val="en-US" w:eastAsia="zh-CN"/>
                <w14:textFill>
                  <w14:solidFill>
                    <w14:schemeClr w14:val="bg1"/>
                  </w14:solidFill>
                </w14:textFill>
              </w:rPr>
            </w:pPr>
            <w:r>
              <w:rPr>
                <w:rFonts w:hint="eastAsia" w:ascii="微软雅黑" w:hAnsi="微软雅黑" w:eastAsia="微软雅黑" w:cs="微软雅黑"/>
                <w:b/>
                <w:bCs/>
                <w:color w:val="2F5597" w:themeColor="accent5" w:themeShade="BF"/>
                <w:vertAlign w:val="baseline"/>
                <w:lang w:val="en-US" w:eastAsia="zh-CN"/>
              </w:rPr>
              <w:t>{{ sample_type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10445" w:type="dxa"/>
            <w:gridSpan w:val="2"/>
            <w:tcBorders>
              <w:tl2br w:val="nil"/>
              <w:tr2bl w:val="nil"/>
            </w:tcBorders>
            <w:shd w:val="clear" w:color="auto" w:fill="F1F1F1" w:themeFill="background1" w:themeFillShade="F2"/>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药物可能适用于受检者：</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{%p for a in durg_overall_var_dict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a.durg }}</w:t>
            </w:r>
          </w:p>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xml:space="preserve">{%p endfor %} ; </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10445" w:type="dxa"/>
            <w:gridSpan w:val="2"/>
            <w:tcBorders>
              <w:tl2br w:val="nil"/>
              <w:tr2bl w:val="nil"/>
            </w:tcBorders>
            <w:shd w:val="clear" w:color="auto" w:fill="F1F1F1" w:themeFill="background1" w:themeFillShade="F2"/>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{%p for a in durg_overall_var_dict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a.nccn_des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a.fda_des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a.nmpa_des }}</w:t>
            </w:r>
          </w:p>
          <w:p>
            <w:pPr>
              <w:keepNext w:val="0"/>
              <w:keepLines w:val="0"/>
              <w:suppressLineNumbers w:val="0"/>
              <w:spacing w:before="0" w:beforeAutospacing="0" w:after="0" w:afterAutospacing="0"/>
              <w:ind w:left="0" w:right="0"/>
              <w:rPr>
                <w:rFonts w:hint="eastAsia" w:ascii="微软雅黑" w:hAnsi="微软雅黑" w:eastAsia="微软雅黑" w:cs="微软雅黑"/>
                <w:b/>
                <w:bCs/>
                <w:color w:val="2F5597" w:themeColor="accent5" w:themeShade="BF"/>
                <w:vertAlign w:val="baseline"/>
                <w:lang w:val="en-US" w:eastAsia="zh-CN"/>
              </w:rPr>
            </w:pPr>
            <w:r>
              <w:rPr>
                <w:rFonts w:hint="eastAsia" w:ascii="微软雅黑" w:hAnsi="微软雅黑" w:eastAsia="微软雅黑" w:cs="微软雅黑"/>
                <w:b/>
                <w:bCs/>
                <w:color w:val="2F5597" w:themeColor="accent5" w:themeShade="BF"/>
                <w:vertAlign w:val="baseline"/>
                <w:lang w:val="en-US" w:eastAsia="zh-CN"/>
              </w:rPr>
              <w:t xml:space="preserve">{%p endfor %} </w:t>
            </w:r>
          </w:p>
        </w:tc>
      </w:tr>
    </w:tbl>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19" w:name="_Toc25452"/>
      <w:bookmarkStart w:id="20" w:name="_Toc22444"/>
      <w:bookmarkStart w:id="21" w:name="_Toc1721"/>
      <w:r>
        <mc:AlternateContent>
          <mc:Choice Requires="wpg">
            <w:drawing>
              <wp:anchor distT="0" distB="0" distL="114300" distR="114300" simplePos="0" relativeHeight="251664384" behindDoc="0" locked="0" layoutInCell="1" allowOverlap="1">
                <wp:simplePos x="0" y="0"/>
                <wp:positionH relativeFrom="column">
                  <wp:posOffset>-1270</wp:posOffset>
                </wp:positionH>
                <wp:positionV relativeFrom="paragraph">
                  <wp:posOffset>20320</wp:posOffset>
                </wp:positionV>
                <wp:extent cx="472440" cy="499110"/>
                <wp:effectExtent l="0" t="0" r="3810" b="15240"/>
                <wp:wrapNone/>
                <wp:docPr id="36"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37"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38"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39"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40"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0.1pt;margin-top:1.6pt;height:39.3pt;width:37.2pt;z-index:251664384;mso-width-relative:page;mso-height-relative:page;" coordorigin="1825800,1651625" coordsize="539989,571775" o:gfxdata="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xLZud74AAADb&#10;AAAADwAAAGRycy9kb3ducmV2LnhtbEWPT4vCMBTE74LfITzBy6KpXVDpGkUUZT2IVLvs9dG8bYvN&#10;S2niv29vhAWPw8z8hpkt7qYWV2pdZVnBaBiBIM6trrhQkJ02gykI55E11pZJwYMcLObdzgwTbW+c&#10;0vXoCxEg7BJUUHrfJFK6vCSDbmgb4uD92dagD7ItpG7xFuCmlnEUjaXBisNCiQ2tSsrPx4tRsMp2&#10;v9tHtj7E6fjHT5fyI9/HF6X6vVH0BcLT3b/D/+1vreBzAq8v4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Zud74A&#10;AADbAAAADwAAAAAAAAABACAAAAAiAAAAZHJzL2Rvd25yZXYueG1sUEsBAhQAFAAAAAgAh07iQDMv&#10;BZ47AAAAOQAAABAAAAAAAAAAAQAgAAAADQEAAGRycy9zaGFwZXhtbC54bWxQSwUGAAAAAAYABgBb&#10;AQAAtwM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01cwgboAAADb&#10;AAAADwAAAGRycy9kb3ducmV2LnhtbEVPTYvCMBC9L/gfwgheRBNdEK1GQWFhLx7WVfA4NmNbbCYl&#10;SdX6681hYY+P973aPG0t7uRD5VjDZKxAEOfOVFxoOP5+jeYgQkQ2WDsmDR0F2Kx7HyvMjHvwD90P&#10;sRAphEOGGsoYm0zKkJdkMYxdQ5y4q/MWY4K+kMbjI4XbWk6VmkmLFaeGEhvalZTfDq3V0Lb7s58p&#10;3y1er+3lNOyOw8VVaT3oT9QSRKRn/Bf/ub+Nhs80Nn1JP0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VzCBugAAANsA&#10;AAAPAAAAAAAAAAEAIAAAACIAAABkcnMvZG93bnJldi54bWxQSwECFAAUAAAACACHTuJAMy8FnjsA&#10;AAA5AAAAEAAAAAAAAAABACAAAAAJAQAAZHJzL3NoYXBleG1sLnhtbFBLBQYAAAAABgAGAFsBAACz&#10;Aw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k2EVX7wAAADb&#10;AAAADwAAAGRycy9kb3ducmV2LnhtbEWPT4vCMBTE74LfITzBy6KpLohWowe14FVXUW/P5tkWm5eS&#10;xH/ffrOw4HGYmd8ws8XL1OJBzleWFQz6CQji3OqKCwX7n6w3BuEDssbaMil4k4fFvN2aYartk7f0&#10;2IVCRAj7FBWUITSplD4vyaDv24Y4elfrDIYoXSG1w2eEm1oOk2QkDVYcF0psaFlSftvdjYJNOB6G&#10;dv3lfCZHp9VleT5lzVmpbmeQTEEEeoVP+L+90Qq+J/D3Jf4A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FV+8AAAA&#10;2wAAAA8AAAAAAAAAAQAgAAAAIgAAAGRycy9kb3ducmV2LnhtbFBLAQIUABQAAAAIAIdO4kAzLwWe&#10;OwAAADkAAAAQAAAAAAAAAAEAIAAAAAsBAABkcnMvc2hhcGV4bWwueG1sUEsFBgAAAAAGAAYAWwEA&#10;ALUDA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XtNK9L0AAADb&#10;AAAADwAAAGRycy9kb3ducmV2LnhtbEVPz2vCMBS+D/Y/hDfwIpo6dczO6GFD0SkDOwWPj+atKWte&#10;ahO1/vfmMNjx4/s9nbe2EhdqfOlYwaCfgCDOnS65ULD/XvReQfiArLFyTApu5GE+e3yYYqrdlXd0&#10;yUIhYgj7FBWYEOpUSp8bsuj7riaO3I9rLIYIm0LqBq8x3FbyOUlepMWSY4PBmt4N5b/Z2Spoj5PD&#10;eHgaftzGS1pvRtuvT3PqKtV5GiRvIAK14V/8515pBaO4Pn6JP0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00r0vQAA&#10;ANsAAAAPAAAAAAAAAAEAIAAAACIAAABkcnMvZG93bnJldi54bWxQSwECFAAUAAAACACHTuJAMy8F&#10;njsAAAA5AAAAEAAAAAAAAAABACAAAAAMAQAAZHJzL3NoYXBleG1sLnhtbFBLBQYAAAAABgAGAFsB&#10;AAC2Aw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靶向药治疗相关检测结果</w:t>
      </w:r>
      <w:bookmarkEnd w:id="19"/>
      <w:bookmarkEnd w:id="20"/>
      <w:bookmarkEnd w:id="21"/>
    </w:p>
    <w:p>
      <w:pPr>
        <w:pStyle w:val="4"/>
        <w:bidi w:val="0"/>
        <w:rPr>
          <w:rFonts w:hint="eastAsia"/>
          <w:lang w:val="en-US" w:eastAsia="zh-CN"/>
        </w:rPr>
      </w:pPr>
      <w:bookmarkStart w:id="22" w:name="_Toc19520"/>
      <w:r>
        <w:rPr>
          <w:rFonts w:hint="eastAsia" w:ascii="微软雅黑" w:hAnsi="微软雅黑" w:eastAsia="微软雅黑" w:cs="微软雅黑"/>
          <w:color w:val="2E75B6" w:themeColor="accent1" w:themeShade="BF"/>
          <w:lang w:val="en-US" w:eastAsia="zh-CN"/>
        </w:rPr>
        <w:t>一级变异检测结果</w:t>
      </w:r>
      <w:bookmarkEnd w:id="22"/>
    </w:p>
    <w:p/>
    <w:tbl>
      <w:tblPr>
        <w:tblStyle w:val="11"/>
        <w:tblW w:w="1041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167"/>
        <w:gridCol w:w="2987"/>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005"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基因及变异频率</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证据等级</w:t>
            </w:r>
          </w:p>
        </w:tc>
        <w:tc>
          <w:tcPr>
            <w:tcW w:w="2987" w:type="dxa"/>
            <w:vMerge w:val="restart"/>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敏感</w:t>
            </w:r>
          </w:p>
        </w:tc>
        <w:tc>
          <w:tcPr>
            <w:tcW w:w="3259" w:type="dxa"/>
            <w:vMerge w:val="restart"/>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05"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sz w:val="18"/>
                <w:szCs w:val="18"/>
                <w:highlight w:val="yellow"/>
                <w:lang w:val="en-US" w:eastAsia="zh-CN"/>
              </w:rPr>
              <w:t>{%tr for a in level1_var_dict %}</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c>
          <w:tcPr>
            <w:tcW w:w="2987" w:type="dxa"/>
            <w:vMerge w:val="continue"/>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c>
          <w:tcPr>
            <w:tcW w:w="3259" w:type="dxa"/>
            <w:vMerge w:val="continue"/>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005" w:type="dxa"/>
            <w:vMerge w:val="restart"/>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default"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 xml:space="preserve">{{ a.mutation }} </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a.AF }}%</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a.证据等级 }}</w:t>
            </w:r>
          </w:p>
        </w:tc>
        <w:tc>
          <w:tcPr>
            <w:tcW w:w="298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a.敏感 }}</w:t>
            </w:r>
          </w:p>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p>
        </w:tc>
        <w:tc>
          <w:tcPr>
            <w:tcW w:w="3259"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vMerge w:val="continue"/>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变异注释：</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vMerge w:val="continue"/>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基因注释：</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sz w:val="18"/>
                <w:szCs w:val="18"/>
                <w:highlight w:val="yellow"/>
                <w:lang w:val="en-US" w:eastAsia="zh-CN"/>
              </w:rPr>
              <w:t>{%tr endfor %}</w:t>
            </w: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000000" w:themeColor="text1"/>
                <w:sz w:val="18"/>
                <w:szCs w:val="21"/>
                <w:lang w:val="en-US" w:eastAsia="zh-CN"/>
                <w14:textFill>
                  <w14:solidFill>
                    <w14:schemeClr w14:val="tx1"/>
                  </w14:solidFill>
                </w14:textFill>
              </w:rPr>
            </w:pPr>
          </w:p>
        </w:tc>
      </w:tr>
    </w:tbl>
    <w:p>
      <w:pPr>
        <w:rPr>
          <w:rFonts w:hint="eastAsia" w:ascii="微软雅黑" w:hAnsi="微软雅黑" w:eastAsia="微软雅黑" w:cs="微软雅黑"/>
          <w:color w:val="2E75B6" w:themeColor="accent1" w:themeShade="BF"/>
          <w:lang w:val="en-US" w:eastAsia="zh-CN"/>
        </w:rPr>
      </w:pPr>
    </w:p>
    <w:p>
      <w:pPr>
        <w:pStyle w:val="4"/>
        <w:bidi w:val="0"/>
        <w:rPr>
          <w:rFonts w:hint="eastAsia" w:ascii="微软雅黑" w:hAnsi="微软雅黑" w:eastAsia="微软雅黑" w:cs="微软雅黑"/>
          <w:color w:val="2E75B6" w:themeColor="accent1" w:themeShade="BF"/>
          <w:lang w:val="en-US" w:eastAsia="zh-CN"/>
        </w:rPr>
      </w:pPr>
      <w:bookmarkStart w:id="23" w:name="_Toc16186"/>
      <w:r>
        <w:rPr>
          <w:rFonts w:hint="eastAsia" w:ascii="微软雅黑" w:hAnsi="微软雅黑" w:eastAsia="微软雅黑" w:cs="微软雅黑"/>
          <w:color w:val="2E75B6" w:themeColor="accent1" w:themeShade="BF"/>
          <w:lang w:val="en-US" w:eastAsia="zh-CN"/>
        </w:rPr>
        <w:t>二级变异检测结果</w:t>
      </w:r>
      <w:bookmarkEnd w:id="23"/>
    </w:p>
    <w:tbl>
      <w:tblPr>
        <w:tblStyle w:val="11"/>
        <w:tblW w:w="1041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167"/>
        <w:gridCol w:w="2987"/>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005"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基因及变异频率</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证据等级</w:t>
            </w:r>
          </w:p>
        </w:tc>
        <w:tc>
          <w:tcPr>
            <w:tcW w:w="2987" w:type="dxa"/>
            <w:vMerge w:val="restart"/>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敏感</w:t>
            </w:r>
          </w:p>
        </w:tc>
        <w:tc>
          <w:tcPr>
            <w:tcW w:w="3259" w:type="dxa"/>
            <w:vMerge w:val="restart"/>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05"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sz w:val="18"/>
                <w:szCs w:val="18"/>
                <w:highlight w:val="yellow"/>
                <w:lang w:val="en-US" w:eastAsia="zh-CN"/>
              </w:rPr>
              <w:t>{%tr for a in level2_var_dict %}</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c>
          <w:tcPr>
            <w:tcW w:w="2987" w:type="dxa"/>
            <w:vMerge w:val="continue"/>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c>
          <w:tcPr>
            <w:tcW w:w="3259" w:type="dxa"/>
            <w:vMerge w:val="continue"/>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2E75B6" w:themeColor="accent1" w:themeShade="BF"/>
                <w:sz w:val="18"/>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005" w:type="dxa"/>
            <w:vMerge w:val="restart"/>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default"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 xml:space="preserve">{{ a.mutation }} </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a.AF }}%</w:t>
            </w:r>
          </w:p>
        </w:tc>
        <w:tc>
          <w:tcPr>
            <w:tcW w:w="216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a.证据等级 }}</w:t>
            </w:r>
          </w:p>
        </w:tc>
        <w:tc>
          <w:tcPr>
            <w:tcW w:w="2987"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a.敏感 }}</w:t>
            </w:r>
          </w:p>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p>
        </w:tc>
        <w:tc>
          <w:tcPr>
            <w:tcW w:w="3259" w:type="dxa"/>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vMerge w:val="continue"/>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变异注释：</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vMerge w:val="continue"/>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基因注释：</w:t>
            </w:r>
            <w:r>
              <w:rPr>
                <w:rFonts w:hint="eastAsia" w:ascii="微软雅黑" w:hAnsi="微软雅黑" w:eastAsia="微软雅黑" w:cs="微软雅黑"/>
                <w:b w:val="0"/>
                <w:bCs w:val="0"/>
                <w:color w:val="2E75B6" w:themeColor="accent1" w:themeShade="BF"/>
                <w:kern w:val="2"/>
                <w:sz w:val="18"/>
                <w:szCs w:val="18"/>
                <w:vertAlign w:val="baseline"/>
                <w:lang w:val="en-US" w:eastAsia="zh-CN" w:bidi="ar-SA"/>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5" w:type="dxa"/>
            <w:tcBorders>
              <w:left w:val="nil"/>
              <w:right w:val="nil"/>
            </w:tcBorders>
            <w:shd w:val="clear" w:color="auto" w:fill="DEEBF6" w:themeFill="accent1" w:themeFillTint="32"/>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sz w:val="18"/>
                <w:szCs w:val="18"/>
                <w:highlight w:val="yellow"/>
                <w:lang w:val="en-US" w:eastAsia="zh-CN"/>
              </w:rPr>
              <w:t>{%tr endfor %}</w:t>
            </w:r>
          </w:p>
        </w:tc>
        <w:tc>
          <w:tcPr>
            <w:tcW w:w="8413" w:type="dxa"/>
            <w:gridSpan w:val="3"/>
            <w:tcBorders>
              <w:left w:val="nil"/>
              <w:right w:val="nil"/>
            </w:tcBorders>
            <w:vAlign w:val="top"/>
          </w:tcPr>
          <w:p>
            <w:pPr>
              <w:keepNext w:val="0"/>
              <w:keepLines w:val="0"/>
              <w:suppressLineNumbers w:val="0"/>
              <w:bidi w:val="0"/>
              <w:spacing w:before="0" w:beforeAutospacing="0" w:after="0" w:afterAutospacing="0"/>
              <w:ind w:left="0" w:right="0"/>
              <w:rPr>
                <w:rFonts w:hint="eastAsia" w:ascii="微软雅黑" w:hAnsi="微软雅黑" w:eastAsia="微软雅黑" w:cs="微软雅黑"/>
                <w:b/>
                <w:bCs/>
                <w:color w:val="000000" w:themeColor="text1"/>
                <w:sz w:val="18"/>
                <w:szCs w:val="21"/>
                <w:lang w:val="en-US" w:eastAsia="zh-CN"/>
                <w14:textFill>
                  <w14:solidFill>
                    <w14:schemeClr w14:val="tx1"/>
                  </w14:solidFill>
                </w14:textFill>
              </w:rPr>
            </w:pPr>
          </w:p>
        </w:tc>
      </w:tr>
    </w:tbl>
    <w:p>
      <w:pPr>
        <w:rPr>
          <w:rFonts w:hint="eastAsia"/>
          <w:lang w:val="en-US" w:eastAsia="zh-CN"/>
        </w:rPr>
      </w:pPr>
    </w:p>
    <w:p>
      <w:pPr>
        <w:pStyle w:val="4"/>
        <w:bidi w:val="0"/>
        <w:rPr>
          <w:rFonts w:hint="eastAsia" w:ascii="微软雅黑" w:hAnsi="微软雅黑" w:eastAsia="微软雅黑" w:cs="微软雅黑"/>
          <w:color w:val="2E75B6" w:themeColor="accent1" w:themeShade="BF"/>
          <w:lang w:val="en-US" w:eastAsia="zh-CN"/>
        </w:rPr>
      </w:pPr>
      <w:bookmarkStart w:id="24" w:name="_Toc9758"/>
      <w:r>
        <w:rPr>
          <w:rFonts w:hint="eastAsia" w:ascii="微软雅黑" w:hAnsi="微软雅黑" w:eastAsia="微软雅黑" w:cs="微软雅黑"/>
          <w:color w:val="2E75B6" w:themeColor="accent1" w:themeShade="BF"/>
          <w:lang w:val="en-US" w:eastAsia="zh-CN"/>
        </w:rPr>
        <w:t>三级变异检测结果</w:t>
      </w:r>
      <w:bookmarkEnd w:id="24"/>
    </w:p>
    <w:tbl>
      <w:tblPr>
        <w:tblStyle w:val="11"/>
        <w:tblpPr w:leftFromText="180" w:rightFromText="180" w:vertAnchor="text" w:horzAnchor="page" w:tblpX="846" w:tblpY="141"/>
        <w:tblOverlap w:val="never"/>
        <w:tblW w:w="10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4018"/>
        <w:gridCol w:w="4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6" w:hRule="atLeast"/>
        </w:trPr>
        <w:tc>
          <w:tcPr>
            <w:tcW w:w="1391"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基因</w:t>
            </w:r>
          </w:p>
        </w:tc>
        <w:tc>
          <w:tcPr>
            <w:tcW w:w="4018"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变异</w:t>
            </w:r>
          </w:p>
        </w:tc>
        <w:tc>
          <w:tcPr>
            <w:tcW w:w="4982"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样本类型及突变频率</w:t>
            </w:r>
          </w:p>
        </w:tc>
      </w:tr>
    </w:tbl>
    <w:p>
      <w:pPr>
        <w:pStyle w:val="4"/>
        <w:bidi w:val="0"/>
        <w:rPr>
          <w:rFonts w:hint="eastAsia" w:ascii="微软雅黑" w:hAnsi="微软雅黑" w:eastAsia="微软雅黑" w:cs="微软雅黑"/>
          <w:color w:val="2E75B6" w:themeColor="accent1" w:themeShade="BF"/>
          <w:lang w:val="en-US" w:eastAsia="zh-CN"/>
        </w:rPr>
      </w:pPr>
      <w:bookmarkStart w:id="25" w:name="_Toc6504"/>
      <w:r>
        <w:rPr>
          <w:rFonts w:hint="eastAsia" w:ascii="微软雅黑" w:hAnsi="微软雅黑" w:eastAsia="微软雅黑" w:cs="微软雅黑"/>
          <w:color w:val="2E75B6" w:themeColor="accent1" w:themeShade="BF"/>
          <w:lang w:val="en-US" w:eastAsia="zh-CN"/>
        </w:rPr>
        <w:t>本癌种中与检测到变异相关临床实验</w:t>
      </w:r>
      <w:bookmarkEnd w:id="25"/>
    </w:p>
    <w:tbl>
      <w:tblPr>
        <w:tblStyle w:val="11"/>
        <w:tblW w:w="10543"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4"/>
        <w:gridCol w:w="1296"/>
        <w:gridCol w:w="3715"/>
        <w:gridCol w:w="1650"/>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974"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编号</w:t>
            </w:r>
          </w:p>
        </w:tc>
        <w:tc>
          <w:tcPr>
            <w:tcW w:w="1296"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分期</w:t>
            </w:r>
          </w:p>
        </w:tc>
        <w:tc>
          <w:tcPr>
            <w:tcW w:w="3715"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相关药物</w:t>
            </w:r>
          </w:p>
        </w:tc>
        <w:tc>
          <w:tcPr>
            <w:tcW w:w="1650"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相关变异</w:t>
            </w:r>
          </w:p>
        </w:tc>
        <w:tc>
          <w:tcPr>
            <w:tcW w:w="1908" w:type="dxa"/>
            <w:tcBorders>
              <w:left w:val="nil"/>
              <w:right w:val="nil"/>
            </w:tcBorders>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543" w:type="dxa"/>
            <w:gridSpan w:val="5"/>
            <w:tcBorders>
              <w:left w:val="nil"/>
              <w:right w:val="nil"/>
            </w:tcBorders>
            <w:shd w:val="clear" w:color="auto" w:fill="DEEBF6" w:themeFill="accent1" w:themeFillTint="32"/>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sz w:val="8"/>
                <w:szCs w:val="11"/>
                <w:vertAlign w:val="baseline"/>
                <w:lang w:val="en-US" w:eastAsia="zh-CN"/>
              </w:rPr>
            </w:pPr>
            <w:bookmarkStart w:id="26" w:name="OLE_LINK3"/>
            <w:r>
              <w:rPr>
                <w:rFonts w:hint="eastAsia" w:ascii="微软雅黑" w:hAnsi="微软雅黑" w:eastAsia="微软雅黑" w:cs="微软雅黑"/>
                <w:sz w:val="18"/>
                <w:szCs w:val="18"/>
                <w:highlight w:val="yellow"/>
                <w:lang w:val="en-US" w:eastAsia="zh-CN"/>
              </w:rPr>
              <w:t>{%tr for a in clinical_dict %}</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4" w:type="dxa"/>
            <w:tcBorders>
              <w:left w:val="nil"/>
              <w:right w:val="nil"/>
            </w:tcBorders>
            <w:shd w:val="clear" w:color="auto" w:fill="DEEBF6" w:themeFill="accent1" w:themeFillTint="32"/>
            <w:vAlign w:val="top"/>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sz w:val="18"/>
                <w:szCs w:val="21"/>
                <w:lang w:val="en-US" w:eastAsia="zh-CN"/>
              </w:rPr>
              <w:t>{{ a.NCT_Number }}</w:t>
            </w:r>
          </w:p>
        </w:tc>
        <w:tc>
          <w:tcPr>
            <w:tcW w:w="1296" w:type="dxa"/>
            <w:tcBorders>
              <w:left w:val="nil"/>
              <w:right w:val="nil"/>
            </w:tcBorders>
            <w:vAlign w:val="top"/>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a.Phases }}</w:t>
            </w:r>
          </w:p>
        </w:tc>
        <w:tc>
          <w:tcPr>
            <w:tcW w:w="3715" w:type="dxa"/>
            <w:tcBorders>
              <w:left w:val="nil"/>
              <w:right w:val="nil"/>
            </w:tcBorders>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a.Interventions }}</w:t>
            </w:r>
          </w:p>
        </w:tc>
        <w:tc>
          <w:tcPr>
            <w:tcW w:w="1650" w:type="dxa"/>
            <w:tcBorders>
              <w:left w:val="nil"/>
              <w:right w:val="nil"/>
            </w:tcBorders>
            <w:vAlign w:val="top"/>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a.mutation }}</w:t>
            </w:r>
          </w:p>
        </w:tc>
        <w:tc>
          <w:tcPr>
            <w:tcW w:w="1908" w:type="dxa"/>
            <w:tcBorders>
              <w:left w:val="nil"/>
              <w:right w:val="nil"/>
            </w:tcBorders>
            <w:vAlign w:val="top"/>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a.Locations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43" w:type="dxa"/>
            <w:gridSpan w:val="5"/>
            <w:tcBorders>
              <w:left w:val="nil"/>
              <w:right w:val="nil"/>
            </w:tcBorders>
            <w:shd w:val="clear" w:color="auto" w:fill="DEEBF6" w:themeFill="accent1" w:themeFillTint="32"/>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Times New Roman" w:hAnsi="Times New Roman"/>
                <w:szCs w:val="21"/>
                <w:highlight w:val="yellow"/>
                <w:lang w:val="en-US" w:eastAsia="zh-CN"/>
              </w:rPr>
              <w:t>{%tr endfor %}</w:t>
            </w:r>
          </w:p>
        </w:tc>
      </w:tr>
    </w:tbl>
    <w:p>
      <w:pPr>
        <w:rPr>
          <w:rFonts w:hint="eastAsia" w:ascii="微软雅黑" w:hAnsi="微软雅黑" w:eastAsia="微软雅黑" w:cs="微软雅黑"/>
          <w:color w:val="2E75B6" w:themeColor="accent1" w:themeShade="BF"/>
          <w:lang w:val="en-US" w:eastAsia="zh-CN"/>
        </w:rPr>
      </w:pPr>
    </w:p>
    <w:p>
      <w:pPr>
        <w:jc w:val="left"/>
        <w:rPr>
          <w:rFonts w:hint="eastAsia" w:ascii="微软雅黑" w:hAnsi="微软雅黑" w:eastAsia="微软雅黑" w:cs="微软雅黑"/>
          <w:b/>
          <w:bCs/>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备注：</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1.</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 参考2017年ASCO，AMP，CAP联合发布的《癌症序列变异解释和报告指南》，将报出的变异分为三级，变异和证据分级说明如下：</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一级变异：</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在治疗，预后或诊断方面具有强临床意义的基因变异为一级变异。一级变异对应A级和B级两种不同等级的证据支持。</w:t>
      </w:r>
    </w:p>
    <w:p>
      <w:pPr>
        <w:ind w:left="958" w:leftChars="456" w:firstLine="0" w:firstLineChars="0"/>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A级证据：</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该变异被FDA批准或收录进NCCN临床实践指南等专业指南中对某种特定类型的肿瘤可预测治疗响应性或耐药，或对某些类型的肿瘤具有诊断/预后意义。</w:t>
      </w:r>
    </w:p>
    <w:p>
      <w:pPr>
        <w:ind w:left="958" w:leftChars="456" w:firstLine="0" w:firstLineChars="0"/>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B级证据：</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该变异虽未被FDA批准或专业指南收录，但基于较好的研究达成的专家共识或被反复验证的或能被不同研究组所重复的小样本研究，可预测治疗响应性或耐药，或具有诊断/预后意义。 </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二级变异：</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在治疗，预后或诊断方面具有潜在临床意义的基因变异为二级变异。二级变异对应C级，D级和E级三种不同等级的证据支持。 </w:t>
      </w:r>
    </w:p>
    <w:p>
      <w:pPr>
        <w:ind w:left="958" w:leftChars="456" w:firstLine="0" w:firstLineChars="0"/>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C级证据：</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在此癌种里检出的变异仅被FDA批准或收录进NCCN临床实践指南等专业指南中用于对另一不同癌种预测治疗响应性或耐药，或来自癌症研究性治疗，回顾性研究，Ⅱ/Ⅲ期临床试验等某些临床证据。C级证据还包括该变异基于大量小样本研究的部分共识，具有一定的诊断/预后意义。</w:t>
      </w:r>
    </w:p>
    <w:p>
      <w:pPr>
        <w:ind w:left="958" w:leftChars="456" w:firstLine="0" w:firstLineChars="0"/>
        <w:jc w:val="both"/>
        <w:rPr>
          <w:rFonts w:hint="default"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D级证据：</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来自Ⅰ期临床试验或少数病例报告研究。来自临床前研究，细胞/动物实验结果。</w:t>
      </w:r>
    </w:p>
    <w:p>
      <w:pPr>
        <w:ind w:left="841" w:hanging="841" w:hangingChars="467"/>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三级变异：</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在治疗，预后或诊断方面临床意义未知或从未在任何癌症中报道过的基因变异为三级变异。此类变异缺乏让人信服的癌症相关性的证的报道，且不应在总体人群或特定亚群数据库，泛癌症或肿瘤特异性变异数据库中有显著的等位基因频率。 </w:t>
      </w:r>
    </w:p>
    <w:p>
      <w:pPr>
        <w:numPr>
          <w:ilvl w:val="0"/>
          <w:numId w:val="1"/>
        </w:num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基因变异描述：</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“EGFR基因变异描述：“EGFR p.L858R” EGFR基因上第858号密码子变异，氨基酸由亮氨酸（L）变为精氨酸（R）；“EGFR </w:t>
      </w:r>
    </w:p>
    <w:p>
      <w:pPr>
        <w:ind w:firstLine="420" w:firstLineChars="0"/>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color w:val="000000" w:themeColor="text1"/>
          <w:sz w:val="16"/>
          <w:szCs w:val="20"/>
          <w:lang w:val="en-US" w:eastAsia="zh-CN"/>
          <w14:textFill>
            <w14:solidFill>
              <w14:schemeClr w14:val="tx1"/>
            </w14:solidFill>
          </w14:textFill>
        </w:rPr>
        <w:t>p.746_750del” EGFR基因上第746到750号密码子发生非移码缺失；“ERBB2 p.Q106fs”ERBB2基因上第106号密码子变异，阅读框移位；</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“ERBB2 p.C236*”ERBB2基因上第236号密码子变异，氨基酸由半胱氨酸（C）变为终止密码子（*）。 </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3. 临床试验：</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为医疗数据库中以突变基因和癌种为关键词搜索到的正在进行志愿者募集的临床药物试验，我们尽所能做到医疗数据库实时更新，但</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由于各大医药公司都在大力开发癌症新药，有众多的各期临床试验正在进行或者新近开始，我们不能保证涵盖所有的临床药物试验。需要注意的</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是，不同临床药物试验的具体情况（研究目的、给药方案、入组条件、目标适应症患者等）可能不同，各临床药物试验的具体情况详见美国临床</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药物试验网站或咨询相关专业人士。美国临床药物试验网站为:www.clinicaltrials.gov，输入NCT编号可以看到该临床试验的具体情况。 </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4. 肿瘤细胞占比：</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当组织中肿瘤细胞占比&lt;20%时，基因拷贝数变化的检测灵敏度受限。 </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5. 目前有部分肿瘤靶向药已纳入医保</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，相关信息见：</w:t>
      </w:r>
      <w:r>
        <w:rPr>
          <w:rFonts w:hint="eastAsia" w:ascii="微软雅黑" w:hAnsi="微软雅黑" w:eastAsia="微软雅黑" w:cs="微软雅黑"/>
          <w:color w:val="000000" w:themeColor="text1"/>
          <w:sz w:val="16"/>
          <w:szCs w:val="20"/>
          <w:u w:val="none"/>
          <w:lang w:val="en-US" w:eastAsia="zh-CN"/>
          <w14:textFill>
            <w14:solidFill>
              <w14:schemeClr w14:val="tx1"/>
            </w14:solidFill>
          </w14:textFill>
        </w:rPr>
        <w:fldChar w:fldCharType="begin"/>
      </w:r>
      <w:r>
        <w:rPr>
          <w:rFonts w:hint="eastAsia" w:ascii="微软雅黑" w:hAnsi="微软雅黑" w:eastAsia="微软雅黑" w:cs="微软雅黑"/>
          <w:color w:val="000000" w:themeColor="text1"/>
          <w:sz w:val="16"/>
          <w:szCs w:val="20"/>
          <w:u w:val="none"/>
          <w:lang w:val="en-US" w:eastAsia="zh-CN"/>
          <w14:textFill>
            <w14:solidFill>
              <w14:schemeClr w14:val="tx1"/>
            </w14:solidFill>
          </w14:textFill>
        </w:rPr>
        <w:instrText xml:space="preserve"> HYPERLINK "http://www.nhsa.gov.cn/art/2020/12/28/art_37_4220.html。此链接为国家医疗保障局" </w:instrText>
      </w:r>
      <w:r>
        <w:rPr>
          <w:rFonts w:hint="eastAsia" w:ascii="微软雅黑" w:hAnsi="微软雅黑" w:eastAsia="微软雅黑" w:cs="微软雅黑"/>
          <w:color w:val="000000" w:themeColor="text1"/>
          <w:sz w:val="16"/>
          <w:szCs w:val="20"/>
          <w:u w:val="none"/>
          <w:lang w:val="en-US" w:eastAsia="zh-CN"/>
          <w14:textFill>
            <w14:solidFill>
              <w14:schemeClr w14:val="tx1"/>
            </w14:solidFill>
          </w14:textFill>
        </w:rPr>
        <w:fldChar w:fldCharType="separate"/>
      </w:r>
      <w:r>
        <w:rPr>
          <w:rStyle w:val="13"/>
          <w:rFonts w:hint="eastAsia" w:ascii="微软雅黑" w:hAnsi="微软雅黑" w:eastAsia="微软雅黑" w:cs="微软雅黑"/>
          <w:color w:val="000000" w:themeColor="text1"/>
          <w:sz w:val="16"/>
          <w:szCs w:val="20"/>
          <w:u w:val="none"/>
          <w:lang w:val="en-US" w:eastAsia="zh-CN"/>
          <w14:textFill>
            <w14:solidFill>
              <w14:schemeClr w14:val="tx1"/>
            </w14:solidFill>
          </w14:textFill>
        </w:rPr>
        <w:t>http://www.nhsa.gov.cn/art/2020/12/28/art_37_4220.html。此链接为国家医疗保障局</w:t>
      </w:r>
      <w:r>
        <w:rPr>
          <w:rFonts w:hint="eastAsia" w:ascii="微软雅黑" w:hAnsi="微软雅黑" w:eastAsia="微软雅黑" w:cs="微软雅黑"/>
          <w:color w:val="000000" w:themeColor="text1"/>
          <w:sz w:val="16"/>
          <w:szCs w:val="20"/>
          <w:u w:val="none"/>
          <w:lang w:val="en-US" w:eastAsia="zh-CN"/>
          <w14:textFill>
            <w14:solidFill>
              <w14:schemeClr w14:val="tx1"/>
            </w14:solidFill>
          </w14:textFill>
        </w:rPr>
        <w:fldChar w:fldCharType="end"/>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官网链接，为“国家医保局人力资源社会保障部关于印发《国家基本医疗保险、工伤保险和生育保险药品目录（2020年）》的通知”文件，包含药</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品名称，适应症，支付标准等相关信息，详情见链接内容。</w:t>
      </w:r>
    </w:p>
    <w:p>
      <w:pPr>
        <w:jc w:val="both"/>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color w:val="000000" w:themeColor="text1"/>
          <w:sz w:val="16"/>
          <w:szCs w:val="20"/>
          <w:lang w:val="en-US" w:eastAsia="zh-CN"/>
          <w14:textFill>
            <w14:solidFill>
              <w14:schemeClr w14:val="tx1"/>
            </w14:solidFill>
          </w14:textFill>
        </w:rPr>
        <w:t>6. 当检测样本无对照样本时，将通过公共数据库及自建库内部中国人群胚系多态性位点频率数据库，对检测样本的变异按相关标准进行胚系过滤，因</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ab/>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个人差异，不能完全排除存在胚系变异的可能性。 </w:t>
      </w:r>
    </w:p>
    <w:p>
      <w:pPr>
        <w:jc w:val="both"/>
        <w:rPr>
          <w:rFonts w:hint="eastAsia" w:ascii="微软雅黑" w:hAnsi="微软雅黑" w:eastAsia="微软雅黑" w:cs="微软雅黑"/>
          <w:color w:val="2E75B6" w:themeColor="accent1" w:themeShade="BF"/>
          <w:sz w:val="20"/>
          <w:szCs w:val="22"/>
          <w:lang w:val="en-US" w:eastAsia="zh-CN"/>
        </w:rPr>
      </w:pPr>
      <w:r>
        <w:rPr>
          <w:rFonts w:hint="eastAsia" w:ascii="微软雅黑" w:hAnsi="微软雅黑" w:eastAsia="微软雅黑" w:cs="微软雅黑"/>
          <w:color w:val="000000" w:themeColor="text1"/>
          <w:sz w:val="16"/>
          <w:szCs w:val="20"/>
          <w:lang w:val="en-US" w:eastAsia="zh-CN"/>
          <w14:textFill>
            <w14:solidFill>
              <w14:schemeClr w14:val="tx1"/>
            </w14:solidFill>
          </w14:textFill>
        </w:rPr>
        <w:t>7. 当血细胞频率未达到胚系变异的阈值标准时，不排除该变异为克隆性造血或嵌合突变的可能性。</w:t>
      </w: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27" w:name="_Toc940"/>
      <w:bookmarkStart w:id="28" w:name="_Toc20823"/>
      <w:bookmarkStart w:id="29" w:name="_Toc31039"/>
      <w:r>
        <mc:AlternateContent>
          <mc:Choice Requires="wpg">
            <w:drawing>
              <wp:anchor distT="0" distB="0" distL="114300" distR="114300" simplePos="0" relativeHeight="251665408" behindDoc="0" locked="0" layoutInCell="1" allowOverlap="1">
                <wp:simplePos x="0" y="0"/>
                <wp:positionH relativeFrom="column">
                  <wp:posOffset>8255</wp:posOffset>
                </wp:positionH>
                <wp:positionV relativeFrom="paragraph">
                  <wp:posOffset>39370</wp:posOffset>
                </wp:positionV>
                <wp:extent cx="472440" cy="499110"/>
                <wp:effectExtent l="0" t="0" r="3810" b="15240"/>
                <wp:wrapNone/>
                <wp:docPr id="41"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42"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43"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44"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45"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0.65pt;margin-top:3.1pt;height:39.3pt;width:37.2pt;z-index:251665408;mso-width-relative:page;mso-height-relative:page;" coordorigin="1825800,1651625" coordsize="539989,571775" o:gfxdata="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COB5tB1QAAAAUBAAAPAAAAAAAAAAEAIAAAACIA&#10;AABkcnMvZG93bnJldi54bWxQSwECFAAUAAAACACHTuJApU5mILgEAAAgEwAADgAAAAAAAAABACAA&#10;AAAkAQAAZHJzL2Uyb0RvYy54bWxQSwUGAAAAAAYABgBZAQAATgg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jMe+kr0AAADb&#10;AAAADwAAAGRycy9kb3ducmV2LnhtbEWPzarCMBSE94LvEI7gRjS1iEivUURRdCGi9nK3h+bcttic&#10;lCb+vb0RBJfDzHzDTOcPU4kbNa60rGA4iEAQZ1aXnCtIz+v+BITzyBory6TgSQ7ms3Zriom2dz7S&#10;7eRzESDsElRQeF8nUrqsIINuYGvi4P3bxqAPssmlbvAe4KaScRSNpcGSw0KBNS0Lyi6nq1GwTHd/&#10;m2e6OsTH8a+fLGQv28dXpbqdYfQDwtPDf8Of9lYrGMXw/hJ+gJ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x76SvQAA&#10;ANsAAAAPAAAAAAAAAAEAIAAAACIAAABkcnMvZG93bnJldi54bWxQSwECFAAUAAAACACHTuJAMy8F&#10;njsAAAA5AAAAEAAAAAAAAAABACAAAAAMAQAAZHJzL3NoYXBleG1sLnhtbFBLBQYAAAAABgAGAFsB&#10;AAC2Aw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hfXRjb4AAADb&#10;AAAADwAAAGRycy9kb3ducmV2LnhtbEWPT2sCMRTE74V+h/AKvYgm2iJ1NQoKQi89+A96fG6eu4ub&#10;lyXJquunN4WCx2FmfsPMFjdbiwv5UDnWMBwoEMS5MxUXGva7df8LRIjIBmvHpKGjAIv568sMM+Ou&#10;vKHLNhYiQThkqKGMscmkDHlJFsPANcTJOzlvMSbpC2k8XhPc1nKk1FharDgtlNjQqqT8vG2thrb9&#10;+fVj5bvJ/b48Hnrdvjc5Ka3f34ZqCiLSLT7D/+1vo+HzA/6+pB8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XRjb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JWbJvL0AAADb&#10;AAAADwAAAGRycy9kb3ducmV2LnhtbEWPQWvCQBSE7wX/w/KEXopuDEEkunpQA161FfX2zL4modm3&#10;YXcb47/vFgo9DjPzDbPaDKYVPTnfWFYwmyYgiEurG64UfLwXkwUIH5A1tpZJwZM8bNajlxXm2j74&#10;SP0pVCJC2OeooA6hy6X0ZU0G/dR2xNH7tM5giNJVUjt8RLhpZZokc2mw4bhQY0fbmsqv07dRcAiX&#10;c2r3b84Xcn7d3be3a9HdlHodz5IliEBD+A//tQ9aQZbB75f4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sm8vQAA&#10;ANsAAAAPAAAAAAAAAAEAIAAAACIAAABkcnMvZG93bnJldi54bWxQSwECFAAUAAAACACHTuJAMy8F&#10;njsAAAA5AAAAEAAAAAAAAAABACAAAAAMAQAAZHJzL3NoYXBleG1sLnhtbFBLBQYAAAAABgAGAFsB&#10;AAC2Aw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TqTpbMEAAADb&#10;AAAADwAAAGRycy9kb3ducmV2LnhtbEWPW2sCMRSE3wv9D+EUfCma9bKiW6MPLS2tiuAN+njYnG6W&#10;bk7WTarrv2+EQh+HmfmGmS1aW4kzNb50rKDfS0AQ506XXCg47F+7ExA+IGusHJOCK3lYzO/vZphp&#10;d+EtnXehEBHCPkMFJoQ6k9Lnhiz6nquJo/flGoshyqaQusFLhNtKDpJkLC2WHBcM1vRsKP/e/VgF&#10;7ef0mA5Pw5dr+kYfq9F6szSnR6U6D/3kCUSgNvyH/9rvWsEohduX+AP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qTp&#10;bM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免疫治疗相关检测结果</w:t>
      </w:r>
      <w:bookmarkEnd w:id="27"/>
      <w:bookmarkEnd w:id="28"/>
      <w:bookmarkEnd w:id="29"/>
    </w:p>
    <w:p>
      <w:pPr>
        <w:pStyle w:val="4"/>
        <w:bidi w:val="0"/>
        <w:rPr>
          <w:rFonts w:hint="eastAsia" w:ascii="微软雅黑" w:hAnsi="微软雅黑" w:eastAsia="微软雅黑" w:cs="微软雅黑"/>
          <w:color w:val="2E75B6" w:themeColor="accent1" w:themeShade="BF"/>
          <w:lang w:val="en-US" w:eastAsia="zh-CN"/>
        </w:rPr>
      </w:pPr>
      <w:bookmarkStart w:id="30" w:name="_Toc5910"/>
      <w:r>
        <w:rPr>
          <w:rFonts w:hint="eastAsia" w:ascii="微软雅黑" w:hAnsi="微软雅黑" w:eastAsia="微软雅黑" w:cs="微软雅黑"/>
          <w:color w:val="2E75B6" w:themeColor="accent1" w:themeShade="BF"/>
          <w:lang w:val="en-US" w:eastAsia="zh-CN"/>
        </w:rPr>
        <w:t>本癌种与免疫药物相关临床实验</w:t>
      </w:r>
      <w:bookmarkEnd w:id="30"/>
    </w:p>
    <w:tbl>
      <w:tblPr>
        <w:tblStyle w:val="11"/>
        <w:tblW w:w="10459"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1193"/>
        <w:gridCol w:w="2133"/>
        <w:gridCol w:w="2073"/>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965"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编号</w:t>
            </w:r>
          </w:p>
        </w:tc>
        <w:tc>
          <w:tcPr>
            <w:tcW w:w="119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分期</w:t>
            </w:r>
          </w:p>
        </w:tc>
        <w:tc>
          <w:tcPr>
            <w:tcW w:w="213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癌种</w:t>
            </w:r>
          </w:p>
        </w:tc>
        <w:tc>
          <w:tcPr>
            <w:tcW w:w="207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国家</w:t>
            </w:r>
          </w:p>
        </w:tc>
        <w:tc>
          <w:tcPr>
            <w:tcW w:w="3095"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2E75B6" w:themeColor="accent1" w:themeShade="BF"/>
                <w:sz w:val="18"/>
                <w:szCs w:val="21"/>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相关药物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0459" w:type="dxa"/>
            <w:gridSpan w:val="5"/>
            <w:tcBorders>
              <w:left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sz w:val="18"/>
                <w:szCs w:val="18"/>
                <w:highlight w:val="yellow"/>
                <w:lang w:val="en-US" w:eastAsia="zh-CN"/>
              </w:rPr>
              <w:t xml:space="preserve">{%tr for a in </w:t>
            </w:r>
            <w:r>
              <w:rPr>
                <w:rFonts w:hint="eastAsia" w:ascii="微软雅黑" w:hAnsi="微软雅黑" w:eastAsia="微软雅黑" w:cs="微软雅黑"/>
                <w:color w:val="000000" w:themeColor="text1"/>
                <w:sz w:val="18"/>
                <w:szCs w:val="21"/>
                <w:lang w:val="en-US" w:eastAsia="zh-CN"/>
                <w14:textFill>
                  <w14:solidFill>
                    <w14:schemeClr w14:val="tx1"/>
                  </w14:solidFill>
                </w14:textFill>
              </w:rPr>
              <w:t>immu_cli_dict</w:t>
            </w:r>
            <w:r>
              <w:rPr>
                <w:rFonts w:hint="eastAsia" w:ascii="微软雅黑" w:hAnsi="微软雅黑" w:eastAsia="微软雅黑" w:cs="微软雅黑"/>
                <w:sz w:val="18"/>
                <w:szCs w:val="18"/>
                <w:highlight w:val="yellow"/>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5" w:type="dxa"/>
            <w:tcBorders>
              <w:left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a.编号 }}</w:t>
            </w:r>
          </w:p>
        </w:tc>
        <w:tc>
          <w:tcPr>
            <w:tcW w:w="119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a.分期 }}</w:t>
            </w:r>
          </w:p>
        </w:tc>
        <w:tc>
          <w:tcPr>
            <w:tcW w:w="213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a.癌种 }}</w:t>
            </w:r>
          </w:p>
        </w:tc>
        <w:tc>
          <w:tcPr>
            <w:tcW w:w="2073"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a.国家 }}</w:t>
            </w:r>
          </w:p>
        </w:tc>
        <w:tc>
          <w:tcPr>
            <w:tcW w:w="3095" w:type="dxa"/>
            <w:tcBorders>
              <w:left w:val="nil"/>
              <w:right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 a.相关药物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459" w:type="dxa"/>
            <w:gridSpan w:val="5"/>
            <w:tcBorders>
              <w:left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000000" w:themeColor="text1"/>
                <w:sz w:val="18"/>
                <w:szCs w:val="21"/>
                <w:lang w:val="en-US" w:eastAsia="zh-CN"/>
                <w14:textFill>
                  <w14:solidFill>
                    <w14:schemeClr w14:val="tx1"/>
                  </w14:solidFill>
                </w14:textFill>
              </w:rPr>
            </w:pPr>
            <w:r>
              <w:rPr>
                <w:rFonts w:hint="eastAsia" w:ascii="微软雅黑" w:hAnsi="微软雅黑" w:eastAsia="微软雅黑" w:cs="微软雅黑"/>
                <w:color w:val="000000" w:themeColor="text1"/>
                <w:sz w:val="18"/>
                <w:szCs w:val="21"/>
                <w:lang w:val="en-US" w:eastAsia="zh-CN"/>
                <w14:textFill>
                  <w14:solidFill>
                    <w14:schemeClr w14:val="tx1"/>
                  </w14:solidFill>
                </w14:textFill>
              </w:rPr>
              <w:t>{%tr endfor %}</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备注：</w:t>
      </w:r>
    </w:p>
    <w:p>
      <w:pPr>
        <w:jc w:val="left"/>
        <w:rPr>
          <w:rFonts w:hint="eastAsia" w:ascii="微软雅黑" w:hAnsi="微软雅黑" w:eastAsia="微软雅黑" w:cs="微软雅黑"/>
          <w:color w:val="000000" w:themeColor="text1"/>
          <w:sz w:val="16"/>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20"/>
          <w:lang w:val="en-US" w:eastAsia="zh-CN"/>
          <w14:textFill>
            <w14:solidFill>
              <w14:schemeClr w14:val="tx1"/>
            </w14:solidFill>
          </w14:textFill>
        </w:rPr>
        <w:t>1.</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 免疫药物相关临床试验只展示部分在国内或国际临床试验登记和公示平台有备案的正在开展中的II期及以上临床药物试验，我们尽所能做到医疗数据库实时更新，但由于各大医药公司都在大力开发癌症新药，有众多的各期临床试验正在进行或者新近开始，我们不能保证涵盖所有的临床药物试验。 </w:t>
      </w:r>
    </w:p>
    <w:p>
      <w:pPr>
        <w:bidi w:val="0"/>
        <w:jc w:val="left"/>
        <w:outlineLvl w:val="9"/>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color w:val="000000" w:themeColor="text1"/>
          <w:sz w:val="16"/>
          <w:szCs w:val="20"/>
          <w:lang w:val="en-US" w:eastAsia="zh-CN"/>
          <w14:textFill>
            <w14:solidFill>
              <w14:schemeClr w14:val="tx1"/>
            </w14:solidFill>
          </w14:textFill>
        </w:rPr>
        <w:t>2.</w:t>
      </w:r>
      <w:r>
        <w:rPr>
          <w:rFonts w:hint="eastAsia" w:ascii="微软雅黑" w:hAnsi="微软雅黑" w:eastAsia="微软雅黑" w:cs="微软雅黑"/>
          <w:color w:val="000000" w:themeColor="text1"/>
          <w:sz w:val="16"/>
          <w:szCs w:val="20"/>
          <w:lang w:val="en-US" w:eastAsia="zh-CN"/>
          <w14:textFill>
            <w14:solidFill>
              <w14:schemeClr w14:val="tx1"/>
            </w14:solidFill>
          </w14:textFill>
        </w:rPr>
        <w:t xml:space="preserve"> 需要注意的是，不同临床药物试验的详细信息（研究目的、给药方案、入组条件、目标适应症患者等）可能不同，可前往临床药物试验官方网站或咨询您的主治医生和相关专业人士。临床试验药物可参考网站如：https://www.clinicaltrials.gov；http://www.chinadrugtrials.org.cn；http://www.chictr.org.cn。</w:t>
      </w:r>
    </w:p>
    <w:p>
      <w:pPr>
        <w:rPr>
          <w:rFonts w:hint="eastAsia"/>
          <w:lang w:val="en-US" w:eastAsia="zh-CN"/>
        </w:rPr>
      </w:pPr>
      <w:r>
        <w:rPr>
          <w:rFonts w:hint="eastAsia"/>
          <w:lang w:val="en-US" w:eastAsia="zh-CN"/>
        </w:rPr>
        <w:br w:type="page"/>
      </w:r>
    </w:p>
    <w:p>
      <w:pPr>
        <w:pStyle w:val="4"/>
        <w:bidi w:val="0"/>
        <w:rPr>
          <w:rFonts w:hint="eastAsia" w:ascii="微软雅黑" w:hAnsi="微软雅黑" w:eastAsia="微软雅黑" w:cs="微软雅黑"/>
          <w:color w:val="2E75B6" w:themeColor="accent1" w:themeShade="BF"/>
          <w:lang w:val="en-US" w:eastAsia="zh-CN"/>
        </w:rPr>
      </w:pPr>
      <w:bookmarkStart w:id="31" w:name="_Toc21605"/>
      <w:r>
        <w:rPr>
          <w:rFonts w:hint="eastAsia" w:ascii="微软雅黑" w:hAnsi="微软雅黑" w:eastAsia="微软雅黑" w:cs="微软雅黑"/>
          <w:color w:val="2E75B6" w:themeColor="accent1" w:themeShade="BF"/>
          <w:lang w:val="en-US" w:eastAsia="zh-CN"/>
        </w:rPr>
        <w:t>微卫星不稳定性检测结果及临床意义</w:t>
      </w:r>
      <w:bookmarkEnd w:id="31"/>
    </w:p>
    <w:p>
      <w:pPr>
        <w:pStyle w:val="5"/>
        <w:bidi w:val="0"/>
        <w:outlineLvl w:val="2"/>
        <w:rPr>
          <w:rFonts w:hint="eastAsia" w:ascii="微软雅黑" w:hAnsi="微软雅黑" w:eastAsia="微软雅黑" w:cs="微软雅黑"/>
          <w:color w:val="2E75B6" w:themeColor="accent1" w:themeShade="BF"/>
          <w:lang w:val="en-US" w:eastAsia="zh-CN"/>
        </w:rPr>
      </w:pPr>
      <w:bookmarkStart w:id="32" w:name="_Toc11077"/>
      <w:r>
        <w:rPr>
          <w:rFonts w:hint="eastAsia" w:ascii="微软雅黑" w:hAnsi="微软雅黑" w:eastAsia="微软雅黑" w:cs="微软雅黑"/>
          <w:color w:val="2E75B6" w:themeColor="accent1" w:themeShade="BF"/>
          <w:lang w:val="en-US" w:eastAsia="zh-CN"/>
        </w:rPr>
        <w:t>微卫星不稳定性检测结果</w:t>
      </w:r>
      <w:bookmarkEnd w:id="32"/>
    </w:p>
    <w:tbl>
      <w:tblPr>
        <w:tblStyle w:val="11"/>
        <w:tblW w:w="10446"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7"/>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4857"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样本类型</w:t>
            </w:r>
          </w:p>
        </w:tc>
        <w:tc>
          <w:tcPr>
            <w:tcW w:w="558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{{sample_type}}</w:t>
            </w:r>
          </w:p>
        </w:tc>
        <w:tc>
          <w:tcPr>
            <w:tcW w:w="558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MSI_score }}({{ MSI_type }})</w:t>
            </w:r>
          </w:p>
        </w:tc>
      </w:tr>
    </w:tbl>
    <w:p>
      <w:pPr>
        <w:outlineLvl w:val="2"/>
        <w:rPr>
          <w:rFonts w:hint="eastAsia"/>
          <w:lang w:val="en-US" w:eastAsia="zh-CN"/>
        </w:rPr>
      </w:pPr>
    </w:p>
    <w:p>
      <w:pPr>
        <w:outlineLvl w:val="2"/>
        <w:rPr>
          <w:rFonts w:hint="eastAsia"/>
          <w:lang w:val="en-US" w:eastAsia="zh-CN"/>
        </w:rPr>
      </w:pPr>
      <w:r>
        <w:rPr>
          <w:rFonts w:hint="eastAsia" w:ascii="微软雅黑" w:hAnsi="微软雅黑" w:eastAsia="微软雅黑" w:cs="微软雅黑"/>
          <w:b/>
          <w:color w:val="2E75B6" w:themeColor="accent1" w:themeShade="BF"/>
          <w:kern w:val="0"/>
          <w:sz w:val="27"/>
          <w:szCs w:val="27"/>
          <w:lang w:val="en-US" w:eastAsia="zh-CN" w:bidi="ar"/>
        </w:rPr>
        <w:t>微卫星不稳定性检测临床意义</w:t>
      </w:r>
    </w:p>
    <w:tbl>
      <w:tblPr>
        <w:tblStyle w:val="11"/>
        <w:tblW w:w="10446"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9"/>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7589" w:type="dxa"/>
            <w:tcBorders>
              <w:left w:val="nil"/>
              <w:bottom w:val="single" w:color="auto" w:sz="4" w:space="0"/>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临床意义</w:t>
            </w:r>
          </w:p>
        </w:tc>
        <w:tc>
          <w:tcPr>
            <w:tcW w:w="2857" w:type="dxa"/>
            <w:tcBorders>
              <w:left w:val="nil"/>
              <w:bottom w:val="single" w:color="auto" w:sz="4" w:space="0"/>
              <w:right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临床依据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 w:hRule="atLeast"/>
        </w:trPr>
        <w:tc>
          <w:tcPr>
            <w:tcW w:w="7589" w:type="dxa"/>
            <w:tcBorders>
              <w:top w:val="single" w:color="auto" w:sz="4" w:space="0"/>
              <w:left w:val="nil"/>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Pembrolizumab治疗微卫星高度不稳定（MSI-H）或错配修复缺陷（dMMR）的不能切除或转移性的成人和儿童患者，包括治疗进展并且没有令人满意的替代治疗方案的实体瘤患者，以及氟尿嘧啶、奥沙利铂和伊立替康治疗进展的结直肠癌患者。</w:t>
            </w:r>
          </w:p>
        </w:tc>
        <w:tc>
          <w:tcPr>
            <w:tcW w:w="2857" w:type="dxa"/>
            <w:tcBorders>
              <w:top w:val="single" w:color="auto" w:sz="4" w:space="0"/>
              <w:left w:val="nil"/>
              <w:bottom w:val="nil"/>
              <w:right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7589" w:type="dxa"/>
            <w:tcBorders>
              <w:top w:val="nil"/>
              <w:left w:val="nil"/>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Pembrolizumab用于不可切除或转移性MSI-H或dMMR结直肠癌的一线治疗。</w:t>
            </w:r>
          </w:p>
        </w:tc>
        <w:tc>
          <w:tcPr>
            <w:tcW w:w="2857" w:type="dxa"/>
            <w:tcBorders>
              <w:top w:val="nil"/>
              <w:left w:val="nil"/>
              <w:bottom w:val="nil"/>
              <w:right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7589" w:type="dxa"/>
            <w:tcBorders>
              <w:top w:val="nil"/>
              <w:left w:val="nil"/>
              <w:bottom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Nivolumab±Ipilimumab用于治疗微卫星高度不稳定（MSI-H）或错配修复缺陷（dMMR）的经氟尿嘧啶、奥沙利铂和伊立替康治疗后进展的成人和儿童（12岁或以上）结直肠癌患者。</w:t>
            </w:r>
          </w:p>
        </w:tc>
        <w:tc>
          <w:tcPr>
            <w:tcW w:w="2857" w:type="dxa"/>
            <w:tcBorders>
              <w:top w:val="nil"/>
              <w:left w:val="nil"/>
              <w:bottom w:val="nil"/>
              <w:right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589" w:type="dxa"/>
            <w:tcBorders>
              <w:top w:val="nil"/>
              <w:left w:val="nil"/>
              <w:right w:val="nil"/>
            </w:tcBorders>
            <w:shd w:val="clear" w:color="auto" w:fill="DEEBF6" w:themeFill="accent1" w:themeFillTint="32"/>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II期MSI-H的结直肠癌患者预后良好，但是不能在5-FU辅助治疗中受益。</w:t>
            </w:r>
          </w:p>
        </w:tc>
        <w:tc>
          <w:tcPr>
            <w:tcW w:w="2857" w:type="dxa"/>
            <w:tcBorders>
              <w:top w:val="nil"/>
              <w:left w:val="nil"/>
              <w:right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NCCN指南</w:t>
            </w:r>
          </w:p>
        </w:tc>
      </w:tr>
    </w:tbl>
    <w:p>
      <w:pPr>
        <w:rPr>
          <w:rFonts w:hint="eastAsia" w:ascii="微软雅黑" w:hAnsi="微软雅黑" w:eastAsia="微软雅黑" w:cs="微软雅黑"/>
          <w:b/>
          <w:bCs/>
          <w:color w:val="auto"/>
          <w:sz w:val="18"/>
          <w:szCs w:val="18"/>
          <w:lang w:val="en-US" w:eastAsia="zh-CN"/>
        </w:rPr>
      </w:pP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备注</w:t>
      </w:r>
    </w:p>
    <w:p>
      <w:pPr>
        <w:keepNext w:val="0"/>
        <w:keepLines w:val="0"/>
        <w:widowControl/>
        <w:suppressLineNumbers w:val="0"/>
        <w:jc w:val="left"/>
        <w:rPr>
          <w:rFonts w:hint="eastAsia" w:ascii="微软雅黑" w:hAnsi="微软雅黑" w:eastAsia="微软雅黑" w:cs="微软雅黑"/>
          <w:color w:val="auto"/>
          <w:kern w:val="0"/>
          <w:sz w:val="16"/>
          <w:szCs w:val="16"/>
          <w:lang w:val="en-US" w:eastAsia="zh-CN" w:bidi="ar"/>
        </w:rPr>
      </w:pPr>
      <w:r>
        <w:rPr>
          <w:rFonts w:hint="eastAsia" w:ascii="微软雅黑" w:hAnsi="微软雅黑" w:eastAsia="微软雅黑" w:cs="微软雅黑"/>
          <w:color w:val="auto"/>
          <w:kern w:val="0"/>
          <w:sz w:val="16"/>
          <w:szCs w:val="16"/>
          <w:lang w:val="en-US" w:eastAsia="zh-CN" w:bidi="ar"/>
        </w:rPr>
        <w:t>当组织中肿瘤细胞占比&lt;20%或质量评估为警戒时，MSI的检测灵敏度受限，体液中肿瘤占比暂无法评估。</w:t>
      </w:r>
    </w:p>
    <w:p>
      <w:pPr>
        <w:keepNext w:val="0"/>
        <w:keepLines w:val="0"/>
        <w:widowControl w:val="0"/>
        <w:suppressLineNumbers w:val="0"/>
        <w:jc w:val="both"/>
        <w:rPr>
          <w:rFonts w:hint="eastAsia" w:ascii="微软雅黑" w:hAnsi="微软雅黑" w:eastAsia="微软雅黑" w:cs="微软雅黑"/>
          <w:color w:val="auto"/>
          <w:kern w:val="0"/>
          <w:sz w:val="16"/>
          <w:szCs w:val="16"/>
          <w:lang w:val="en-US" w:eastAsia="zh-CN" w:bidi="ar"/>
        </w:rPr>
      </w:pPr>
      <w:r>
        <w:rPr>
          <w:rFonts w:hint="eastAsia" w:ascii="微软雅黑" w:hAnsi="微软雅黑" w:eastAsia="微软雅黑" w:cs="微软雅黑"/>
          <w:color w:val="auto"/>
          <w:kern w:val="0"/>
          <w:sz w:val="16"/>
          <w:szCs w:val="16"/>
          <w:lang w:val="en-US" w:eastAsia="zh-CN" w:bidi="ar"/>
        </w:rPr>
        <w:br w:type="page"/>
      </w:r>
    </w:p>
    <w:p>
      <w:pPr>
        <w:pStyle w:val="4"/>
        <w:bidi w:val="0"/>
        <w:rPr>
          <w:rFonts w:hint="eastAsia" w:ascii="微软雅黑" w:hAnsi="微软雅黑" w:eastAsia="微软雅黑" w:cs="微软雅黑"/>
          <w:color w:val="2E75B6" w:themeColor="accent1" w:themeShade="BF"/>
          <w:lang w:val="en-US" w:eastAsia="zh-CN"/>
        </w:rPr>
      </w:pPr>
      <w:bookmarkStart w:id="33" w:name="_Toc2798"/>
      <w:r>
        <w:rPr>
          <w:rFonts w:hint="eastAsia" w:ascii="微软雅黑" w:hAnsi="微软雅黑" w:eastAsia="微软雅黑" w:cs="微软雅黑"/>
          <w:color w:val="2E75B6" w:themeColor="accent1" w:themeShade="BF"/>
          <w:lang w:val="en-US" w:eastAsia="zh-CN"/>
        </w:rPr>
        <w:t>肿瘤突变负荷（TMB）检测结果及临床意义</w:t>
      </w:r>
      <w:bookmarkEnd w:id="33"/>
    </w:p>
    <w:p>
      <w:pPr>
        <w:pStyle w:val="5"/>
        <w:bidi w:val="0"/>
        <w:outlineLvl w:val="2"/>
        <w:rPr>
          <w:rFonts w:hint="eastAsia" w:ascii="微软雅黑" w:hAnsi="微软雅黑" w:eastAsia="微软雅黑" w:cs="微软雅黑"/>
          <w:color w:val="2E75B6" w:themeColor="accent1" w:themeShade="BF"/>
          <w:lang w:val="en-US" w:eastAsia="zh-CN"/>
        </w:rPr>
      </w:pPr>
      <w:bookmarkStart w:id="34" w:name="_Toc19716"/>
      <w:r>
        <w:rPr>
          <w:rFonts w:hint="eastAsia" w:ascii="微软雅黑" w:hAnsi="微软雅黑" w:eastAsia="微软雅黑" w:cs="微软雅黑"/>
          <w:color w:val="2E75B6" w:themeColor="accent1" w:themeShade="BF"/>
          <w:lang w:val="en-US" w:eastAsia="zh-CN"/>
        </w:rPr>
        <w:t>肿瘤突变负荷（TMB）检测结果</w:t>
      </w:r>
      <w:bookmarkEnd w:id="34"/>
    </w:p>
    <w:tbl>
      <w:tblPr>
        <w:tblStyle w:val="11"/>
        <w:tblW w:w="10079"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9"/>
        <w:gridCol w:w="4358"/>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样本类型</w:t>
            </w:r>
          </w:p>
        </w:tc>
        <w:tc>
          <w:tcPr>
            <w:tcW w:w="4358"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TMB数值（个突变/Mb）</w:t>
            </w:r>
          </w:p>
        </w:tc>
        <w:tc>
          <w:tcPr>
            <w:tcW w:w="225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TMB水平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346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auto"/>
                <w:sz w:val="18"/>
                <w:szCs w:val="18"/>
                <w:vertAlign w:val="baseline"/>
                <w:lang w:val="en-US" w:eastAsia="zh-CN"/>
              </w:rPr>
            </w:pPr>
            <w:r>
              <w:rPr>
                <w:rFonts w:hint="eastAsia" w:ascii="微软雅黑" w:hAnsi="微软雅黑" w:eastAsia="微软雅黑" w:cs="微软雅黑"/>
                <w:b/>
                <w:bCs/>
                <w:color w:val="auto"/>
                <w:sz w:val="18"/>
                <w:szCs w:val="18"/>
                <w:vertAlign w:val="baseline"/>
                <w:lang w:val="en-US" w:eastAsia="zh-CN"/>
              </w:rPr>
              <w:t>{{sample_type}}</w:t>
            </w:r>
          </w:p>
        </w:tc>
        <w:tc>
          <w:tcPr>
            <w:tcW w:w="4358"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21"/>
                <w:vertAlign w:val="baseline"/>
                <w:lang w:val="en-US" w:eastAsia="zh-CN"/>
              </w:rPr>
              <w:t>{{ TMB_result}}</w:t>
            </w:r>
          </w:p>
        </w:tc>
        <w:tc>
          <w:tcPr>
            <w:tcW w:w="22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TMB_type }}</w:t>
            </w:r>
          </w:p>
        </w:tc>
      </w:tr>
    </w:tbl>
    <w:p>
      <w:pPr>
        <w:bidi w:val="0"/>
        <w:outlineLvl w:val="9"/>
        <w:rPr>
          <w:rFonts w:hint="eastAsia" w:ascii="微软雅黑" w:hAnsi="微软雅黑" w:eastAsia="微软雅黑" w:cs="微软雅黑"/>
          <w:b/>
          <w:color w:val="2E75B6" w:themeColor="accent1" w:themeShade="BF"/>
          <w:kern w:val="0"/>
          <w:sz w:val="27"/>
          <w:szCs w:val="27"/>
          <w:lang w:val="en-US" w:eastAsia="zh-CN" w:bidi="ar"/>
        </w:rPr>
      </w:pPr>
      <w:bookmarkStart w:id="35" w:name="_Toc31170"/>
    </w:p>
    <w:p>
      <w:pPr>
        <w:bidi w:val="0"/>
        <w:outlineLvl w:val="9"/>
        <w:rPr>
          <w:rFonts w:hint="eastAsia" w:ascii="微软雅黑" w:hAnsi="微软雅黑" w:eastAsia="微软雅黑" w:cs="微软雅黑"/>
          <w:b/>
          <w:color w:val="2E75B6" w:themeColor="accent1" w:themeShade="BF"/>
          <w:kern w:val="0"/>
          <w:sz w:val="27"/>
          <w:szCs w:val="27"/>
          <w:lang w:val="en-US" w:eastAsia="zh-CN" w:bidi="ar"/>
        </w:rPr>
      </w:pPr>
      <w:r>
        <w:rPr>
          <w:rFonts w:hint="eastAsia" w:ascii="微软雅黑" w:hAnsi="微软雅黑" w:eastAsia="微软雅黑" w:cs="微软雅黑"/>
          <w:b/>
          <w:color w:val="2E75B6" w:themeColor="accent1" w:themeShade="BF"/>
          <w:kern w:val="0"/>
          <w:sz w:val="27"/>
          <w:szCs w:val="27"/>
          <w:lang w:val="en-US" w:eastAsia="zh-CN" w:bidi="ar"/>
        </w:rPr>
        <w:t>肿瘤突变负荷（TMB）检测临床意义</w:t>
      </w:r>
      <w:bookmarkEnd w:id="35"/>
    </w:p>
    <w:tbl>
      <w:tblPr>
        <w:tblStyle w:val="11"/>
        <w:tblW w:w="10557"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5" w:hRule="atLeast"/>
        </w:trPr>
        <w:tc>
          <w:tcPr>
            <w:tcW w:w="10557"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帕博利珠单抗（Keytruda， K药）单药治疗tTMB-H（组织TMB≥10个突变/Mb），既往治疗后疾病进展且没有满意替代治疗方案的不可手术或转移性的成人和儿童实体瘤患者（tTMB-H的中枢神经系统癌症的儿童除外）（FDA批准）。这标志着TMB成为继MSI/dMMR后第二个泛实体瘤免疫治疗伴随诊断生物标志物。该适应症的获批是依据KEYNOTE-158临床试验结果：在790例可评估的患者中，102例（13％）是tTMB-H（TMB≥10个突变/Mb）的患者。这些tTMB-H患者的ORR为29％，完全缓解率（CR）为4％，部分缓解率（PR）为25％。未达到中位DOR，反应持续时间≥12个月的患者占57％，反应持续时间≥24个月的患者占50％（NCT02628067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一项纳入66例接受帕博利珠单抗单药或联合化疗的一线治疗的mNSCLC患者的临床研究结果表明，bTMB-H（TMB≥16个突变/Mb）的患者中位PFS显著高于bTMB-L（TMB&lt;16个突变/Mb）的患者（14.1vs.4.7月；P＜0.001）；bTMB-H的患者中位OS尚未达到，而bTMB-L的患者中位OS为8.8个月（P=0.061）（NCT03047616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临床研究数据表明，实体瘤患者的TMB值与免疫检查点药物抑制剂治疗的疗效相关，TMB值高的患者对免疫检查点药物抑制剂治疗的应答高于TMB值低的患者。CheckMate026临床试验结果表明，TMB值高的非小细胞肺癌（NSCLC）患者纳武利尤单抗（Nivolumab）治疗组客观缓解率（ORR）较标准化疗治疗组显著提高（ORR，47%vs28%），无进展生存期显著延长（PFS，9.7月vs5.8月）（NCT02041533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2017年发表在新英格兰杂志的研究总结了27种实体瘤（皮肤鳞状细胞癌、结直肠癌（d-MMR）、黑色素瘤、皮肤Merkel细胞癌、尿路上皮癌、非小细胞肺癌（鳞癌）、非小细胞肺癌（非鳞癌）、头颈部肿瘤、宫颈癌、子宫内膜癌、肝癌等）TMB值与免疫检查点药物抑制剂治疗ORR的相关性。这项研究的结果表明，TMB值与免疫检查点药物抑制剂治疗ORR存在显著相关性（相关系数为0.74，P&lt;0.001），其中55%的不同实体瘤对免疫检查点抑制剂疗效的差异（ORR）可能与这些实体瘤TMB值的差异有关。例如，皮肤基底细胞癌和肺肉瘤样病变中位TMB分别为47.3Muts/Mb和7.2Muts/Mb，对应的ORR分别为40.1%和20.6%（PMID： 29262275）。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2018年ASCO公布了Checkmate-227Ⅲ期试验的研究结果，对于TMB高的患者，与标准含铂双药化疗相比，纳武利尤单抗（Nivolumab）联合伊匹单抗（Ipilimumab）一线治疗晚期NSCLC显著延长高TMB患者的的PFS，降低疾病进展风险，这项研究提示TMB是初治NSCLC患者应用双免疫联合治疗的一个重要、独立的生物标志物（NCT02477826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2018年Checkmate-032临床试验结果表明，纳武利尤单抗（Nivolumab）单药治疗小细胞肺癌的客观缓解率（ORR）分别为：低TMB值组为4.8%，中TMB组为6.8%，高TMB组为21.3%；纳武利尤单抗（Nivolumab）联合伊匹单抗（Ipilimumab）治疗小细胞肺癌的客观缓解率（ORR）分别为：低TMB组为22.2%，中TMB组为16.0%，高TMB组为46.2%。这项研究提示TMB值可作为小细胞肺癌免疫治疗的生物标志物（NCT03959293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trPr>
        <w:tc>
          <w:tcPr>
            <w:tcW w:w="10557"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对POPLAR及OAK的回顾性研究显示，bTMB≥16的非小细胞肺癌患者，接受Atezolizumab治疗跟化疗相比PFS明显延长。前瞻性临床研究B-F1RST初步结果也显示，bTMB高（≥16）和bTMB低（&lt;16）非小细胞肺癌患者相比，接受Atezolizumab治疗ORR显著提高（NCT01903993；NCT02848651）。</w:t>
            </w:r>
          </w:p>
        </w:tc>
      </w:tr>
    </w:tbl>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pStyle w:val="4"/>
        <w:bidi w:val="0"/>
        <w:rPr>
          <w:rFonts w:hint="eastAsia" w:ascii="微软雅黑" w:hAnsi="微软雅黑" w:eastAsia="微软雅黑" w:cs="微软雅黑"/>
          <w:color w:val="2E75B6" w:themeColor="accent1" w:themeShade="BF"/>
          <w:lang w:val="en-US" w:eastAsia="zh-CN"/>
        </w:rPr>
      </w:pPr>
      <w:bookmarkStart w:id="36" w:name="_Toc6134"/>
      <w:r>
        <w:rPr>
          <w:rFonts w:hint="eastAsia" w:ascii="微软雅黑" w:hAnsi="微软雅黑" w:eastAsia="微软雅黑" w:cs="微软雅黑"/>
          <w:color w:val="2E75B6" w:themeColor="accent1" w:themeShade="BF"/>
          <w:lang w:val="en-US" w:eastAsia="zh-CN"/>
        </w:rPr>
        <w:t>潜在与免疫治疗相关变异检测结果</w:t>
      </w:r>
      <w:bookmarkEnd w:id="36"/>
    </w:p>
    <w:tbl>
      <w:tblPr>
        <w:tblStyle w:val="11"/>
        <w:tblW w:w="10557"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4562"/>
        <w:gridCol w:w="3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57" w:type="dxa"/>
            <w:gridSpan w:val="3"/>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sz w:val="32"/>
                <w:szCs w:val="40"/>
                <w:vertAlign w:val="baseline"/>
                <w:lang w:val="en-US" w:eastAsia="zh-CN"/>
              </w:rPr>
              <w:t>正向基因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557" w:type="dxa"/>
            <w:gridSpan w:val="3"/>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本癌种中正向基因的相关变异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t>基因/变异</w:t>
            </w:r>
          </w:p>
        </w:tc>
        <w:tc>
          <w:tcPr>
            <w:tcW w:w="4562"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t>临床意义</w:t>
            </w:r>
          </w:p>
        </w:tc>
        <w:tc>
          <w:tcPr>
            <w:tcW w:w="3036"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21"/>
                <w:vertAlign w:val="baseline"/>
                <w:lang w:val="en-US" w:eastAsia="zh-CN"/>
                <w14:textFill>
                  <w14:solidFill>
                    <w14:schemeClr w14:val="bg1"/>
                  </w14:solidFill>
                </w14:textFill>
              </w:rPr>
              <w:t>证据来源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immu_postive_dict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21"/>
                <w:vertAlign w:val="baseline"/>
                <w:lang w:val="en-US" w:eastAsia="zh-CN"/>
              </w:rPr>
              <w:t>{{ a.mutation }}</w:t>
            </w: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a.临床解释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a.参考文献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Times New Roman" w:hAnsi="Times New Roman"/>
                <w:szCs w:val="21"/>
                <w:highlight w:val="yellow"/>
                <w:lang w:val="en-US" w:eastAsia="zh-CN"/>
              </w:rPr>
              <w:t>{%tr endfor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7" w:type="dxa"/>
            <w:gridSpan w:val="3"/>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32"/>
                <w:szCs w:val="32"/>
                <w:vertAlign w:val="baseline"/>
                <w:lang w:val="en-US" w:eastAsia="zh-CN"/>
              </w:rPr>
              <w:t>负向基因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557" w:type="dxa"/>
            <w:gridSpan w:val="3"/>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bCs/>
                <w:color w:val="2E75B6" w:themeColor="accent1" w:themeShade="BF"/>
                <w:sz w:val="32"/>
                <w:szCs w:val="32"/>
                <w:vertAlign w:val="baseline"/>
                <w:lang w:val="en-US" w:eastAsia="zh-CN"/>
              </w:rPr>
            </w:pPr>
            <w:r>
              <w:rPr>
                <w:rFonts w:hint="eastAsia" w:ascii="微软雅黑" w:hAnsi="微软雅黑" w:eastAsia="微软雅黑" w:cs="微软雅黑"/>
                <w:b/>
                <w:bCs/>
                <w:color w:val="2E75B6" w:themeColor="accent1" w:themeShade="BF"/>
                <w:sz w:val="18"/>
                <w:szCs w:val="21"/>
                <w:vertAlign w:val="baseline"/>
                <w:lang w:val="en-US" w:eastAsia="zh-CN"/>
              </w:rPr>
              <w:t>本癌种中负向基因的相关变异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基因/变异</w:t>
            </w:r>
          </w:p>
        </w:tc>
        <w:tc>
          <w:tcPr>
            <w:tcW w:w="4562"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临床意义</w:t>
            </w:r>
          </w:p>
        </w:tc>
        <w:tc>
          <w:tcPr>
            <w:tcW w:w="3036"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证据来源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immu_negtive_dict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21"/>
                <w:vertAlign w:val="baseline"/>
                <w:lang w:val="en-US" w:eastAsia="zh-CN"/>
              </w:rPr>
              <w:t>{{ a.mutation }}</w:t>
            </w: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a.临床解释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a.参考文献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Times New Roman" w:hAnsi="Times New Roman"/>
                <w:szCs w:val="21"/>
                <w:highlight w:val="yellow"/>
                <w:lang w:val="en-US" w:eastAsia="zh-CN"/>
              </w:rPr>
              <w:t>{%tr endfor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7" w:type="dxa"/>
            <w:gridSpan w:val="3"/>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32"/>
                <w:szCs w:val="32"/>
                <w:vertAlign w:val="baseline"/>
                <w:lang w:val="en-US" w:eastAsia="zh-CN"/>
              </w:rPr>
              <w:t>超进展基因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0557" w:type="dxa"/>
            <w:gridSpan w:val="3"/>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bCs/>
                <w:color w:val="2E75B6" w:themeColor="accent1" w:themeShade="BF"/>
                <w:sz w:val="32"/>
                <w:szCs w:val="32"/>
                <w:vertAlign w:val="baseline"/>
                <w:lang w:val="en-US" w:eastAsia="zh-CN"/>
              </w:rPr>
            </w:pPr>
            <w:bookmarkStart w:id="37" w:name="OLE_LINK5"/>
            <w:r>
              <w:rPr>
                <w:rFonts w:hint="eastAsia" w:ascii="微软雅黑" w:hAnsi="微软雅黑" w:eastAsia="微软雅黑" w:cs="微软雅黑"/>
                <w:b/>
                <w:bCs/>
                <w:color w:val="2E75B6" w:themeColor="accent1" w:themeShade="BF"/>
                <w:sz w:val="18"/>
                <w:szCs w:val="21"/>
                <w:vertAlign w:val="baseline"/>
                <w:lang w:val="en-US" w:eastAsia="zh-CN"/>
              </w:rPr>
              <w:t>本癌种中超进展基因的相关变异</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基因/变异</w:t>
            </w:r>
          </w:p>
        </w:tc>
        <w:tc>
          <w:tcPr>
            <w:tcW w:w="4562"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临床意义</w:t>
            </w:r>
          </w:p>
        </w:tc>
        <w:tc>
          <w:tcPr>
            <w:tcW w:w="3036"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证据来源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immu_supper_dict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kern w:val="2"/>
                <w:sz w:val="18"/>
                <w:szCs w:val="18"/>
                <w:vertAlign w:val="baseline"/>
                <w:lang w:val="en-US" w:eastAsia="zh-CN" w:bidi="ar-SA"/>
              </w:rPr>
            </w:pPr>
            <w:r>
              <w:rPr>
                <w:rFonts w:hint="eastAsia" w:ascii="微软雅黑" w:hAnsi="微软雅黑" w:eastAsia="微软雅黑" w:cs="微软雅黑"/>
                <w:color w:val="auto"/>
                <w:sz w:val="18"/>
                <w:szCs w:val="21"/>
                <w:vertAlign w:val="baseline"/>
                <w:lang w:val="en-US" w:eastAsia="zh-CN"/>
              </w:rPr>
              <w:t>{{ a.mutation }}</w:t>
            </w: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kern w:val="2"/>
                <w:sz w:val="18"/>
                <w:szCs w:val="18"/>
                <w:vertAlign w:val="baseline"/>
                <w:lang w:val="en-US" w:eastAsia="zh-CN" w:bidi="ar-SA"/>
              </w:rPr>
            </w:pPr>
            <w:r>
              <w:rPr>
                <w:rFonts w:hint="eastAsia" w:ascii="微软雅黑" w:hAnsi="微软雅黑" w:eastAsia="微软雅黑" w:cs="微软雅黑"/>
                <w:color w:val="auto"/>
                <w:sz w:val="18"/>
                <w:szCs w:val="18"/>
                <w:vertAlign w:val="baseline"/>
                <w:lang w:val="en-US" w:eastAsia="zh-CN"/>
              </w:rPr>
              <w:t>{{ a.临床解释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kern w:val="2"/>
                <w:sz w:val="18"/>
                <w:szCs w:val="18"/>
                <w:vertAlign w:val="baseline"/>
                <w:lang w:val="en-US" w:eastAsia="zh-CN" w:bidi="ar-SA"/>
              </w:rPr>
            </w:pPr>
            <w:r>
              <w:rPr>
                <w:rFonts w:hint="eastAsia" w:ascii="微软雅黑" w:hAnsi="微软雅黑" w:eastAsia="微软雅黑" w:cs="微软雅黑"/>
                <w:color w:val="auto"/>
                <w:sz w:val="18"/>
                <w:szCs w:val="18"/>
                <w:vertAlign w:val="baseline"/>
                <w:lang w:val="en-US" w:eastAsia="zh-CN"/>
              </w:rPr>
              <w:t>{{ a.参考文献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c>
          <w:tcPr>
            <w:tcW w:w="456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Times New Roman" w:hAnsi="Times New Roman"/>
                <w:szCs w:val="21"/>
                <w:highlight w:val="yellow"/>
                <w:lang w:val="en-US" w:eastAsia="zh-CN"/>
              </w:rPr>
              <w:t>{%tr endfor %}</w:t>
            </w:r>
          </w:p>
        </w:tc>
        <w:tc>
          <w:tcPr>
            <w:tcW w:w="303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p>
        </w:tc>
      </w:tr>
    </w:tbl>
    <w:p/>
    <w:p>
      <w:pPr>
        <w:keepNext w:val="0"/>
        <w:keepLines w:val="0"/>
        <w:widowControl/>
        <w:suppressLineNumbers w:val="0"/>
        <w:jc w:val="left"/>
        <w:rPr>
          <w:rFonts w:hint="eastAsia" w:ascii="微软雅黑" w:hAnsi="微软雅黑" w:eastAsia="微软雅黑" w:cs="微软雅黑"/>
          <w:b/>
          <w:bCs/>
          <w:color w:val="auto"/>
          <w:sz w:val="18"/>
          <w:szCs w:val="21"/>
          <w:lang w:val="en-US" w:eastAsia="zh-CN"/>
        </w:rPr>
      </w:pPr>
      <w:r>
        <w:rPr>
          <w:rFonts w:hint="eastAsia" w:ascii="微软雅黑" w:hAnsi="微软雅黑" w:eastAsia="微软雅黑" w:cs="微软雅黑"/>
          <w:b/>
          <w:bCs/>
          <w:color w:val="auto"/>
          <w:sz w:val="18"/>
          <w:szCs w:val="21"/>
          <w:lang w:val="en-US" w:eastAsia="zh-CN"/>
        </w:rPr>
        <w:t>备注：</w:t>
      </w:r>
    </w:p>
    <w:p>
      <w:pPr>
        <w:keepNext w:val="0"/>
        <w:keepLines w:val="0"/>
        <w:widowControl/>
        <w:suppressLineNumbers w:val="0"/>
        <w:jc w:val="left"/>
        <w:rPr>
          <w:rFonts w:hint="eastAsia" w:ascii="微软雅黑" w:hAnsi="微软雅黑" w:eastAsia="微软雅黑" w:cs="微软雅黑"/>
          <w:b w:val="0"/>
          <w:bCs w:val="0"/>
          <w:color w:val="auto"/>
          <w:sz w:val="16"/>
          <w:szCs w:val="20"/>
          <w:lang w:val="en-US" w:eastAsia="zh-CN"/>
        </w:rPr>
      </w:pPr>
      <w:r>
        <w:rPr>
          <w:rFonts w:hint="eastAsia" w:ascii="微软雅黑" w:hAnsi="微软雅黑" w:eastAsia="微软雅黑" w:cs="微软雅黑"/>
          <w:b w:val="0"/>
          <w:bCs w:val="0"/>
          <w:color w:val="auto"/>
          <w:sz w:val="16"/>
          <w:szCs w:val="20"/>
          <w:lang w:val="en-US" w:eastAsia="zh-CN"/>
        </w:rPr>
        <w:t>1.上述免疫治疗相关基因是指既往研究支持的可能与免疫治疗疗效有关的变异基因，但患者检测到的变异可能与文献报道的基因变异不完全一致，部分基因变异的致病性和临床意义不明或缺乏功能验证结果，请结合其它检测结果和临床资料谨慎用药。</w:t>
      </w:r>
    </w:p>
    <w:p>
      <w:pPr>
        <w:keepNext w:val="0"/>
        <w:keepLines w:val="0"/>
        <w:widowControl/>
        <w:suppressLineNumbers w:val="0"/>
        <w:jc w:val="left"/>
        <w:rPr>
          <w:rFonts w:hint="eastAsia" w:ascii="微软雅黑" w:hAnsi="微软雅黑" w:eastAsia="微软雅黑" w:cs="微软雅黑"/>
          <w:b/>
          <w:color w:val="2E75B6" w:themeColor="accent1" w:themeShade="BF"/>
          <w:kern w:val="2"/>
          <w:sz w:val="32"/>
          <w:szCs w:val="24"/>
          <w:lang w:val="en-US" w:eastAsia="zh-CN" w:bidi="ar-SA"/>
        </w:rPr>
      </w:pPr>
      <w:r>
        <w:rPr>
          <w:rFonts w:hint="eastAsia" w:ascii="微软雅黑" w:hAnsi="微软雅黑" w:eastAsia="微软雅黑" w:cs="微软雅黑"/>
          <w:b w:val="0"/>
          <w:bCs w:val="0"/>
          <w:color w:val="auto"/>
          <w:sz w:val="16"/>
          <w:szCs w:val="20"/>
          <w:lang w:val="en-US" w:eastAsia="zh-CN"/>
        </w:rPr>
        <w:t>2.正向基因：与免疫治疗疗效正相关的基因；负向基因：与免疫治疗疗效负相关的基因；超进展基因：与免疫治疗超进展相关的基因。</w:t>
      </w:r>
    </w:p>
    <w:p>
      <w:pPr>
        <w:keepNext w:val="0"/>
        <w:keepLines w:val="0"/>
        <w:widowControl w:val="0"/>
        <w:suppressLineNumbers w:val="0"/>
        <w:jc w:val="both"/>
        <w:rPr>
          <w:rFonts w:hint="default" w:ascii="微软雅黑" w:hAnsi="微软雅黑" w:eastAsia="微软雅黑" w:cs="微软雅黑"/>
          <w:color w:val="2E75B6" w:themeColor="accent1" w:themeShade="BF"/>
          <w:kern w:val="0"/>
          <w:sz w:val="18"/>
          <w:szCs w:val="18"/>
          <w:lang w:val="en-US" w:eastAsia="zh-CN" w:bidi="ar"/>
        </w:rPr>
      </w:pPr>
      <w:r>
        <w:rPr>
          <w:rFonts w:hint="default" w:ascii="微软雅黑" w:hAnsi="微软雅黑" w:eastAsia="微软雅黑" w:cs="微软雅黑"/>
          <w:color w:val="2E75B6" w:themeColor="accent1" w:themeShade="BF"/>
          <w:kern w:val="0"/>
          <w:sz w:val="18"/>
          <w:szCs w:val="18"/>
          <w:lang w:val="en-US" w:eastAsia="zh-CN" w:bidi="ar"/>
        </w:rPr>
        <w:br w:type="page"/>
      </w:r>
    </w:p>
    <w:p>
      <w:pPr>
        <w:pStyle w:val="3"/>
        <w:bidi w:val="0"/>
        <w:ind w:firstLine="964" w:firstLineChars="200"/>
        <w:rPr>
          <w:rFonts w:hint="eastAsia"/>
          <w:lang w:val="en-US" w:eastAsia="zh-CN"/>
        </w:rPr>
      </w:pPr>
      <w:bookmarkStart w:id="38" w:name="_Toc29219"/>
      <w:bookmarkStart w:id="39" w:name="_Toc32391"/>
      <w:bookmarkStart w:id="40" w:name="_Toc23221"/>
      <w:r>
        <mc:AlternateContent>
          <mc:Choice Requires="wpg">
            <w:drawing>
              <wp:anchor distT="0" distB="0" distL="114300" distR="114300" simplePos="0" relativeHeight="251666432" behindDoc="0" locked="0" layoutInCell="1" allowOverlap="1">
                <wp:simplePos x="0" y="0"/>
                <wp:positionH relativeFrom="column">
                  <wp:posOffset>43815</wp:posOffset>
                </wp:positionH>
                <wp:positionV relativeFrom="paragraph">
                  <wp:posOffset>-8255</wp:posOffset>
                </wp:positionV>
                <wp:extent cx="472440" cy="499110"/>
                <wp:effectExtent l="0" t="0" r="3810" b="15240"/>
                <wp:wrapNone/>
                <wp:docPr id="51"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52"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53"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54"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55"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3.45pt;margin-top:-0.65pt;height:39.3pt;width:37.2pt;z-index:251666432;mso-width-relative:page;mso-height-relative:page;" coordorigin="1825800,1651625" coordsize="539989,571775" o:gfxdata="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CR4oT70AAADb&#10;AAAADwAAAGRycy9kb3ducmV2LnhtbEWPzarCMBSE94LvEI7gRjS1oEivUURRdCGi9nK3h+bcttic&#10;lCb+vb0RBJfDzHzDTOcPU4kbNa60rGA4iEAQZ1aXnCtIz+v+BITzyBory6TgSQ7ms3Zriom2dz7S&#10;7eRzESDsElRQeF8nUrqsIINuYGvi4P3bxqAPssmlbvAe4KaScRSNpcGSw0KBNS0Lyi6nq1GwTHd/&#10;m2e6OsTH8a+fLGQv28dXpbqdYfQDwtPDf8Of9lYrGMXw/hJ+gJ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ihPvQAA&#10;ANsAAAAPAAAAAAAAAAEAIAAAACIAAABkcnMvZG93bnJldi54bWxQSwECFAAUAAAACACHTuJAMy8F&#10;njsAAAA5AAAAEAAAAAAAAAABACAAAAAMAQAAZHJzL3NoYXBleG1sLnhtbFBLBQYAAAAABgAGAFsB&#10;AAC2Aw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ACxHUL4AAADb&#10;AAAADwAAAGRycy9kb3ducmV2LnhtbEWPT2sCMRTE74V+h/AKvYgmWip1NQoKQi89+A96fG6eu4ub&#10;lyXJquunN4WCx2FmfsPMFjdbiwv5UDnWMBwoEMS5MxUXGva7df8LRIjIBmvHpKGjAIv568sMM+Ou&#10;vKHLNhYiQThkqKGMscmkDHlJFsPANcTJOzlvMSbpC2k8XhPc1nKk1FharDgtlNjQqqT8vG2thrb9&#10;+fVj5bvJ/b48Hnrdvjc5Ka3f34ZqCiLSLT7D/+1vo+HzA/6+pB8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xHUL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oL9fYbwAAADb&#10;AAAADwAAAGRycy9kb3ducmV2LnhtbEWPS4sCMRCE7wv+h9CCF1kziorMGj2oA159od56J70zg5PO&#10;kMTXvzeCsMeiqr6ipvOHqcWNnK8sK+j3EhDEudUVFwr2u+x7AsIHZI21ZVLwJA/zWetriqm2d97Q&#10;bRsKESHsU1RQhtCkUvq8JIO+Zxvi6P1ZZzBE6QqpHd4j3NRykCRjabDiuFBiQ4uS8sv2ahSsw/Ew&#10;sKuu85kcn5a/i/Mpa85Kddr95AdEoEf4D3/aa61gNIT3l/g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2G8AAAA&#10;2wAAAA8AAAAAAAAAAQAgAAAAIgAAAGRycy9kb3ducmV2LnhtbFBLAQIUABQAAAAIAIdO4kAzLwWe&#10;OwAAADkAAAAQAAAAAAAAAAEAIAAAAAsBAABkcnMvc2hhcGV4bWwueG1sUEsFBgAAAAAGAAYAWwEA&#10;ALUDA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y31/scEAAADb&#10;AAAADwAAAGRycy9kb3ducmV2LnhtbEWPQUvDQBSE70L/w/IKXsRuao3Y2E0OilJtEYwt9PjIPrPB&#10;7Ns0u23Tf+8KgsdhZr5hFsVgW3Gk3jeOFUwnCQjiyumGawWbz+frexA+IGtsHZOCM3ko8tHFAjPt&#10;TvxBxzLUIkLYZ6jAhNBlUvrKkEU/cR1x9L5cbzFE2ddS93iKcNvKmyS5kxYbjgsGO3o0VH2XB6tg&#10;2M236Ww/ezqnL/S6ul2/v5n9lVKX42nyACLQEP7Df+2lVpCm8Psl/gCZ/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31/&#10;sc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化疗药物相关多态性位点检测结果</w:t>
      </w:r>
      <w:bookmarkEnd w:id="38"/>
      <w:bookmarkEnd w:id="39"/>
      <w:bookmarkEnd w:id="40"/>
    </w:p>
    <w:p>
      <w:pPr>
        <w:pStyle w:val="4"/>
        <w:bidi w:val="0"/>
        <w:rPr>
          <w:rFonts w:hint="eastAsia" w:ascii="微软雅黑" w:hAnsi="微软雅黑" w:eastAsia="微软雅黑" w:cs="微软雅黑"/>
          <w:color w:val="2E75B6" w:themeColor="accent1" w:themeShade="BF"/>
          <w:lang w:val="en-US" w:eastAsia="zh-CN"/>
        </w:rPr>
      </w:pPr>
      <w:bookmarkStart w:id="41" w:name="_Toc23275"/>
      <w:r>
        <w:rPr>
          <w:rFonts w:hint="eastAsia" w:ascii="微软雅黑" w:hAnsi="微软雅黑" w:eastAsia="微软雅黑" w:cs="微软雅黑"/>
          <w:color w:val="2E75B6" w:themeColor="accent1" w:themeShade="BF"/>
          <w:lang w:val="en-US" w:eastAsia="zh-CN"/>
        </w:rPr>
        <w:t>药物：</w:t>
      </w:r>
      <w:bookmarkStart w:id="42" w:name="OLE_LINK7"/>
      <w:r>
        <w:rPr>
          <w:rFonts w:hint="eastAsia" w:ascii="微软雅黑" w:hAnsi="微软雅黑" w:eastAsia="微软雅黑" w:cs="微软雅黑"/>
          <w:color w:val="2E75B6" w:themeColor="accent1" w:themeShade="BF"/>
          <w:lang w:val="en-US" w:eastAsia="zh-CN"/>
        </w:rPr>
        <w:t>基于尿嘧啶的化疗方案</w:t>
      </w:r>
      <w:bookmarkEnd w:id="41"/>
      <w:bookmarkEnd w:id="42"/>
      <w:r>
        <w:rPr>
          <w:rFonts w:hint="eastAsia" w:ascii="微软雅黑" w:hAnsi="微软雅黑" w:eastAsia="微软雅黑" w:cs="微软雅黑"/>
          <w:color w:val="2E75B6" w:themeColor="accent1" w:themeShade="BF"/>
          <w:lang w:val="en-US" w:eastAsia="zh-CN"/>
        </w:rPr>
        <w:t xml:space="preserve"> </w:t>
      </w: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35"/>
        <w:gridCol w:w="1364"/>
        <w:gridCol w:w="1610"/>
        <w:gridCol w:w="2482"/>
        <w:gridCol w:w="2421"/>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610" w:type="dxa"/>
            <w:tcBorders>
              <w:left w:val="nil"/>
              <w:right w:val="nil"/>
            </w:tcBorders>
            <w:shd w:val="clear" w:color="auto" w:fill="auto"/>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48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42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543"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bookmarkStart w:id="43" w:name="OLE_LINK6" w:colFirst="1" w:colLast="1"/>
            <w:r>
              <w:rPr>
                <w:rFonts w:hint="eastAsia" w:ascii="微软雅黑" w:hAnsi="微软雅黑" w:eastAsia="微软雅黑" w:cs="微软雅黑"/>
                <w:color w:val="auto"/>
                <w:sz w:val="18"/>
                <w:szCs w:val="18"/>
                <w:vertAlign w:val="baseline"/>
                <w:lang w:val="en-US" w:eastAsia="zh-CN"/>
              </w:rPr>
              <w:t>DPYD</w:t>
            </w:r>
          </w:p>
        </w:tc>
        <w:tc>
          <w:tcPr>
            <w:tcW w:w="136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rs67376798</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1610"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{{CJQ_基于尿嘧啶的化疗方案_rs67376798_g}}</w:t>
            </w:r>
          </w:p>
        </w:tc>
        <w:tc>
          <w:tcPr>
            <w:tcW w:w="248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CJQ_基于尿嘧啶的化疗方案_rs67376798_t</w:t>
            </w:r>
            <w:r>
              <w:rPr>
                <w:rFonts w:hint="eastAsia" w:ascii="微软雅黑" w:hAnsi="微软雅黑" w:eastAsia="微软雅黑" w:cs="微软雅黑"/>
                <w:color w:val="auto"/>
                <w:sz w:val="18"/>
                <w:szCs w:val="18"/>
                <w:vertAlign w:val="baseline"/>
                <w:lang w:val="en-US" w:eastAsia="zh-CN"/>
              </w:rPr>
              <w:t>}}</w:t>
            </w:r>
          </w:p>
        </w:tc>
        <w:tc>
          <w:tcPr>
            <w:tcW w:w="242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CJQ_基于尿嘧啶的化疗方案_rs67376798_e</w:t>
            </w:r>
            <w:r>
              <w:rPr>
                <w:rFonts w:hint="eastAsia" w:ascii="微软雅黑" w:hAnsi="微软雅黑" w:eastAsia="微软雅黑" w:cs="微软雅黑"/>
                <w:color w:val="auto"/>
                <w:sz w:val="18"/>
                <w:szCs w:val="18"/>
                <w:vertAlign w:val="baseline"/>
                <w:lang w:val="en-US" w:eastAsia="zh-CN"/>
              </w:rPr>
              <w:t>}}</w:t>
            </w:r>
          </w:p>
        </w:tc>
        <w:tc>
          <w:tcPr>
            <w:tcW w:w="1543"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CJQ_基于尿嘧啶的化疗方案_rs67376798_l</w:t>
            </w:r>
            <w:r>
              <w:rPr>
                <w:rFonts w:hint="eastAsia" w:ascii="微软雅黑" w:hAnsi="微软雅黑" w:eastAsia="微软雅黑" w:cs="微软雅黑"/>
                <w:color w:val="auto"/>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DPYD</w:t>
            </w:r>
          </w:p>
        </w:tc>
        <w:tc>
          <w:tcPr>
            <w:tcW w:w="136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rs3918290</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1610"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{{CJQ_基于尿嘧啶的化疗方案_rs3918290_g}}</w:t>
            </w:r>
          </w:p>
        </w:tc>
        <w:tc>
          <w:tcPr>
            <w:tcW w:w="248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{{CJQ_基于尿嘧啶的化疗方案_rs3918290_t}}</w:t>
            </w:r>
          </w:p>
        </w:tc>
        <w:tc>
          <w:tcPr>
            <w:tcW w:w="242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bookmarkStart w:id="44" w:name="OLE_LINK8"/>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CJQ_基于尿嘧啶的化疗方案_rs3918290_e</w:t>
            </w:r>
            <w:r>
              <w:rPr>
                <w:rFonts w:hint="eastAsia" w:ascii="微软雅黑" w:hAnsi="微软雅黑" w:eastAsia="微软雅黑" w:cs="微软雅黑"/>
                <w:color w:val="auto"/>
                <w:sz w:val="18"/>
                <w:szCs w:val="18"/>
                <w:vertAlign w:val="baseline"/>
                <w:lang w:val="en-US" w:eastAsia="zh-CN"/>
              </w:rPr>
              <w:t>}}</w:t>
            </w:r>
            <w:bookmarkEnd w:id="44"/>
          </w:p>
        </w:tc>
        <w:tc>
          <w:tcPr>
            <w:tcW w:w="1543"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CJQ_基于尿嘧啶的化疗方案_rs3918290_l</w:t>
            </w:r>
            <w:r>
              <w:rPr>
                <w:rFonts w:hint="eastAsia" w:ascii="微软雅黑" w:hAnsi="微软雅黑" w:eastAsia="微软雅黑" w:cs="微软雅黑"/>
                <w:color w:val="auto"/>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DPYD</w:t>
            </w:r>
          </w:p>
        </w:tc>
        <w:tc>
          <w:tcPr>
            <w:tcW w:w="136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rs55886062</w:t>
            </w:r>
          </w:p>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p>
        </w:tc>
        <w:tc>
          <w:tcPr>
            <w:tcW w:w="1610"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{{CJQ_基于尿嘧啶的化疗方案_rs55886062_g}}</w:t>
            </w:r>
          </w:p>
        </w:tc>
        <w:tc>
          <w:tcPr>
            <w:tcW w:w="248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CJQ_基于尿嘧啶的化疗方案_rs55886062_t</w:t>
            </w:r>
            <w:r>
              <w:rPr>
                <w:rFonts w:hint="eastAsia" w:ascii="微软雅黑" w:hAnsi="微软雅黑" w:eastAsia="微软雅黑" w:cs="微软雅黑"/>
                <w:color w:val="auto"/>
                <w:sz w:val="18"/>
                <w:szCs w:val="18"/>
                <w:vertAlign w:val="baseline"/>
                <w:lang w:val="en-US" w:eastAsia="zh-CN"/>
              </w:rPr>
              <w:t>}}</w:t>
            </w:r>
          </w:p>
        </w:tc>
        <w:tc>
          <w:tcPr>
            <w:tcW w:w="242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bookmarkStart w:id="45" w:name="OLE_LINK9"/>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CJQ_基于尿嘧啶的化疗方案_rs55886062_e</w:t>
            </w:r>
            <w:r>
              <w:rPr>
                <w:rFonts w:hint="eastAsia" w:ascii="微软雅黑" w:hAnsi="微软雅黑" w:eastAsia="微软雅黑" w:cs="微软雅黑"/>
                <w:color w:val="auto"/>
                <w:sz w:val="18"/>
                <w:szCs w:val="18"/>
                <w:vertAlign w:val="baseline"/>
                <w:lang w:val="en-US" w:eastAsia="zh-CN"/>
              </w:rPr>
              <w:t>}}</w:t>
            </w:r>
            <w:bookmarkEnd w:id="45"/>
          </w:p>
        </w:tc>
        <w:tc>
          <w:tcPr>
            <w:tcW w:w="1543"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r>
              <w:rPr>
                <w:rFonts w:hint="eastAsia" w:ascii="微软雅黑" w:hAnsi="微软雅黑" w:eastAsia="微软雅黑" w:cs="微软雅黑"/>
                <w:color w:val="auto"/>
                <w:kern w:val="0"/>
                <w:sz w:val="18"/>
                <w:szCs w:val="18"/>
                <w:lang w:val="en-US" w:eastAsia="zh-CN" w:bidi="ar"/>
              </w:rPr>
              <w:t>CJQ_基于尿嘧啶的化疗方案_rs55886062_l</w:t>
            </w:r>
            <w:r>
              <w:rPr>
                <w:rFonts w:hint="eastAsia" w:ascii="微软雅黑" w:hAnsi="微软雅黑" w:eastAsia="微软雅黑" w:cs="微软雅黑"/>
                <w:color w:val="auto"/>
                <w:sz w:val="18"/>
                <w:szCs w:val="18"/>
                <w:vertAlign w:val="baseline"/>
                <w:lang w:val="en-US" w:eastAsia="zh-CN"/>
              </w:rPr>
              <w:t>}}</w:t>
            </w:r>
          </w:p>
        </w:tc>
      </w:tr>
      <w:bookmarkEnd w:id="43"/>
    </w:tbl>
    <w:p>
      <w:pPr>
        <w:pStyle w:val="4"/>
        <w:bidi w:val="0"/>
        <w:rPr>
          <w:rFonts w:hint="eastAsia" w:ascii="微软雅黑" w:hAnsi="微软雅黑" w:eastAsia="微软雅黑" w:cs="微软雅黑"/>
          <w:color w:val="2E75B6" w:themeColor="accent1" w:themeShade="BF"/>
          <w:lang w:val="en-US" w:eastAsia="zh-CN"/>
        </w:rPr>
      </w:pPr>
      <w:bookmarkStart w:id="46" w:name="_Toc26927"/>
      <w:r>
        <w:rPr>
          <w:rFonts w:hint="eastAsia" w:ascii="微软雅黑" w:hAnsi="微软雅黑" w:eastAsia="微软雅黑" w:cs="微软雅黑"/>
          <w:color w:val="2E75B6" w:themeColor="accent1" w:themeShade="BF"/>
          <w:lang w:val="en-US" w:eastAsia="zh-CN"/>
        </w:rPr>
        <w:t>药物：顺铂</w:t>
      </w:r>
      <w:bookmarkEnd w:id="46"/>
      <w:r>
        <w:rPr>
          <w:rFonts w:hint="eastAsia" w:ascii="微软雅黑" w:hAnsi="微软雅黑" w:eastAsia="微软雅黑" w:cs="微软雅黑"/>
          <w:color w:val="2E75B6" w:themeColor="accent1" w:themeShade="BF"/>
          <w:lang w:val="en-US" w:eastAsia="zh-CN"/>
        </w:rPr>
        <w:t xml:space="preserve"> </w:t>
      </w: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363"/>
        <w:gridCol w:w="1506"/>
        <w:gridCol w:w="2561"/>
        <w:gridCol w:w="2490"/>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bookmarkStart w:id="47" w:name="OLE_LINK1"/>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3"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506"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561"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490"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438"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97"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XPC</w:t>
            </w:r>
          </w:p>
        </w:tc>
        <w:tc>
          <w:tcPr>
            <w:tcW w:w="1363"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rs2228001</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{{CJQ_顺铂_rs2228001_g}}</w:t>
            </w:r>
          </w:p>
        </w:tc>
        <w:tc>
          <w:tcPr>
            <w:tcW w:w="2561"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{{CJQ_顺铂_rs2228001_t}}</w:t>
            </w:r>
          </w:p>
        </w:tc>
        <w:tc>
          <w:tcPr>
            <w:tcW w:w="2490"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{{CJQ_顺铂_rs2228001_e}}</w:t>
            </w:r>
          </w:p>
        </w:tc>
        <w:tc>
          <w:tcPr>
            <w:tcW w:w="1438"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{{CJQ_顺铂_rs2228001_l}}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GSTP1</w:t>
            </w:r>
          </w:p>
        </w:tc>
        <w:tc>
          <w:tcPr>
            <w:tcW w:w="1363"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rs1138272</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{{CJQ_顺铂_rs1138272_g}}</w:t>
            </w:r>
          </w:p>
        </w:tc>
        <w:tc>
          <w:tcPr>
            <w:tcW w:w="2561"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{{CJQ_顺铂_rs1138272_t}}</w:t>
            </w:r>
          </w:p>
        </w:tc>
        <w:tc>
          <w:tcPr>
            <w:tcW w:w="2490"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{{CJQ_顺铂_rs1138272_e}}</w:t>
            </w:r>
          </w:p>
        </w:tc>
        <w:tc>
          <w:tcPr>
            <w:tcW w:w="1438" w:type="dxa"/>
            <w:tcBorders>
              <w:left w:val="nil"/>
              <w:right w:val="nil"/>
            </w:tcBorders>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{{CJQ_顺铂_rs1138272_l}}</w:t>
            </w:r>
          </w:p>
        </w:tc>
      </w:tr>
      <w:bookmarkEnd w:id="47"/>
    </w:tbl>
    <w:p>
      <w:pPr>
        <w:pStyle w:val="4"/>
        <w:bidi w:val="0"/>
        <w:rPr>
          <w:rFonts w:hint="eastAsia" w:ascii="微软雅黑" w:hAnsi="微软雅黑" w:eastAsia="微软雅黑" w:cs="微软雅黑"/>
          <w:color w:val="2E75B6" w:themeColor="accent1" w:themeShade="BF"/>
          <w:lang w:val="en-US" w:eastAsia="zh-CN"/>
        </w:rPr>
      </w:pPr>
      <w:bookmarkStart w:id="48" w:name="_Toc4925"/>
      <w:r>
        <w:rPr>
          <w:rFonts w:hint="eastAsia" w:ascii="微软雅黑" w:hAnsi="微软雅黑" w:eastAsia="微软雅黑" w:cs="微软雅黑"/>
          <w:color w:val="2E75B6" w:themeColor="accent1" w:themeShade="BF"/>
          <w:lang w:val="en-US" w:eastAsia="zh-CN"/>
        </w:rPr>
        <w:t>药物：基于铂类的化疗方案</w:t>
      </w:r>
      <w:bookmarkEnd w:id="48"/>
    </w:p>
    <w:tbl>
      <w:tblPr>
        <w:tblStyle w:val="11"/>
        <w:tblW w:w="10541"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89"/>
        <w:gridCol w:w="1362"/>
        <w:gridCol w:w="1506"/>
        <w:gridCol w:w="2570"/>
        <w:gridCol w:w="2476"/>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GSTP1</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rs1695</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{{CJQ_基于铂类的化疗方案_rs1695_g}}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{{CJQ_基于铂类的化疗方案_rs1695_t}}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{{CJQ_基于铂类的化疗方案_rs1695_e}}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{{CJQ_基于铂类的化疗方案_rs1695_l}}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ERCC1</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rs3212986</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{{CJQ_基于铂类的化疗方案_rs3212986_g}}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{{CJQ_基于铂类的化疗方案_rs3212986_t}}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{{CJQ_基于铂类的化疗方案_rs3212986_e}}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{{CJQ_基于铂类的化疗方案_rs3212986_l}}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ERCC1</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rs11615</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{{CJQ_基于铂类的化疗方案_rs11615_g}}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{{CJQ_基于铂类的化疗方案_rs11615_t}}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{{CJQ_基于铂类的化疗方案_rs11615_e}}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{{CJQ_基于铂类的化疗方案_rs11615_l}}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XRCC1</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rs25487</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{{CJQ_基于铂类的化疗方案_rs25487_g}}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{{CJQ_基于铂类的化疗方案_rs25487_t}}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{{CJQ_基于铂类的化疗方案_rs25487_e}}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{{CJQ_基于铂类的化疗方案_rs25487_l}}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ERCC2</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rs13181</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{{CJQ_基于铂类的化疗方案_rs13181_g}}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{{CJQ_基于铂类的化疗方案_rs13181_t}}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{{CJQ_基于铂类的化疗方案_rs13181_e}}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{{CJQ_基于铂类的化疗方案_rs13181_l}}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ERCC2</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rs1052555</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{{CJQ_基于铂类的化疗方案_rs1052555_g}}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{{CJQ_基于铂类的化疗方案_rs1052555_t}}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{{CJQ_基于铂类的化疗方案_rs1052555_e}}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{{CJQ_基于铂类的化疗方案_rs1052555_l}}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89"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GSTP1</w:t>
            </w:r>
          </w:p>
        </w:tc>
        <w:tc>
          <w:tcPr>
            <w:tcW w:w="1362"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rs1695</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{{CJQ_基于铂类的化疗方案_rs1695_g}}</w:t>
            </w:r>
          </w:p>
        </w:tc>
        <w:tc>
          <w:tcPr>
            <w:tcW w:w="257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{{CJQ_基于铂类的化疗方案_rs1695_t}}</w:t>
            </w:r>
          </w:p>
        </w:tc>
        <w:tc>
          <w:tcPr>
            <w:tcW w:w="247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{{CJQ_基于铂类的化疗方案_rs1695_e}}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{{CJQ_基于铂类的化疗方案_rs1695_l}}</w:t>
            </w:r>
          </w:p>
        </w:tc>
      </w:tr>
    </w:tbl>
    <w:p>
      <w:pPr>
        <w:pStyle w:val="4"/>
        <w:bidi w:val="0"/>
        <w:rPr>
          <w:rFonts w:hint="eastAsia" w:ascii="微软雅黑" w:hAnsi="微软雅黑" w:eastAsia="微软雅黑" w:cs="微软雅黑"/>
          <w:color w:val="2E75B6" w:themeColor="accent1" w:themeShade="BF"/>
        </w:rPr>
      </w:pPr>
      <w:bookmarkStart w:id="49" w:name="_Toc19054"/>
      <w:r>
        <w:rPr>
          <w:rFonts w:hint="eastAsia" w:ascii="微软雅黑" w:hAnsi="微软雅黑" w:eastAsia="微软雅黑" w:cs="微软雅黑"/>
          <w:color w:val="2E75B6" w:themeColor="accent1" w:themeShade="BF"/>
          <w:lang w:val="en-US" w:eastAsia="zh-CN"/>
        </w:rPr>
        <w:t>药物：卡铂、顺铂</w:t>
      </w:r>
      <w:bookmarkEnd w:id="49"/>
      <w:r>
        <w:rPr>
          <w:rFonts w:hint="eastAsia" w:ascii="微软雅黑" w:hAnsi="微软雅黑" w:eastAsia="微软雅黑" w:cs="微软雅黑"/>
          <w:color w:val="2E75B6" w:themeColor="accent1" w:themeShade="BF"/>
          <w:lang w:val="en-US" w:eastAsia="zh-CN"/>
        </w:rPr>
        <w:t xml:space="preserve"> </w:t>
      </w: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08"/>
        <w:gridCol w:w="1360"/>
        <w:gridCol w:w="1506"/>
        <w:gridCol w:w="2562"/>
        <w:gridCol w:w="2480"/>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0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56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48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43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08"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kern w:val="0"/>
                <w:sz w:val="18"/>
                <w:szCs w:val="18"/>
                <w:lang w:val="en-US" w:eastAsia="zh-CN" w:bidi="ar"/>
              </w:rPr>
              <w:t>MTHFR</w:t>
            </w:r>
          </w:p>
        </w:tc>
        <w:tc>
          <w:tcPr>
            <w:tcW w:w="1360"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rs1801133</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{{CJQ_卡铂_顺铂_rs1801133_g}}</w:t>
            </w:r>
          </w:p>
        </w:tc>
        <w:tc>
          <w:tcPr>
            <w:tcW w:w="2562"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{{CJQ_卡铂_顺铂_rs1801133_t}}</w:t>
            </w:r>
          </w:p>
        </w:tc>
        <w:tc>
          <w:tcPr>
            <w:tcW w:w="2480"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{{CJQ_卡铂_顺铂_rs1801133_e}}</w:t>
            </w:r>
          </w:p>
        </w:tc>
        <w:tc>
          <w:tcPr>
            <w:tcW w:w="143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{{CJQ_卡铂_顺铂_rs1801133_l}}</w:t>
            </w:r>
          </w:p>
        </w:tc>
      </w:tr>
    </w:tbl>
    <w:p>
      <w:pPr>
        <w:pStyle w:val="4"/>
        <w:bidi w:val="0"/>
        <w:rPr>
          <w:rFonts w:hint="eastAsia" w:ascii="微软雅黑" w:hAnsi="微软雅黑" w:eastAsia="微软雅黑" w:cs="微软雅黑"/>
          <w:color w:val="2E75B6" w:themeColor="accent1" w:themeShade="BF"/>
          <w:lang w:val="en-US" w:eastAsia="zh-CN"/>
        </w:rPr>
      </w:pPr>
      <w:bookmarkStart w:id="50" w:name="_Toc17027"/>
      <w:r>
        <w:rPr>
          <w:rFonts w:hint="eastAsia" w:ascii="微软雅黑" w:hAnsi="微软雅黑" w:eastAsia="微软雅黑" w:cs="微软雅黑"/>
          <w:color w:val="2E75B6" w:themeColor="accent1" w:themeShade="BF"/>
          <w:lang w:val="en-US" w:eastAsia="zh-CN"/>
        </w:rPr>
        <w:t>药物：吉西他滨</w:t>
      </w:r>
      <w:bookmarkEnd w:id="50"/>
      <w:r>
        <w:rPr>
          <w:rFonts w:hint="eastAsia" w:ascii="微软雅黑" w:hAnsi="微软雅黑" w:eastAsia="微软雅黑" w:cs="微软雅黑"/>
          <w:color w:val="2E75B6" w:themeColor="accent1" w:themeShade="BF"/>
          <w:lang w:val="en-US" w:eastAsia="zh-CN"/>
        </w:rPr>
        <w:t xml:space="preserve"> </w:t>
      </w:r>
    </w:p>
    <w:tbl>
      <w:tblPr>
        <w:tblStyle w:val="11"/>
        <w:tblW w:w="10541"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34"/>
        <w:gridCol w:w="1365"/>
        <w:gridCol w:w="1611"/>
        <w:gridCol w:w="2499"/>
        <w:gridCol w:w="2388"/>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61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49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38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54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CDA</w:t>
            </w:r>
          </w:p>
        </w:tc>
        <w:tc>
          <w:tcPr>
            <w:tcW w:w="1365"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rs2072671</w:t>
            </w:r>
          </w:p>
        </w:tc>
        <w:tc>
          <w:tcPr>
            <w:tcW w:w="161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{{CJQ_吉西他滨_rs2072671_g}}</w:t>
            </w:r>
          </w:p>
        </w:tc>
        <w:tc>
          <w:tcPr>
            <w:tcW w:w="249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{{CJQ_吉西他滨_rs2072671_t}}</w:t>
            </w:r>
          </w:p>
        </w:tc>
        <w:tc>
          <w:tcPr>
            <w:tcW w:w="238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{{CJQ_吉西他滨_rs2072671_e}}</w:t>
            </w:r>
          </w:p>
        </w:tc>
        <w:tc>
          <w:tcPr>
            <w:tcW w:w="154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{{CJQ_吉西他滨_rs2072671_l}}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CDA</w:t>
            </w:r>
          </w:p>
        </w:tc>
        <w:tc>
          <w:tcPr>
            <w:tcW w:w="1365"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rs60369023</w:t>
            </w:r>
          </w:p>
        </w:tc>
        <w:tc>
          <w:tcPr>
            <w:tcW w:w="161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{{CJQ_吉西他滨_rs60369023_g}}</w:t>
            </w:r>
          </w:p>
        </w:tc>
        <w:tc>
          <w:tcPr>
            <w:tcW w:w="249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{{CJQ_吉西他滨_rs60369023_t}}</w:t>
            </w:r>
          </w:p>
        </w:tc>
        <w:tc>
          <w:tcPr>
            <w:tcW w:w="238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{{CJQ_吉西他滨_rs60369023_e}}</w:t>
            </w:r>
          </w:p>
        </w:tc>
        <w:tc>
          <w:tcPr>
            <w:tcW w:w="154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{{CJQ_吉西他滨_rs60369023_l}}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65" w:hRule="atLeast"/>
        </w:trPr>
        <w:tc>
          <w:tcPr>
            <w:tcW w:w="113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RRM1</w:t>
            </w:r>
          </w:p>
        </w:tc>
        <w:tc>
          <w:tcPr>
            <w:tcW w:w="1365"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rs183484</w:t>
            </w:r>
          </w:p>
        </w:tc>
        <w:tc>
          <w:tcPr>
            <w:tcW w:w="161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{{CJQ_吉西他滨_rs183484_g}}</w:t>
            </w:r>
          </w:p>
        </w:tc>
        <w:tc>
          <w:tcPr>
            <w:tcW w:w="249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{{CJQ_吉西他滨_rs183484_t}}</w:t>
            </w:r>
          </w:p>
        </w:tc>
        <w:tc>
          <w:tcPr>
            <w:tcW w:w="238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{{CJQ_吉西他滨_rs183484_e}}</w:t>
            </w:r>
          </w:p>
        </w:tc>
        <w:tc>
          <w:tcPr>
            <w:tcW w:w="154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{{CJQ_吉西他滨_rs183484_l}}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34"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RRM1</w:t>
            </w:r>
          </w:p>
        </w:tc>
        <w:tc>
          <w:tcPr>
            <w:tcW w:w="1365"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rs9937</w:t>
            </w:r>
          </w:p>
        </w:tc>
        <w:tc>
          <w:tcPr>
            <w:tcW w:w="1611"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{{CJQ_吉西他滨_rs9937_g}}</w:t>
            </w:r>
          </w:p>
        </w:tc>
        <w:tc>
          <w:tcPr>
            <w:tcW w:w="2499"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{{CJQ_吉西他滨_rs9937_t}}</w:t>
            </w:r>
          </w:p>
        </w:tc>
        <w:tc>
          <w:tcPr>
            <w:tcW w:w="238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{{CJQ_吉西他滨_rs9937_e}}</w:t>
            </w:r>
          </w:p>
        </w:tc>
        <w:tc>
          <w:tcPr>
            <w:tcW w:w="1544"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{{CJQ_吉西他滨_rs9937_l}}</w:t>
            </w:r>
          </w:p>
        </w:tc>
      </w:tr>
    </w:tbl>
    <w:p>
      <w:pPr>
        <w:pStyle w:val="4"/>
        <w:bidi w:val="0"/>
        <w:rPr>
          <w:rFonts w:hint="eastAsia" w:ascii="微软雅黑" w:hAnsi="微软雅黑" w:eastAsia="微软雅黑" w:cs="微软雅黑"/>
          <w:color w:val="2E75B6" w:themeColor="accent1" w:themeShade="BF"/>
          <w:lang w:val="en-US" w:eastAsia="zh-CN"/>
        </w:rPr>
      </w:pPr>
      <w:bookmarkStart w:id="51" w:name="_Toc5604"/>
      <w:r>
        <w:rPr>
          <w:rFonts w:hint="eastAsia" w:ascii="微软雅黑" w:hAnsi="微软雅黑" w:eastAsia="微软雅黑" w:cs="微软雅黑"/>
          <w:color w:val="2E75B6" w:themeColor="accent1" w:themeShade="BF"/>
          <w:lang w:val="en-US" w:eastAsia="zh-CN"/>
        </w:rPr>
        <w:t>药物：替加氟+亚叶酸钙、氟尿嘧啶+亚叶酸钙</w:t>
      </w:r>
      <w:bookmarkEnd w:id="51"/>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96"/>
        <w:gridCol w:w="1365"/>
        <w:gridCol w:w="1506"/>
        <w:gridCol w:w="2595"/>
        <w:gridCol w:w="2455"/>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119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w:t>
            </w:r>
          </w:p>
        </w:tc>
        <w:tc>
          <w:tcPr>
            <w:tcW w:w="136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位点</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基因型</w:t>
            </w:r>
          </w:p>
        </w:tc>
        <w:tc>
          <w:tcPr>
            <w:tcW w:w="259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毒性</w:t>
            </w:r>
          </w:p>
        </w:tc>
        <w:tc>
          <w:tcPr>
            <w:tcW w:w="245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有效性</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kern w:val="2"/>
                <w:sz w:val="18"/>
                <w:szCs w:val="18"/>
                <w:vertAlign w:val="baseline"/>
                <w:lang w:val="en-US" w:eastAsia="zh-CN" w:bidi="ar-SA"/>
              </w:rPr>
            </w:pPr>
            <w:r>
              <w:rPr>
                <w:rFonts w:hint="eastAsia" w:ascii="微软雅黑" w:hAnsi="微软雅黑" w:eastAsia="微软雅黑" w:cs="微软雅黑"/>
                <w:b/>
                <w:bCs/>
                <w:color w:val="2E75B6" w:themeColor="accent1" w:themeShade="BF"/>
                <w:sz w:val="18"/>
                <w:szCs w:val="18"/>
                <w:vertAlign w:val="baseline"/>
                <w:lang w:val="en-US" w:eastAsia="zh-CN"/>
              </w:rPr>
              <w:t>证据等级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1196"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UMPS</w:t>
            </w:r>
          </w:p>
        </w:tc>
        <w:tc>
          <w:tcPr>
            <w:tcW w:w="1365" w:type="dxa"/>
            <w:tcBorders>
              <w:left w:val="nil"/>
              <w:right w:val="nil"/>
            </w:tcBorders>
            <w:shd w:val="clear" w:color="auto" w:fill="auto"/>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kern w:val="0"/>
                <w:sz w:val="18"/>
                <w:szCs w:val="18"/>
                <w:lang w:val="en-US" w:eastAsia="zh-CN" w:bidi="ar"/>
              </w:rPr>
              <w:t>rs1801019</w:t>
            </w:r>
          </w:p>
        </w:tc>
        <w:tc>
          <w:tcPr>
            <w:tcW w:w="1506"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{{CJQ_替加氟_亚叶酸钙_氟尿嘧啶_亚叶酸钙_rs1801019_g}}</w:t>
            </w:r>
          </w:p>
        </w:tc>
        <w:tc>
          <w:tcPr>
            <w:tcW w:w="259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{{CJQ_替加氟_亚叶酸钙_氟尿嘧啶_亚叶酸钙_rs1801019_t}}</w:t>
            </w:r>
          </w:p>
        </w:tc>
        <w:tc>
          <w:tcPr>
            <w:tcW w:w="2455"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{{CJQ_替加氟_亚叶酸钙_氟尿嘧啶_亚叶酸钙_rs1801019_e}}</w:t>
            </w:r>
          </w:p>
        </w:tc>
        <w:tc>
          <w:tcPr>
            <w:tcW w:w="1438" w:type="dxa"/>
            <w:tcBorders>
              <w:left w:val="nil"/>
              <w:right w:val="nil"/>
            </w:tcBorders>
            <w:shd w:val="clear" w:color="auto" w:fill="auto"/>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auto"/>
                <w:sz w:val="18"/>
                <w:szCs w:val="18"/>
                <w:vertAlign w:val="baseline"/>
              </w:rPr>
            </w:pPr>
            <w:r>
              <w:rPr>
                <w:rFonts w:hint="eastAsia" w:ascii="微软雅黑" w:hAnsi="微软雅黑" w:eastAsia="微软雅黑" w:cs="微软雅黑"/>
                <w:color w:val="auto"/>
                <w:sz w:val="18"/>
                <w:szCs w:val="18"/>
                <w:vertAlign w:val="baseline"/>
                <w:lang w:val="en-US" w:eastAsia="zh-CN"/>
              </w:rPr>
              <w:t>{{CJQ_替加氟_亚叶酸钙_氟尿嘧啶_亚叶酸钙_rs1801019_l}}</w:t>
            </w:r>
          </w:p>
        </w:tc>
      </w:tr>
    </w:tbl>
    <w:p>
      <w:pPr>
        <w:rPr>
          <w:rFonts w:hint="eastAsia" w:ascii="微软雅黑" w:hAnsi="微软雅黑" w:eastAsia="微软雅黑" w:cs="微软雅黑"/>
          <w:color w:val="2E75B6" w:themeColor="accent1" w:themeShade="BF"/>
        </w:rPr>
      </w:pP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备注：</w:t>
      </w:r>
    </w:p>
    <w:p>
      <w:pP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1. 基因多态性对化疗药物的药效学提示，参考了PharmGKB数据库（http://www.pharmgkb.org）。</w:t>
      </w:r>
    </w:p>
    <w:p>
      <w:pP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 xml:space="preserve">2. PharmGKB是美国国立卫生研究院资助的提供人类基因变异与药物反应相关关系的知识库。 </w:t>
      </w:r>
    </w:p>
    <w:p>
      <w:pPr>
        <w:ind w:left="320" w:hanging="320" w:hangingChars="20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 xml:space="preserve">3. 名词注释：“位点”指和化疗药物或方案的有效性、毒副作用等药效学相关的，位于基因组上的多态性位点，通常用rs号表示；单个“位点”上的遗传变异，在人群中会组合出多个“基因型”，不同基因型患者的药物反应在临床上可能会有所差异。 </w:t>
      </w:r>
    </w:p>
    <w:p>
      <w:pP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 xml:space="preserve">4. </w:t>
      </w:r>
      <w:r>
        <w:rPr>
          <w:rFonts w:hint="eastAsia" w:ascii="微软雅黑" w:hAnsi="微软雅黑" w:eastAsia="微软雅黑" w:cs="微软雅黑"/>
          <w:b/>
          <w:bCs/>
          <w:color w:val="auto"/>
          <w:sz w:val="18"/>
          <w:szCs w:val="18"/>
          <w:vertAlign w:val="baseline"/>
          <w:lang w:val="en-US" w:eastAsia="zh-CN"/>
        </w:rPr>
        <w:t>证据等级：</w:t>
      </w:r>
      <w:r>
        <w:rPr>
          <w:rFonts w:hint="eastAsia" w:ascii="微软雅黑" w:hAnsi="微软雅黑" w:eastAsia="微软雅黑" w:cs="微软雅黑"/>
          <w:color w:val="auto"/>
          <w:sz w:val="16"/>
          <w:szCs w:val="16"/>
          <w:vertAlign w:val="baseline"/>
          <w:lang w:val="en-US" w:eastAsia="zh-CN"/>
        </w:rPr>
        <w:t xml:space="preserve">来源于PharmGKB网站http://www.pharmgkb.org/page/clinAnnLevels。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8"/>
          <w:szCs w:val="18"/>
          <w:vertAlign w:val="baseline"/>
          <w:lang w:val="en-US" w:eastAsia="zh-CN"/>
        </w:rPr>
        <w:t>1A：</w:t>
      </w:r>
      <w:r>
        <w:rPr>
          <w:rFonts w:hint="eastAsia" w:ascii="微软雅黑" w:hAnsi="微软雅黑" w:eastAsia="微软雅黑" w:cs="微软雅黑"/>
          <w:color w:val="auto"/>
          <w:sz w:val="16"/>
          <w:szCs w:val="16"/>
          <w:vertAlign w:val="baseline"/>
          <w:lang w:val="en-US" w:eastAsia="zh-CN"/>
        </w:rPr>
        <w:t xml:space="preserve">纳入疾病诊疗指南的或经重大卫生系统认可的结论；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8"/>
          <w:szCs w:val="18"/>
          <w:vertAlign w:val="baseline"/>
          <w:lang w:val="en-US" w:eastAsia="zh-CN"/>
        </w:rPr>
        <w:t>1B：</w:t>
      </w:r>
      <w:r>
        <w:rPr>
          <w:rFonts w:hint="eastAsia" w:ascii="微软雅黑" w:hAnsi="微软雅黑" w:eastAsia="微软雅黑" w:cs="微软雅黑"/>
          <w:color w:val="auto"/>
          <w:sz w:val="16"/>
          <w:szCs w:val="16"/>
          <w:vertAlign w:val="baseline"/>
          <w:lang w:val="en-US" w:eastAsia="zh-CN"/>
        </w:rPr>
        <w:t xml:space="preserve">多项有统计学显著性差异的研究；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6"/>
          <w:szCs w:val="16"/>
          <w:vertAlign w:val="baseline"/>
          <w:lang w:val="en-US" w:eastAsia="zh-CN"/>
        </w:rPr>
        <w:t>2A：</w:t>
      </w:r>
      <w:r>
        <w:rPr>
          <w:rFonts w:hint="eastAsia" w:ascii="微软雅黑" w:hAnsi="微软雅黑" w:eastAsia="微软雅黑" w:cs="微软雅黑"/>
          <w:color w:val="auto"/>
          <w:sz w:val="16"/>
          <w:szCs w:val="16"/>
          <w:vertAlign w:val="baseline"/>
          <w:lang w:val="en-US" w:eastAsia="zh-CN"/>
        </w:rPr>
        <w:t xml:space="preserve">多项得到重复的研究，故药效关系很有可能是有意义的；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6"/>
          <w:szCs w:val="16"/>
          <w:vertAlign w:val="baseline"/>
          <w:lang w:val="en-US" w:eastAsia="zh-CN"/>
        </w:rPr>
        <w:t>2B：</w:t>
      </w:r>
      <w:r>
        <w:rPr>
          <w:rFonts w:hint="eastAsia" w:ascii="微软雅黑" w:hAnsi="微软雅黑" w:eastAsia="微软雅黑" w:cs="微软雅黑"/>
          <w:color w:val="auto"/>
          <w:sz w:val="16"/>
          <w:szCs w:val="16"/>
          <w:vertAlign w:val="baseline"/>
          <w:lang w:val="en-US" w:eastAsia="zh-CN"/>
        </w:rPr>
        <w:t xml:space="preserve">多项得到重复的研究，但某些研究可能无显著性统计学差异或样本数量少；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8"/>
          <w:szCs w:val="18"/>
          <w:vertAlign w:val="baseline"/>
          <w:lang w:val="en-US" w:eastAsia="zh-CN"/>
        </w:rPr>
        <w:t>3：</w:t>
      </w:r>
      <w:r>
        <w:rPr>
          <w:rFonts w:hint="eastAsia" w:ascii="微软雅黑" w:hAnsi="微软雅黑" w:eastAsia="微软雅黑" w:cs="微软雅黑"/>
          <w:color w:val="auto"/>
          <w:sz w:val="16"/>
          <w:szCs w:val="16"/>
          <w:vertAlign w:val="baseline"/>
          <w:lang w:val="en-US" w:eastAsia="zh-CN"/>
        </w:rPr>
        <w:t xml:space="preserve">仅基于1项有显著差异的研究（未得到重复）或缺乏明显药效关联性的多项研究； </w:t>
      </w:r>
    </w:p>
    <w:p>
      <w:pPr>
        <w:ind w:firstLine="420" w:firstLineChars="0"/>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b/>
          <w:bCs/>
          <w:color w:val="auto"/>
          <w:sz w:val="18"/>
          <w:szCs w:val="18"/>
          <w:vertAlign w:val="baseline"/>
          <w:lang w:val="en-US" w:eastAsia="zh-CN"/>
        </w:rPr>
        <w:t>4：</w:t>
      </w:r>
      <w:r>
        <w:rPr>
          <w:rFonts w:hint="eastAsia" w:ascii="微软雅黑" w:hAnsi="微软雅黑" w:eastAsia="微软雅黑" w:cs="微软雅黑"/>
          <w:color w:val="auto"/>
          <w:sz w:val="16"/>
          <w:szCs w:val="16"/>
          <w:vertAlign w:val="baseline"/>
          <w:lang w:val="en-US" w:eastAsia="zh-CN"/>
        </w:rPr>
        <w:t xml:space="preserve">仅基于1项病例报告，非显著性差异的研究或体外实验，分子或功能分析证据。 </w:t>
      </w:r>
    </w:p>
    <w:p>
      <w:pPr>
        <w:numPr>
          <w:ilvl w:val="0"/>
          <w:numId w:val="2"/>
        </w:numP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6"/>
          <w:szCs w:val="16"/>
          <w:vertAlign w:val="baseline"/>
          <w:lang w:val="en-US" w:eastAsia="zh-CN"/>
        </w:rPr>
        <w:t>目前认为，一种化疗药物的疗效和毒副作用可能跟多基因相互作用有关，所以化疗方案的选取也应综合考虑</w:t>
      </w:r>
      <w:r>
        <w:rPr>
          <w:rFonts w:hint="eastAsia" w:ascii="微软雅黑" w:hAnsi="微软雅黑" w:eastAsia="微软雅黑" w:cs="微软雅黑"/>
          <w:color w:val="auto"/>
          <w:sz w:val="18"/>
          <w:szCs w:val="18"/>
          <w:vertAlign w:val="baseline"/>
          <w:lang w:val="en-US" w:eastAsia="zh-CN"/>
        </w:rPr>
        <w:t>。</w:t>
      </w:r>
    </w:p>
    <w:p>
      <w:pP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52" w:name="_Toc29780"/>
      <w:bookmarkStart w:id="53" w:name="_Toc22526"/>
      <w:bookmarkStart w:id="54" w:name="_Toc5035"/>
      <w:r>
        <mc:AlternateContent>
          <mc:Choice Requires="wpg">
            <w:drawing>
              <wp:anchor distT="0" distB="0" distL="114300" distR="114300" simplePos="0" relativeHeight="251667456" behindDoc="0" locked="0" layoutInCell="1" allowOverlap="1">
                <wp:simplePos x="0" y="0"/>
                <wp:positionH relativeFrom="column">
                  <wp:posOffset>6350</wp:posOffset>
                </wp:positionH>
                <wp:positionV relativeFrom="paragraph">
                  <wp:posOffset>74295</wp:posOffset>
                </wp:positionV>
                <wp:extent cx="472440" cy="499110"/>
                <wp:effectExtent l="0" t="0" r="3810" b="15240"/>
                <wp:wrapNone/>
                <wp:docPr id="61"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57"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58"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59"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60"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0.5pt;margin-top:5.85pt;height:39.3pt;width:37.2pt;z-index:251667456;mso-width-relative:page;mso-height-relative:page;" coordorigin="1825800,1651625" coordsize="539989,571775" o:gfxdata="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&#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AaM9/x1wAAAAYBAAAPAAAAAAAAAAEAIAAAACIAAABk&#10;cnMvZG93bnJldi54bWxQSwECFAAUAAAACACHTuJAXpiTzrMEAAAgEwAADgAAAAAAAAABACAAAAAm&#10;AQAAZHJzL2Uyb0RvYy54bWxQSwUGAAAAAAYABgBZAQAASwg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GWmL174AAADb&#10;AAAADwAAAGRycy9kb3ducmV2LnhtbEWPT4vCMBTE74LfITzBy6KphVXpGkUUZT2IVLvs9dG8bYvN&#10;S2niv29vhAWPw8z8hpkt7qYWV2pdZVnBaBiBIM6trrhQkJ02gykI55E11pZJwYMcLObdzgwTbW+c&#10;0vXoCxEg7BJUUHrfJFK6vCSDbmgb4uD92dagD7ItpG7xFuCmlnEUjaXBisNCiQ2tSsrPx4tRsMp2&#10;v9tHtj7E6fjHT5fyI9/HF6X6vVH0BcLT3b/D/+1vreBzAq8v4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mL174A&#10;AADbAAAADwAAAAAAAAABACAAAAAiAAAAZHJzL2Rvd25yZXYueG1sUEsBAhQAFAAAAAgAh07iQDMv&#10;BZ47AAAAOQAAABAAAAAAAAAAAQAgAAAADQEAAGRycy9zaGFwZXhtbC54bWxQSwUGAAAAAAYABgBb&#10;AQAAtwM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DojVIboAAADb&#10;AAAADwAAAGRycy9kb3ducmV2LnhtbEVPTYvCMBC9L/gfwgheRBOFFa1GQWFhLx7WVfA4NmNbbCYl&#10;SdX6681hYY+P973aPG0t7uRD5VjDZKxAEOfOVFxoOP5+jeYgQkQ2WDsmDR0F2Kx7HyvMjHvwD90P&#10;sRAphEOGGsoYm0zKkJdkMYxdQ5y4q/MWY4K+kMbjI4XbWk6VmkmLFaeGEhvalZTfDq3V0Lb7s58p&#10;3y1er+3lNOyOw8VVaT3oT9QSRKRn/Bf/ub+Nhs80Nn1JP0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iNUhugAAANsA&#10;AAAPAAAAAAAAAAEAIAAAACIAAABkcnMvZG93bnJldi54bWxQSwECFAAUAAAACACHTuJAMy8FnjsA&#10;AAA5AAAAEAAAAAAAAAABACAAAAAJAQAAZHJzL3NoYXBleG1sLnhtbFBLBQYAAAAABgAGAFsBAACz&#10;Aw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Tr7w/7wAAADb&#10;AAAADwAAAGRycy9kb3ducmV2LnhtbEWPT4vCMBTE74LfITzBy6KpwopWowe14FVXUW/P5tkWm5eS&#10;xH/ffrOw4HGYmd8ws8XL1OJBzleWFQz6CQji3OqKCwX7n6w3BuEDssbaMil4k4fFvN2aYartk7f0&#10;2IVCRAj7FBWUITSplD4vyaDv24Y4elfrDIYoXSG1w2eEm1oOk2QkDVYcF0psaFlSftvdjYJNOB6G&#10;dv3lfCZHp9VleT5lzVmpbmeQTEEEeoVP+L+90Qq+J/D3Jf4A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8P+8AAAA&#10;2wAAAA8AAAAAAAAAAQAgAAAAIgAAAGRycy9kb3ducmV2LnhtbFBLAQIUABQAAAAIAIdO4kAzLwWe&#10;OwAAADkAAAAQAAAAAAAAAAEAIAAAAAsBAABkcnMvc2hhcGV4bWwueG1sUEsFBgAAAAAGAAYAWwEA&#10;ALUDA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FWYWlLwAAADb&#10;AAAADwAAAGRycy9kb3ducmV2LnhtbEVPy2oCMRTdC/2HcAU3ohmf2KnRhdLSF4KPQpeXyXUydHIz&#10;TqKOf28WBZeH854vG1uKC9W+cKxg0E9AEGdOF5wrOOxfezMQPiBrLB2Tght5WC6eWnNMtbvyli67&#10;kIsYwj5FBSaEKpXSZ4Ys+r6riCN3dLXFEGGdS13jNYbbUg6TZCotFhwbDFa0MpT97c5WQfP7/DMZ&#10;nUbr2+SNPr7G35tPc+oq1WkPkhcQgZrwEP+737WCaVwfv8Qf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mFpS8AAAA&#10;2wAAAA8AAAAAAAAAAQAgAAAAIgAAAGRycy9kb3ducmV2LnhtbFBLAQIUABQAAAAIAIdO4kAzLwWe&#10;OwAAADkAAAAQAAAAAAAAAAEAIAAAAAsBAABkcnMvc2hhcGV4bWwueG1sUEsFBgAAAAAGAAYAWwEA&#10;ALUDA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肿瘤遗传易感相关基因变异</w:t>
      </w:r>
      <w:bookmarkEnd w:id="52"/>
      <w:bookmarkEnd w:id="53"/>
      <w:bookmarkEnd w:id="54"/>
    </w:p>
    <w:p>
      <w:pPr>
        <w:pStyle w:val="4"/>
        <w:bidi w:val="0"/>
        <w:rPr>
          <w:rFonts w:hint="eastAsia" w:ascii="微软雅黑" w:hAnsi="微软雅黑" w:eastAsia="微软雅黑" w:cs="微软雅黑"/>
          <w:color w:val="2E75B6" w:themeColor="accent1" w:themeShade="BF"/>
          <w:lang w:val="en-US" w:eastAsia="zh-CN"/>
        </w:rPr>
      </w:pPr>
      <w:bookmarkStart w:id="55" w:name="_Toc19618"/>
      <w:r>
        <w:rPr>
          <w:rFonts w:hint="eastAsia" w:ascii="微软雅黑" w:hAnsi="微软雅黑" w:eastAsia="微软雅黑" w:cs="微软雅黑"/>
          <w:color w:val="2E75B6" w:themeColor="accent1" w:themeShade="BF"/>
          <w:lang w:val="en-US" w:eastAsia="zh-CN"/>
        </w:rPr>
        <w:t>与肿瘤遗传风险相关的致病性胚系变异</w:t>
      </w:r>
      <w:bookmarkEnd w:id="55"/>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014"/>
        <w:gridCol w:w="2102"/>
        <w:gridCol w:w="2040"/>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w:t>
            </w:r>
          </w:p>
        </w:tc>
        <w:tc>
          <w:tcPr>
            <w:tcW w:w="3014"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检测结果</w:t>
            </w:r>
          </w:p>
        </w:tc>
        <w:tc>
          <w:tcPr>
            <w:tcW w:w="210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基因突变频率</w:t>
            </w:r>
          </w:p>
        </w:tc>
        <w:tc>
          <w:tcPr>
            <w:tcW w:w="2040"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CLINSIG</w:t>
            </w:r>
          </w:p>
        </w:tc>
        <w:tc>
          <w:tcPr>
            <w:tcW w:w="1646"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5" w:type="dxa"/>
            <w:gridSpan w:val="5"/>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germline_var_dict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bCs/>
                <w:color w:val="2E75B6" w:themeColor="accent1" w:themeShade="BF"/>
                <w:sz w:val="18"/>
                <w:szCs w:val="18"/>
                <w:lang w:val="en-US" w:eastAsia="zh-CN"/>
              </w:rPr>
              <w:t>{{ a.SYMBOL }}</w:t>
            </w:r>
          </w:p>
        </w:tc>
        <w:tc>
          <w:tcPr>
            <w:tcW w:w="3014"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a.HGVSc }}</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a.HGVSp_x }}</w:t>
            </w:r>
          </w:p>
        </w:tc>
        <w:tc>
          <w:tcPr>
            <w:tcW w:w="2102"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a.AF }} %</w:t>
            </w:r>
          </w:p>
        </w:tc>
        <w:tc>
          <w:tcPr>
            <w:tcW w:w="2040"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a.ClinVar_CLNSIG }}</w:t>
            </w:r>
          </w:p>
        </w:tc>
        <w:tc>
          <w:tcPr>
            <w:tcW w:w="1646"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5" w:type="dxa"/>
            <w:gridSpan w:val="5"/>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endfor %}</w:t>
            </w:r>
          </w:p>
        </w:tc>
      </w:tr>
    </w:tbl>
    <w:p>
      <w:pPr>
        <w:rPr>
          <w:rFonts w:hint="eastAsia"/>
          <w:lang w:val="en-US" w:eastAsia="zh-CN"/>
        </w:rPr>
      </w:pPr>
    </w:p>
    <w:p>
      <w:pPr>
        <w:pStyle w:val="4"/>
        <w:bidi w:val="0"/>
        <w:rPr>
          <w:rFonts w:hint="eastAsia" w:ascii="微软雅黑" w:hAnsi="微软雅黑" w:eastAsia="微软雅黑" w:cs="微软雅黑"/>
          <w:color w:val="2E75B6" w:themeColor="accent1" w:themeShade="BF"/>
          <w:lang w:val="en-US" w:eastAsia="zh-CN"/>
        </w:rPr>
      </w:pPr>
      <w:bookmarkStart w:id="56" w:name="_Toc6302"/>
      <w:r>
        <w:rPr>
          <w:rFonts w:hint="eastAsia" w:ascii="微软雅黑" w:hAnsi="微软雅黑" w:eastAsia="微软雅黑" w:cs="微软雅黑"/>
          <w:color w:val="2E75B6" w:themeColor="accent1" w:themeShade="BF"/>
          <w:lang w:val="en-US" w:eastAsia="zh-CN"/>
        </w:rPr>
        <w:t>检测内容</w:t>
      </w:r>
      <w:bookmarkEnd w:id="56"/>
    </w:p>
    <w:p>
      <w:pPr>
        <w:rPr>
          <w:rFonts w:hint="default"/>
          <w:b/>
          <w:bCs/>
          <w:color w:val="000000" w:themeColor="text1"/>
          <w:sz w:val="18"/>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21"/>
          <w:lang w:val="en-US" w:eastAsia="zh-CN"/>
          <w14:textFill>
            <w14:solidFill>
              <w14:schemeClr w14:val="tx1"/>
            </w14:solidFill>
          </w14:textFill>
        </w:rPr>
        <w:t>针对68个肿瘤遗传易感基因进行点突变、小片段插入和缺失检测，以预测多种肿瘤的遗传风险。</w:t>
      </w:r>
    </w:p>
    <w:tbl>
      <w:tblPr>
        <w:tblStyle w:val="11"/>
        <w:tblW w:w="10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4"/>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914"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疾病类型</w:t>
            </w:r>
          </w:p>
        </w:tc>
        <w:tc>
          <w:tcPr>
            <w:tcW w:w="7658"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乳腺癌-卵巢癌综合征</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ATM， BARD1， BRCA1， BRCA2， BRIP1， CDH1， CHEK1， CHEK2， EPCAM， MLH1，MSH2，MSH6， NBN， NF1， PALB2， PMS2， PTEN， RAD51B， RAD51C， RAD51D， RAD54L，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结直肠癌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APC， ATM， AXIN2， BLM， BMPR1A， CHEK2， EPCAM， GALNT12， GREM1， MLH1， MSH2， MSH3， MSH6， MUTYH， NTHL1， PMS2， POLD1， POLE， PTEN， SMAD4， STK11，TP53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前列腺癌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ATM， BRCA1， BRCA2， BRIP1， CDK12， CHEK2， FAM175A， FANCA， FH， MLH1， MRE11A， MSH2， MSH6， MUTYH， NBN， PALB2， PMS2， RAD51C， RAD51D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胰腺癌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ATM， BRCA1， BRCA2， CDKN2A， FANCC， FANCG， MLH1， MSH2， MSH6， PALB2， PMS2， STK11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胃癌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APC， ATM， BLM， BMPR1A， BRCA1， BRCA2， CDH1， EPCAM， MET， MLH1， MSH2， MSH3， MSH6， PALB2， PMS2， PTEN， SMAD4，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子宫内膜癌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BRCA1， EPCAM， MLH1， MLH3， MSH2， MSH6， MUTYH， PMS2， PTEN，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肾癌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BAP1， FH， FLCN， MET， MITF， SDHB， SDHC， SDHD， TSC1， TSC2， VHL，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食管癌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BLM， BRCA2， FANCA， FANCC， FANCD2， FANCG， PALB2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胃肠道间质瘤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KIT， NF1， PDGFRA， SDHA， SDHB， SDHC， SDHD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sz w:val="18"/>
                <w:szCs w:val="18"/>
                <w:vertAlign w:val="baseline"/>
                <w:lang w:val="en-US" w:eastAsia="zh-CN"/>
              </w:rPr>
            </w:pPr>
            <w:r>
              <w:rPr>
                <w:rFonts w:hint="eastAsia" w:ascii="微软雅黑" w:hAnsi="微软雅黑" w:eastAsia="微软雅黑" w:cs="微软雅黑"/>
                <w:color w:val="1F4E79" w:themeColor="accent1" w:themeShade="80"/>
                <w:kern w:val="0"/>
                <w:sz w:val="18"/>
                <w:szCs w:val="18"/>
                <w:lang w:val="en-US" w:eastAsia="zh-CN" w:bidi="ar"/>
              </w:rPr>
              <w:t>黑色素瘤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BAP1， CDK4， CDKN2A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遗传性副神经节瘤/</w:t>
            </w:r>
          </w:p>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嗜铬细胞瘤综合征</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FH， MAX NF1， RET， SDHA， SDHAF2， SDHB， SDHC， SDHD， SMAD4， TMEM127， VHL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视网膜母细胞瘤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RB1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多发性内分泌腺瘤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MEN1， 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家族性甲状腺髓样癌</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NTRK1，RET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多发性神经纤维瘤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NF1，NF2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914" w:type="dxa"/>
            <w:shd w:val="clear" w:color="auto" w:fill="DEEBF6" w:themeFill="accent1" w:themeFillTint="32"/>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color w:val="1F4E79" w:themeColor="accent1" w:themeShade="80"/>
                <w:kern w:val="0"/>
                <w:sz w:val="18"/>
                <w:szCs w:val="18"/>
                <w:lang w:val="en-US" w:eastAsia="zh-CN" w:bidi="ar"/>
              </w:rPr>
            </w:pPr>
            <w:r>
              <w:rPr>
                <w:rFonts w:hint="eastAsia" w:ascii="微软雅黑" w:hAnsi="微软雅黑" w:eastAsia="微软雅黑" w:cs="微软雅黑"/>
                <w:color w:val="1F4E79" w:themeColor="accent1" w:themeShade="80"/>
                <w:kern w:val="0"/>
                <w:sz w:val="18"/>
                <w:szCs w:val="18"/>
                <w:lang w:val="en-US" w:eastAsia="zh-CN" w:bidi="ar"/>
              </w:rPr>
              <w:t>骨肉瘤</w:t>
            </w:r>
          </w:p>
        </w:tc>
        <w:tc>
          <w:tcPr>
            <w:tcW w:w="7658" w:type="dxa"/>
            <w:shd w:val="clear" w:color="auto" w:fill="F1F1F1" w:themeFill="background1" w:themeFillShade="F2"/>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color w:val="2E75B6" w:themeColor="accent1" w:themeShade="BF"/>
                <w:sz w:val="18"/>
                <w:szCs w:val="18"/>
                <w:vertAlign w:val="baseline"/>
                <w:lang w:val="en-US" w:eastAsia="zh-CN"/>
              </w:rPr>
            </w:pPr>
            <w:r>
              <w:rPr>
                <w:rFonts w:hint="eastAsia" w:ascii="微软雅黑" w:hAnsi="微软雅黑" w:eastAsia="微软雅黑" w:cs="微软雅黑"/>
                <w:color w:val="2E75B6" w:themeColor="accent1" w:themeShade="BF"/>
                <w:sz w:val="18"/>
                <w:szCs w:val="18"/>
                <w:vertAlign w:val="baseline"/>
                <w:lang w:val="en-US" w:eastAsia="zh-CN"/>
              </w:rPr>
              <w:t>RB1，TP53</w:t>
            </w:r>
          </w:p>
        </w:tc>
      </w:tr>
    </w:tbl>
    <w:p>
      <w:pPr>
        <w:rPr>
          <w:rFonts w:hint="eastAsia" w:ascii="微软雅黑" w:hAnsi="微软雅黑" w:eastAsia="微软雅黑" w:cs="微软雅黑"/>
          <w:b/>
          <w:bCs/>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备注：</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1. 本次检测结果仅用于筛查检测范围内的常见肿瘤的遗传风险，并不能排除其它检测范围内的致病变异存在的可能性；且此处的解读是基于目前的科学研究，随着科学技术的发展，可能会对已有的结果有更新。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2. 根据2015年美国医学遗传学和基因组学学会（American College of Medical Genetics and Genomics，ACMG）相关指南。将胚系变异致病风险分为五级：“致病，可能致病，临床意义未明，可能良性，良性”，本报告仅展示致病和可能致病的胚系变异。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3. 变异在临床的致病性以及引发的肿瘤风险请咨询您的临床医生和遗传咨询师。建议临床医生和遗传咨询师根据检测结果对受检者进行临床表型关联。检测结果为实验室检测数据，仅用于变异筛查目的，不代表最终诊断结果，仅供临床参考。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4. 结合受检者的家族史，不排除以下两种情况仍会增加受检者的患癌风险： </w:t>
      </w:r>
    </w:p>
    <w:p>
      <w:pPr>
        <w:keepNext w:val="0"/>
        <w:keepLines w:val="0"/>
        <w:widowControl/>
        <w:suppressLineNumbers w:val="0"/>
        <w:ind w:firstLine="420" w:firstLineChars="0"/>
        <w:jc w:val="left"/>
        <w:rPr>
          <w:rFonts w:hint="eastAsia" w:ascii="微软雅黑" w:hAnsi="微软雅黑" w:eastAsia="微软雅黑" w:cs="微软雅黑"/>
          <w:color w:val="auto"/>
          <w:kern w:val="0"/>
          <w:sz w:val="16"/>
          <w:szCs w:val="16"/>
          <w:lang w:val="en-US" w:eastAsia="zh-CN" w:bidi="ar"/>
        </w:rPr>
      </w:pPr>
      <w:bookmarkStart w:id="57" w:name="_Toc27616"/>
      <w:bookmarkStart w:id="58" w:name="_Toc28015"/>
      <w:r>
        <w:rPr>
          <w:rFonts w:hint="eastAsia" w:ascii="微软雅黑" w:hAnsi="微软雅黑" w:eastAsia="微软雅黑" w:cs="微软雅黑"/>
          <w:color w:val="auto"/>
          <w:kern w:val="0"/>
          <w:sz w:val="16"/>
          <w:szCs w:val="16"/>
          <w:lang w:val="en-US" w:eastAsia="zh-CN" w:bidi="ar"/>
        </w:rPr>
        <w:t>a. 尚未有研究报告的可能增加患癌风险的遗传因素；</w:t>
      </w:r>
      <w:bookmarkEnd w:id="57"/>
      <w:bookmarkEnd w:id="58"/>
      <w:r>
        <w:rPr>
          <w:rFonts w:hint="eastAsia" w:ascii="微软雅黑" w:hAnsi="微软雅黑" w:eastAsia="微软雅黑" w:cs="微软雅黑"/>
          <w:color w:val="auto"/>
          <w:kern w:val="0"/>
          <w:sz w:val="16"/>
          <w:szCs w:val="16"/>
          <w:lang w:val="en-US" w:eastAsia="zh-CN" w:bidi="ar"/>
        </w:rPr>
        <w:t xml:space="preserve"> </w:t>
      </w:r>
    </w:p>
    <w:p>
      <w:pPr>
        <w:keepNext w:val="0"/>
        <w:keepLines w:val="0"/>
        <w:widowControl/>
        <w:suppressLineNumbers w:val="0"/>
        <w:ind w:firstLine="420" w:firstLineChars="0"/>
        <w:jc w:val="left"/>
        <w:rPr>
          <w:rFonts w:hint="eastAsia" w:ascii="微软雅黑" w:hAnsi="微软雅黑" w:eastAsia="微软雅黑" w:cs="微软雅黑"/>
          <w:color w:val="auto"/>
          <w:kern w:val="0"/>
          <w:sz w:val="16"/>
          <w:szCs w:val="16"/>
          <w:lang w:val="en-US" w:eastAsia="zh-CN" w:bidi="ar"/>
        </w:rPr>
      </w:pPr>
      <w:bookmarkStart w:id="59" w:name="_Toc28740"/>
      <w:bookmarkStart w:id="60" w:name="_Toc28072"/>
      <w:r>
        <w:rPr>
          <w:rFonts w:hint="eastAsia" w:ascii="微软雅黑" w:hAnsi="微软雅黑" w:eastAsia="微软雅黑" w:cs="微软雅黑"/>
          <w:color w:val="auto"/>
          <w:kern w:val="0"/>
          <w:sz w:val="16"/>
          <w:szCs w:val="16"/>
          <w:lang w:val="en-US" w:eastAsia="zh-CN" w:bidi="ar"/>
        </w:rPr>
        <w:t>b. 家族共有的可能增加患癌风险的生活环境或方式。</w:t>
      </w:r>
      <w:bookmarkEnd w:id="59"/>
      <w:bookmarkEnd w:id="60"/>
      <w:r>
        <w:rPr>
          <w:rFonts w:hint="eastAsia" w:ascii="微软雅黑" w:hAnsi="微软雅黑" w:eastAsia="微软雅黑" w:cs="微软雅黑"/>
          <w:color w:val="auto"/>
          <w:kern w:val="0"/>
          <w:sz w:val="16"/>
          <w:szCs w:val="16"/>
          <w:lang w:val="en-US" w:eastAsia="zh-CN" w:bidi="ar"/>
        </w:rPr>
        <w:t xml:space="preserve"> </w:t>
      </w:r>
    </w:p>
    <w:p>
      <w:pPr>
        <w:keepNext w:val="0"/>
        <w:keepLines w:val="0"/>
        <w:widowControl w:val="0"/>
        <w:suppressLineNumbers w:val="0"/>
        <w:ind w:firstLine="0" w:firstLineChars="0"/>
        <w:jc w:val="both"/>
        <w:rPr>
          <w:rFonts w:hint="eastAsia" w:ascii="微软雅黑" w:hAnsi="微软雅黑" w:eastAsia="微软雅黑" w:cs="微软雅黑"/>
          <w:color w:val="3F3B3A"/>
          <w:kern w:val="0"/>
          <w:sz w:val="16"/>
          <w:szCs w:val="16"/>
          <w:lang w:val="en-US" w:eastAsia="zh-CN" w:bidi="ar"/>
        </w:rPr>
      </w:pPr>
      <w:r>
        <w:rPr>
          <w:rFonts w:hint="eastAsia" w:ascii="微软雅黑" w:hAnsi="微软雅黑" w:eastAsia="微软雅黑" w:cs="微软雅黑"/>
          <w:color w:val="3F3B3A"/>
          <w:kern w:val="0"/>
          <w:sz w:val="16"/>
          <w:szCs w:val="16"/>
          <w:lang w:val="en-US" w:eastAsia="zh-CN" w:bidi="ar"/>
        </w:rPr>
        <w:br w:type="page"/>
      </w:r>
    </w:p>
    <w:p>
      <w:pPr>
        <w:pStyle w:val="3"/>
        <w:bidi w:val="0"/>
        <w:ind w:firstLine="964" w:firstLineChars="200"/>
        <w:rPr>
          <w:rFonts w:hint="eastAsia" w:ascii="微软雅黑" w:hAnsi="微软雅黑" w:eastAsia="微软雅黑" w:cs="微软雅黑"/>
          <w:color w:val="2E75B6" w:themeColor="accent1" w:themeShade="BF"/>
          <w:lang w:val="en-US" w:eastAsia="zh-CN"/>
        </w:rPr>
      </w:pPr>
      <w:bookmarkStart w:id="61" w:name="_Toc21018"/>
      <w:bookmarkStart w:id="62" w:name="_Toc25672"/>
      <w:bookmarkStart w:id="63" w:name="_Toc260"/>
      <w:r>
        <mc:AlternateContent>
          <mc:Choice Requires="wpg">
            <w:drawing>
              <wp:anchor distT="0" distB="0" distL="114300" distR="114300" simplePos="0" relativeHeight="251668480" behindDoc="0" locked="0" layoutInCell="1" allowOverlap="1">
                <wp:simplePos x="0" y="0"/>
                <wp:positionH relativeFrom="column">
                  <wp:posOffset>20320</wp:posOffset>
                </wp:positionH>
                <wp:positionV relativeFrom="paragraph">
                  <wp:posOffset>57785</wp:posOffset>
                </wp:positionV>
                <wp:extent cx="472440" cy="499110"/>
                <wp:effectExtent l="0" t="0" r="3810" b="15240"/>
                <wp:wrapNone/>
                <wp:docPr id="62"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63"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64"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65"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66"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1.6pt;margin-top:4.55pt;height:39.3pt;width:37.2pt;z-index:251668480;mso-width-relative:page;mso-height-relative:page;" coordorigin="1825800,1651625" coordsize="539989,571775" o:gfxdata="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t/iXSNYAAAAFAQAADwAAAAAAAAABACAAAAAiAAAAZHJzL2Rv&#10;d25yZXYueG1sUEsBAhQAFAAAAAgAh07iQEGI/p6vBAAAIBMAAA4AAAAAAAAAAQAgAAAAJQEAAGRy&#10;cy9lMm9Eb2MueG1sUEsFBgAAAAAGAAYAWQEAAEYI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qD5Hab8AAADb&#10;AAAADwAAAGRycy9kb3ducmV2LnhtbEWPQWvCQBSE7wX/w/KEXopukkKQ1FVKxNIepKgRr4/saxKa&#10;fRuyqyb/visUPA4z8w2zXA+mFVfqXWNZQTyPQBCXVjdcKSiO29kChPPIGlvLpGAkB+vV5GmJmbY3&#10;3tP14CsRIOwyVFB732VSurImg25uO+Lg/djeoA+yr6Tu8RbgppVJFKXSYMNhocaO8prK38PFKMiL&#10;r/PHWGy+k3168ot3+VLukotSz9M4egPhafCP8H/7UytIX+H+JfwA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R2m/&#10;AAAA2wAAAA8AAAAAAAAAAQAgAAAAIgAAAGRycy9kb3ducmV2LnhtbFBLAQIUABQAAAAIAIdO4kAz&#10;LwWeOwAAADkAAAAQAAAAAAAAAAEAIAAAAA4BAABkcnMvc2hhcGV4bWwueG1sUEsFBgAAAAAGAAYA&#10;WwEAALgDA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QakVmb4AAADb&#10;AAAADwAAAGRycy9kb3ducmV2LnhtbEWPQWsCMRSE7wX/Q3hCL6KJRRbdGgULhV56qFXw+Lp57i5u&#10;XpYkq66/vhEEj8PMfMMs11fbiDP5UDvWMJ0oEMSFMzWXGna/n+M5iBCRDTaOSUNPAdarwcsSc+Mu&#10;/EPnbSxFgnDIUUMVY5tLGYqKLIaJa4mTd3TeYkzSl9J4vCS4beSbUpm0WHNaqLClj4qK07azGrru&#10;++Az5fvF7bb524/63WhxVFq/DqfqHUSka3yGH+0voyGbwf1L+g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kVmb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AZ8wR70AAADb&#10;AAAADwAAAGRycy9kb3ducmV2LnhtbEWPQWvCQBSE7wX/w/IKvZS6MdAg0dWDNuC1WlFvr9lnEpp9&#10;G3a3Sfz3bkHocZiZb5jlejSt6Mn5xrKC2TQBQVxa3XCl4OtQvM1B+ICssbVMCm7kYb2aPC0x13bg&#10;T+r3oRIRwj5HBXUIXS6lL2sy6Ke2I47e1TqDIUpXSe1wiHDTyjRJMmmw4bhQY0ebmsqf/a9RsAun&#10;Y2o/Xp0vZHbefm8u56K7KPXyPEsWIAKN4T/8aO+0guwd/r7E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nzBHvQAA&#10;ANsAAAAPAAAAAAAAAAEAIAAAACIAAABkcnMvZG93bnJldi54bWxQSwECFAAUAAAACACHTuJAMy8F&#10;njsAAAA5AAAAEAAAAAAAAAABACAAAAAMAQAAZHJzL3NoYXBleG1sLnhtbFBLBQYAAAAABgAGAFsB&#10;AAC2Aw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9cMre8EAAADb&#10;AAAADwAAAGRycy9kb3ducmV2LnhtbEWPT2sCMRTE7wW/Q3hCL0WzVl10NXpoaalaCv4p9PjYPDdL&#10;Ny/rJtX12zdCocdhZn7DzJetrcSZGl86VjDoJyCIc6dLLhQc9i+9CQgfkDVWjknBlTwsF527OWba&#10;XXhL510oRISwz1CBCaHOpPS5IYu+72ri6B1dYzFE2RRSN3iJcFvJxyRJpcWS44LBmp4M5d+7H6ug&#10;/Zp+joen4fN1/Eqrzej9Y21OD0rddwfJDESgNvyH/9pvWkGawu1L/AF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cMr&#10;e8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DDR相关基因变异检测结果</w:t>
      </w:r>
      <w:bookmarkEnd w:id="61"/>
      <w:bookmarkEnd w:id="62"/>
      <w:bookmarkEnd w:id="63"/>
    </w:p>
    <w:p>
      <w:pPr>
        <w:keepNext w:val="0"/>
        <w:keepLines w:val="0"/>
        <w:widowControl/>
        <w:suppressLineNumbers w:val="0"/>
        <w:ind w:firstLine="0"/>
        <w:jc w:val="left"/>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DDR基因（DNA损伤修复基因）是一类DNA损伤修复通路上的相关基因，主要包含BRCA1、BRCA2、ATM、MSH2、PALB2等基因，在DNA损伤修复机制中起到重要作用，用以维持人类基因组的稳定性。DDR基因变异在许多癌症患者中普遍存在，DDR基因功能缺失与癌症发生、癌症进展和癌症治疗密切相关。研究结果表明，部分携带致病性DDR基因突变（如BRCA1/2、PALB2、ATM等）的患者对PARP抑制剂类药物敏感；致病性DDR基因突变还与免疫治疗疗效密切相关，可作为有效的预测因子；DDR基因突变的患者对铂类化疗响应较好；同时目前也有多项针对携带DDR基因突变患者的临床研究正在招募。</w:t>
      </w:r>
    </w:p>
    <w:p>
      <w:pPr>
        <w:keepNext w:val="0"/>
        <w:keepLines w:val="0"/>
        <w:widowControl/>
        <w:suppressLineNumbers w:val="0"/>
        <w:jc w:val="left"/>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3145"/>
        <w:gridCol w:w="2175"/>
        <w:gridCol w:w="3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3"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w:t>
            </w:r>
          </w:p>
        </w:tc>
        <w:tc>
          <w:tcPr>
            <w:tcW w:w="314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检测结果</w:t>
            </w:r>
          </w:p>
        </w:tc>
        <w:tc>
          <w:tcPr>
            <w:tcW w:w="217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基因突变频率</w:t>
            </w:r>
          </w:p>
        </w:tc>
        <w:tc>
          <w:tcPr>
            <w:tcW w:w="346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CLINSIG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55" w:type="dxa"/>
            <w:gridSpan w:val="4"/>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ddr_var_dict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bCs/>
                <w:color w:val="2E75B6" w:themeColor="accent1" w:themeShade="BF"/>
                <w:sz w:val="18"/>
                <w:szCs w:val="18"/>
                <w:lang w:val="en-US" w:eastAsia="zh-CN"/>
              </w:rPr>
              <w:t>{{ a.SYMBOL}}</w:t>
            </w:r>
          </w:p>
        </w:tc>
        <w:tc>
          <w:tcPr>
            <w:tcW w:w="3145"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a.HGVSc_x }}</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a.HGVSp_x }}</w:t>
            </w:r>
          </w:p>
        </w:tc>
        <w:tc>
          <w:tcPr>
            <w:tcW w:w="2175"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a.AF_x }} %</w:t>
            </w:r>
          </w:p>
        </w:tc>
        <w:tc>
          <w:tcPr>
            <w:tcW w:w="3462"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a.ClinVar_CLNSIG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5" w:type="dxa"/>
            <w:gridSpan w:val="4"/>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endfor %}</w:t>
            </w:r>
          </w:p>
        </w:tc>
      </w:tr>
    </w:tbl>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备注：</w:t>
      </w:r>
    </w:p>
    <w:p>
      <w:pPr>
        <w:keepNext w:val="0"/>
        <w:keepLines w:val="0"/>
        <w:widowControl/>
        <w:numPr>
          <w:ilvl w:val="0"/>
          <w:numId w:val="3"/>
        </w:numPr>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本模块仅展示DDR相关54个基因的检测结果。 </w:t>
      </w:r>
    </w:p>
    <w:p>
      <w:pPr>
        <w:keepNext w:val="0"/>
        <w:keepLines w:val="0"/>
        <w:widowControl/>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2. </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ClINSIG：</w:t>
      </w: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ClinVar数据库中Clinical significance的简写，代表“临床意义”。 </w:t>
      </w:r>
    </w:p>
    <w:p>
      <w:pPr>
        <w:keepNext w:val="0"/>
        <w:keepLines w:val="0"/>
        <w:widowControl/>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“g:”：ClinVar数据库中该判读结果仅基于胚系变异。 </w:t>
      </w:r>
    </w:p>
    <w:p>
      <w:pPr>
        <w:keepNext w:val="0"/>
        <w:keepLines w:val="0"/>
        <w:widowControl/>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“s:”：ClinVar数据库中该判读结果仅基于体细胞变异。 </w:t>
      </w:r>
    </w:p>
    <w:p>
      <w:pPr>
        <w:keepNext w:val="0"/>
        <w:keepLines w:val="0"/>
        <w:widowControl/>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“g/s:”：ClinVar数据库中该判读结果同时基于胚系和体细胞变异。 </w:t>
      </w:r>
    </w:p>
    <w:p>
      <w:pPr>
        <w:keepNext w:val="0"/>
        <w:keepLines w:val="0"/>
        <w:widowControl/>
        <w:suppressLineNumbers w:val="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“u:”：ClinVar数据库中未明确该判读结果是基于胚系还是体细胞变异。 </w:t>
      </w:r>
    </w:p>
    <w:p>
      <w:pPr>
        <w:keepNext w:val="0"/>
        <w:keepLines w:val="0"/>
        <w:widowControl/>
        <w:numPr>
          <w:ilvl w:val="0"/>
          <w:numId w:val="3"/>
        </w:numPr>
        <w:suppressLineNumbers w:val="0"/>
        <w:ind w:left="0" w:leftChars="0" w:firstLine="0" w:firstLineChars="0"/>
        <w:jc w:val="left"/>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 xml:space="preserve">并非任何DDR基因发生突变，患者都会对PARP抑制剂、免疫检查点抑制剂和铂类敏感，需要根据具体基因突变类型，变异致病性和目 </w:t>
      </w:r>
    </w:p>
    <w:p>
      <w:pPr>
        <w:keepNext w:val="0"/>
        <w:keepLines w:val="0"/>
        <w:widowControl/>
        <w:suppressLineNumbers w:val="0"/>
        <w:jc w:val="left"/>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6"/>
          <w:szCs w:val="16"/>
          <w:lang w:val="en-US" w:eastAsia="zh-CN" w:bidi="ar"/>
          <w14:textFill>
            <w14:solidFill>
              <w14:schemeClr w14:val="tx1"/>
            </w14:solidFill>
          </w14:textFill>
        </w:rPr>
        <w:t>前研究结果综合评估，具体用药方案详见靶向治疗相关检测结果和免疫治疗相关检测结果部分，切勿盲目用药。</w:t>
      </w:r>
    </w:p>
    <w:p>
      <w:pPr>
        <w:rPr>
          <w:rFonts w:eastAsia="微软雅黑"/>
          <w:b/>
          <w:szCs w:val="21"/>
        </w:rPr>
      </w:pPr>
      <w:r>
        <w:rPr>
          <w:rFonts w:hint="eastAsia" w:eastAsia="微软雅黑"/>
          <w:b/>
          <w:szCs w:val="21"/>
        </w:rPr>
        <w:t>{</w:t>
      </w:r>
      <w:r>
        <w:rPr>
          <w:rFonts w:eastAsia="微软雅黑"/>
          <w:b/>
          <w:szCs w:val="21"/>
        </w:rPr>
        <w:t xml:space="preserve">%p if </w:t>
      </w:r>
      <w:r>
        <w:rPr>
          <w:rFonts w:hint="eastAsia" w:ascii="微软雅黑" w:hAnsi="微软雅黑" w:eastAsia="微软雅黑" w:cs="微软雅黑"/>
          <w:sz w:val="18"/>
          <w:szCs w:val="18"/>
          <w:highlight w:val="none"/>
          <w:lang w:val="en-US" w:eastAsia="zh-CN"/>
        </w:rPr>
        <w:t>msh_var_dict</w:t>
      </w:r>
      <w:r>
        <w:rPr>
          <w:rFonts w:eastAsia="微软雅黑"/>
          <w:b/>
          <w:szCs w:val="21"/>
        </w:rPr>
        <w:t>%}</w:t>
      </w:r>
    </w:p>
    <w:p>
      <w:pPr>
        <w:pStyle w:val="4"/>
        <w:bidi w:val="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t>DNA错配修复（MMR）相关基因检测结果</w:t>
      </w: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3145"/>
        <w:gridCol w:w="2175"/>
        <w:gridCol w:w="3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3"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w:t>
            </w:r>
          </w:p>
        </w:tc>
        <w:tc>
          <w:tcPr>
            <w:tcW w:w="314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检测结果</w:t>
            </w:r>
          </w:p>
        </w:tc>
        <w:tc>
          <w:tcPr>
            <w:tcW w:w="217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基因突变频率</w:t>
            </w:r>
          </w:p>
        </w:tc>
        <w:tc>
          <w:tcPr>
            <w:tcW w:w="346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CLINSIG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55" w:type="dxa"/>
            <w:gridSpan w:val="4"/>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msh_var_dict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bCs/>
                <w:color w:val="2E75B6" w:themeColor="accent1" w:themeShade="BF"/>
                <w:sz w:val="18"/>
                <w:szCs w:val="18"/>
                <w:lang w:val="en-US" w:eastAsia="zh-CN"/>
              </w:rPr>
              <w:t>{{ a.SYMBOL_m}}</w:t>
            </w:r>
          </w:p>
        </w:tc>
        <w:tc>
          <w:tcPr>
            <w:tcW w:w="3145"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a.HGVSc_x_m }}</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a.HGVSp_x_m }}</w:t>
            </w:r>
          </w:p>
        </w:tc>
        <w:tc>
          <w:tcPr>
            <w:tcW w:w="2175"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a.AF_x_m }} %</w:t>
            </w:r>
          </w:p>
        </w:tc>
        <w:tc>
          <w:tcPr>
            <w:tcW w:w="3462" w:type="dx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a.ClinVar_CLNSIG_m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55" w:type="dxa"/>
            <w:gridSpan w:val="4"/>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endfor %}</w:t>
            </w:r>
          </w:p>
        </w:tc>
      </w:tr>
    </w:tbl>
    <w:p>
      <w:pPr>
        <w:rPr>
          <w:rFonts w:hint="eastAsia"/>
          <w:lang w:val="en-US" w:eastAsia="zh-CN"/>
        </w:rPr>
      </w:pPr>
    </w:p>
    <w:p>
      <w:pPr>
        <w:rPr>
          <w:rFonts w:eastAsia="微软雅黑"/>
          <w:b/>
          <w:szCs w:val="21"/>
        </w:rPr>
      </w:pPr>
      <w:r>
        <w:rPr>
          <w:rFonts w:hint="eastAsia" w:eastAsia="微软雅黑"/>
          <w:b/>
          <w:szCs w:val="21"/>
        </w:rPr>
        <w:t>{</w:t>
      </w:r>
      <w:r>
        <w:rPr>
          <w:rFonts w:eastAsia="微软雅黑"/>
          <w:b/>
          <w:szCs w:val="21"/>
        </w:rPr>
        <w:t>%p endif%}</w:t>
      </w:r>
    </w:p>
    <w:p>
      <w:pPr>
        <w:keepNext w:val="0"/>
        <w:keepLines w:val="0"/>
        <w:widowControl/>
        <w:suppressLineNumbers w:val="0"/>
        <w:jc w:val="left"/>
        <w:rPr>
          <w:rFonts w:hint="default" w:ascii="微软雅黑" w:hAnsi="微软雅黑" w:eastAsia="微软雅黑" w:cs="微软雅黑"/>
          <w:color w:val="000000" w:themeColor="text1"/>
          <w:kern w:val="0"/>
          <w:sz w:val="16"/>
          <w:szCs w:val="16"/>
          <w:lang w:val="en-US" w:eastAsia="zh-CN" w:bidi="ar"/>
          <w14:textFill>
            <w14:solidFill>
              <w14:schemeClr w14:val="tx1"/>
            </w14:solidFill>
          </w14:textFill>
        </w:rPr>
      </w:pPr>
    </w:p>
    <w:p>
      <w:pPr>
        <w:pStyle w:val="4"/>
        <w:bidi w:val="0"/>
        <w:rPr>
          <w:rFonts w:hint="eastAsia" w:ascii="微软雅黑" w:hAnsi="微软雅黑" w:eastAsia="微软雅黑" w:cs="微软雅黑"/>
          <w:color w:val="2E75B6" w:themeColor="accent1" w:themeShade="BF"/>
          <w:lang w:val="en-US" w:eastAsia="zh-CN"/>
        </w:rPr>
      </w:pPr>
      <w:bookmarkStart w:id="64" w:name="_Toc4627"/>
      <w:r>
        <w:rPr>
          <w:rFonts w:hint="eastAsia" w:ascii="微软雅黑" w:hAnsi="微软雅黑" w:eastAsia="微软雅黑" w:cs="微软雅黑"/>
          <w:color w:val="2E75B6" w:themeColor="accent1" w:themeShade="BF"/>
          <w:lang w:val="en-US" w:eastAsia="zh-CN"/>
        </w:rPr>
        <w:t>DDR相关基因检测的临床意义</w:t>
      </w:r>
      <w:bookmarkEnd w:id="64"/>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2020年5月19日FDA批准奥拉帕利适用于治疗先前接受过恩杂鲁胺和阿比特龙治疗后疾病进展的携带有害或疑似有害胚系或体系同源重组修复（HRR）基因突变的转移性去势抵抗性前列腺癌（mCRPC）成人患者。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2015年NEJM发表了Ⅱ期临床研究（TOPARP-A）的结果表明，49例晚期前列腺癌患者中，16例患者携带包括BRCA1/2等DNA修复基因的体系或胚系缺陷，其中14例（88%）对PARP抑制剂（奥拉帕利）出现响应，其中包括一例携带PALB2基因体细胞移码突变和纯合子缺失突变的患者，接受奥拉帕利治疗后，获得长达39周的持续响应。而不存在DNA修复基因缺陷的患者响应率仅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5"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2019年ASCO报道的TOPARP-B研究结果显示，92名接受奥拉帕利治疗且主要终点可评估的前列腺癌患者中，携带DNA损伤应答和修复（DDR）基因突变，尤其是带有同源重组修复（HR）基因突变的mCRPC患者接受奥拉帕利治疗的应答率可达到46.7%，中位随访时间为17.6个月，整体中位PFS（mPFS）为5.4个月。亚组分析表明，带有BRCA1/2突变的前列腺癌患者对奥拉帕利的应答率可以达到80%（24/30，mPFS为8.1个月）；带有PALB2突变的患者应答率为57.1%（4/7；mPFS为5.3个月），带有ATM突变的患者应答率为37％（7/19；mPFS为6.1个月），带有CDK12突变的患者应答率为25％（5/20；mPFS为2.9个月），带有其他基因（ATRX，CHEK1，CHEK2，FANCA，FANCF，FANCG，FANCI，FANCM，RAD50，WRN）突变的患者应答率为20％（4/20，mPFS为2.8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2018年JClinOncol上发表的一项研究共纳入60例参与PD-1/PD-L1抗体治疗的前瞻性临床试验的尿路上皮癌患者。结果显示，28例（47%）患者中共发现77种DDR基因突变，15例（25%）患者中发现27种已知或可能致病性的DDR突变。任何DDR突变与较高的缓解率相关（67.9%vs.18.8%，P&lt;0.001）。致病性DDR突变患者比非致病性DDR突变和DDR基因野生型患者有更高的缓解率（80%vs.54%vs.19%，P&lt;0.001）。多变量分析显示，DDR突变状态和内脏转移是独立预测因素。DDR突变与更长的无进展生存期和总生存期相关，致病性DDR突变患者、DDR突变意义未知患者、DDR野生型患者中位PFS分别为未达到、15.7个月和2.9个月，中位OS分别为未达到、23.0个月和9.3个月。（NCT02553642，NCT01928394，NCT02108652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1"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2019年ASCO一项研究共纳入468例接受免疫治疗的非小细胞肺癌（NSCLC）患者，其中74例（15.8%）患者携带DDR相关基因致病突变（DDR+组），涉及基因主要有：ATM（41.9%）、MLH1/MSH2/MSH6（18.9%）、BRCA1/2（16.2%）、CHEK1/2（9.4%）、FANC基因（9.4%）、BAP1（5.4%）、RAD基因（5.4%）、ERCC4/6（4.0%）、POLE（2.7%）、ATR（2.7%）。免疫治疗疗效方面，DDR+组相比DDR-组有明显更高的客观缓解率（31.1%Vs19.1%，P=0.03）、更长的平均无进展生存期（4.3vs2.6个月，P=0.02）和总生存期（16.3vs9.8个月，P=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2017年CCR（Clinical Cancer Research）一项研究共纳入100例尿路上皮癌患者接受铂类化疗，其中47例有DDR基因突变。DDR突变的患者较野生型患者而言，无进展生存期（9.3个月vs.6.0个月，P=0.007）和总生存期（23.7Vs13.0个月，P=0.006）均显著延长。由此可见，尿路上皮癌患者携带DDR基因突变对铂类化疗响应较好。（PMID：28137924）</w:t>
            </w:r>
          </w:p>
        </w:tc>
      </w:tr>
    </w:tbl>
    <w:p>
      <w:pPr>
        <w:rPr>
          <w:rFonts w:hint="default"/>
          <w:lang w:val="en-US" w:eastAsia="zh-CN"/>
        </w:rPr>
      </w:pPr>
    </w:p>
    <w:p>
      <w:pPr>
        <w:rPr>
          <w:rFonts w:hint="default"/>
          <w:lang w:val="en-US" w:eastAsia="zh-CN"/>
        </w:rPr>
      </w:pPr>
    </w:p>
    <w:p>
      <w:pPr>
        <w:rPr>
          <w:rFonts w:hint="default"/>
          <w:lang w:val="en-US" w:eastAsia="zh-CN"/>
        </w:rPr>
      </w:pPr>
    </w:p>
    <w:p>
      <w:pPr>
        <w:pStyle w:val="2"/>
        <w:kinsoku w:val="0"/>
        <w:overflowPunct w:val="0"/>
        <w:spacing w:before="53" w:line="295" w:lineRule="exact"/>
        <w:rPr>
          <w:rFonts w:ascii="微软雅黑" w:hAnsi="微软雅黑" w:eastAsia="微软雅黑" w:cs="微软雅黑"/>
          <w:b/>
          <w:bCs/>
          <w:i w:val="0"/>
          <w:iCs w:val="0"/>
          <w:color w:val="32325A"/>
          <w:lang w:eastAsia="zh-CN"/>
        </w:rPr>
      </w:pPr>
      <w:r>
        <w:rPr>
          <w:rFonts w:hint="eastAsia" w:ascii="微软雅黑" w:hAnsi="微软雅黑" w:eastAsia="微软雅黑"/>
          <w:b/>
          <w:bCs/>
          <w:i w:val="0"/>
          <w:iCs w:val="0"/>
          <w:color w:val="32325A"/>
          <w:lang w:eastAsia="zh-CN"/>
        </w:rPr>
        <w:t>说明</w:t>
      </w:r>
    </w:p>
    <w:p>
      <w:pPr>
        <w:numPr>
          <w:ilvl w:val="0"/>
          <w:numId w:val="4"/>
        </w:numPr>
        <w:autoSpaceDE w:val="0"/>
        <w:autoSpaceDN w:val="0"/>
        <w:adjustRightInd w:val="0"/>
        <w:rPr>
          <w:rFonts w:ascii="微软雅黑" w:hAnsi="微软雅黑" w:eastAsia="微软雅黑"/>
          <w:i w:val="0"/>
          <w:iCs w:val="0"/>
          <w:sz w:val="18"/>
          <w:szCs w:val="18"/>
          <w:lang w:eastAsia="zh-CN"/>
        </w:rPr>
      </w:pPr>
      <w:r>
        <w:rPr>
          <w:rFonts w:hint="eastAsia" w:ascii="微软雅黑" w:hAnsi="微软雅黑" w:eastAsia="微软雅黑"/>
          <w:i w:val="0"/>
          <w:iCs w:val="0"/>
          <w:sz w:val="18"/>
          <w:szCs w:val="18"/>
          <w:lang w:eastAsia="zh-CN"/>
        </w:rPr>
        <w:t>本报告的用药指导参考目前最新的临床指南和研究进展，基因、药物等信息列举未按照重要性排序。</w:t>
      </w:r>
    </w:p>
    <w:p>
      <w:pPr>
        <w:numPr>
          <w:ilvl w:val="0"/>
          <w:numId w:val="4"/>
        </w:numPr>
        <w:autoSpaceDE w:val="0"/>
        <w:autoSpaceDN w:val="0"/>
        <w:adjustRightInd w:val="0"/>
        <w:rPr>
          <w:rFonts w:ascii="微软雅黑" w:hAnsi="微软雅黑" w:eastAsia="微软雅黑"/>
          <w:i w:val="0"/>
          <w:iCs w:val="0"/>
          <w:sz w:val="18"/>
          <w:szCs w:val="18"/>
          <w:lang w:eastAsia="zh-CN"/>
        </w:rPr>
      </w:pPr>
      <w:r>
        <w:rPr>
          <w:rFonts w:hint="eastAsia" w:ascii="微软雅黑" w:hAnsi="微软雅黑" w:eastAsia="微软雅黑"/>
          <w:i w:val="0"/>
          <w:iCs w:val="0"/>
          <w:sz w:val="18"/>
          <w:szCs w:val="18"/>
          <w:lang w:eastAsia="zh-CN"/>
        </w:rPr>
        <w:t>检测结果仅供临床用药参考，具体治疗方案请咨询主治医生。</w:t>
      </w:r>
    </w:p>
    <w:p>
      <w:pPr>
        <w:numPr>
          <w:ilvl w:val="0"/>
          <w:numId w:val="4"/>
        </w:numPr>
        <w:autoSpaceDE w:val="0"/>
        <w:autoSpaceDN w:val="0"/>
        <w:adjustRightInd w:val="0"/>
        <w:rPr>
          <w:rFonts w:ascii="微软雅黑" w:hAnsi="微软雅黑" w:eastAsia="微软雅黑" w:cs="微软雅黑"/>
          <w:i w:val="0"/>
          <w:iCs w:val="0"/>
          <w:sz w:val="18"/>
          <w:szCs w:val="18"/>
          <w:lang w:eastAsia="zh-CN"/>
        </w:rPr>
      </w:pPr>
      <w:r>
        <w:rPr>
          <w:rFonts w:hint="eastAsia" w:ascii="微软雅黑" w:hAnsi="微软雅黑" w:eastAsia="微软雅黑"/>
          <w:i w:val="0"/>
          <w:iCs w:val="0"/>
          <w:sz w:val="18"/>
          <w:szCs w:val="18"/>
          <w:lang w:eastAsia="zh-CN"/>
        </w:rPr>
        <w:t>本检测报告只对送检样品负责，本实验室对以上检测结果保留最终解释权如有疑义，请在</w:t>
      </w:r>
      <w:r>
        <w:rPr>
          <w:rFonts w:ascii="微软雅黑" w:hAnsi="微软雅黑" w:eastAsia="微软雅黑" w:cs="微软雅黑"/>
          <w:i w:val="0"/>
          <w:iCs w:val="0"/>
          <w:sz w:val="18"/>
          <w:szCs w:val="18"/>
          <w:lang w:eastAsia="zh-CN"/>
        </w:rPr>
        <w:t>7</w:t>
      </w:r>
      <w:r>
        <w:rPr>
          <w:rFonts w:hint="eastAsia" w:ascii="微软雅黑" w:hAnsi="微软雅黑" w:eastAsia="微软雅黑"/>
          <w:i w:val="0"/>
          <w:iCs w:val="0"/>
          <w:sz w:val="18"/>
          <w:szCs w:val="18"/>
          <w:lang w:eastAsia="zh-CN"/>
        </w:rPr>
        <w:t>个工作日内与我们联系。</w:t>
      </w: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tbl>
      <w:tblPr>
        <w:tblStyle w:val="11"/>
        <w:tblW w:w="10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2"/>
        <w:gridCol w:w="1812"/>
        <w:gridCol w:w="1423"/>
        <w:gridCol w:w="1834"/>
        <w:gridCol w:w="1485"/>
        <w:gridCol w:w="2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5" w:hRule="atLeast"/>
        </w:trPr>
        <w:tc>
          <w:tcPr>
            <w:tcW w:w="127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i w:val="0"/>
                <w:iCs w:val="0"/>
                <w:sz w:val="21"/>
                <w:szCs w:val="21"/>
              </w:rPr>
            </w:pPr>
            <w:r>
              <w:rPr>
                <w:rFonts w:hint="eastAsia" w:ascii="微软雅黑" w:hAnsi="微软雅黑" w:eastAsia="微软雅黑"/>
                <w:i w:val="0"/>
                <w:iCs w:val="0"/>
                <w:sz w:val="21"/>
                <w:szCs w:val="21"/>
              </w:rPr>
              <w:t>检验者：</w:t>
            </w:r>
          </w:p>
        </w:tc>
        <w:tc>
          <w:tcPr>
            <w:tcW w:w="181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i w:val="0"/>
                <w:iCs w:val="0"/>
                <w:sz w:val="21"/>
                <w:szCs w:val="21"/>
              </w:rPr>
            </w:pPr>
            <w:r>
              <w:rPr>
                <w:rFonts w:hint="eastAsia" w:ascii="微软雅黑" w:hAnsi="微软雅黑" w:eastAsia="微软雅黑"/>
                <w:i w:val="0"/>
                <w:iCs w:val="0"/>
                <w:sz w:val="21"/>
                <w:szCs w:val="21"/>
              </w:rPr>
              <w:drawing>
                <wp:inline distT="0" distB="0" distL="0" distR="0">
                  <wp:extent cx="735965" cy="371475"/>
                  <wp:effectExtent l="0" t="0" r="6985" b="8890"/>
                  <wp:docPr id="4" name="图片 4" descr="微信图片_2019051416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90514161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35965" cy="371475"/>
                          </a:xfrm>
                          <a:prstGeom prst="rect">
                            <a:avLst/>
                          </a:prstGeom>
                          <a:noFill/>
                          <a:ln>
                            <a:noFill/>
                          </a:ln>
                        </pic:spPr>
                      </pic:pic>
                    </a:graphicData>
                  </a:graphic>
                </wp:inline>
              </w:drawing>
            </w:r>
          </w:p>
        </w:tc>
        <w:tc>
          <w:tcPr>
            <w:tcW w:w="1423"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i w:val="0"/>
                <w:iCs w:val="0"/>
                <w:sz w:val="21"/>
                <w:szCs w:val="21"/>
              </w:rPr>
            </w:pPr>
            <w:r>
              <w:rPr>
                <w:rFonts w:hint="eastAsia" w:ascii="微软雅黑" w:hAnsi="微软雅黑" w:eastAsia="微软雅黑"/>
                <w:i w:val="0"/>
                <w:iCs w:val="0"/>
                <w:sz w:val="21"/>
                <w:szCs w:val="21"/>
              </w:rPr>
              <w:t>审核者：</w:t>
            </w:r>
          </w:p>
        </w:tc>
        <w:tc>
          <w:tcPr>
            <w:tcW w:w="1834"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i w:val="0"/>
                <w:iCs w:val="0"/>
                <w:sz w:val="21"/>
                <w:szCs w:val="21"/>
              </w:rPr>
            </w:pPr>
            <w:r>
              <w:rPr>
                <w:rFonts w:hint="eastAsia" w:ascii="微软雅黑" w:hAnsi="微软雅黑" w:eastAsia="微软雅黑"/>
                <w:i w:val="0"/>
                <w:iCs w:val="0"/>
                <w:sz w:val="21"/>
                <w:szCs w:val="21"/>
              </w:rPr>
              <w:drawing>
                <wp:inline distT="0" distB="0" distL="0" distR="0">
                  <wp:extent cx="635635" cy="314325"/>
                  <wp:effectExtent l="0" t="0" r="0" b="8890"/>
                  <wp:docPr id="5" name="图片 5" descr="微信图片_2019051416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5141612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5635" cy="314325"/>
                          </a:xfrm>
                          <a:prstGeom prst="rect">
                            <a:avLst/>
                          </a:prstGeom>
                          <a:noFill/>
                          <a:ln>
                            <a:noFill/>
                          </a:ln>
                        </pic:spPr>
                      </pic:pic>
                    </a:graphicData>
                  </a:graphic>
                </wp:inline>
              </w:drawing>
            </w:r>
          </w:p>
        </w:tc>
        <w:tc>
          <w:tcPr>
            <w:tcW w:w="1485" w:type="dxa"/>
            <w:vAlign w:val="center"/>
          </w:tcPr>
          <w:p>
            <w:pPr>
              <w:keepNext w:val="0"/>
              <w:keepLines w:val="0"/>
              <w:suppressLineNumbers w:val="0"/>
              <w:spacing w:before="0" w:beforeAutospacing="0" w:after="0" w:afterAutospacing="0"/>
              <w:ind w:left="-283" w:leftChars="-135" w:right="0" w:firstLine="310" w:firstLineChars="148"/>
              <w:jc w:val="both"/>
              <w:rPr>
                <w:rFonts w:hint="eastAsia" w:ascii="微软雅黑" w:hAnsi="微软雅黑" w:eastAsia="微软雅黑"/>
                <w:i w:val="0"/>
                <w:iCs w:val="0"/>
                <w:sz w:val="21"/>
                <w:szCs w:val="21"/>
              </w:rPr>
            </w:pPr>
            <w:r>
              <w:rPr>
                <w:rFonts w:hint="eastAsia" w:ascii="微软雅黑" w:hAnsi="微软雅黑" w:eastAsia="微软雅黑"/>
                <w:i w:val="0"/>
                <w:iCs w:val="0"/>
                <w:sz w:val="21"/>
                <w:szCs w:val="21"/>
              </w:rPr>
              <w:t>报告时间：</w:t>
            </w:r>
          </w:p>
        </w:tc>
        <w:tc>
          <w:tcPr>
            <w:tcW w:w="2220"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i w:val="0"/>
                <w:iCs w:val="0"/>
                <w:sz w:val="21"/>
                <w:szCs w:val="21"/>
                <w:lang w:val="en-US"/>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3"/>
        <w:bidi w:val="0"/>
        <w:ind w:firstLine="964" w:firstLineChars="200"/>
        <w:rPr>
          <w:rFonts w:hint="eastAsia" w:ascii="微软雅黑" w:hAnsi="微软雅黑" w:eastAsia="微软雅黑" w:cs="微软雅黑"/>
          <w:color w:val="2E75B6" w:themeColor="accent1" w:themeShade="BF"/>
          <w:vertAlign w:val="baseline"/>
          <w:lang w:val="en-US" w:eastAsia="zh-CN"/>
        </w:rPr>
      </w:pPr>
      <w:bookmarkStart w:id="65" w:name="_Toc18987"/>
      <w:bookmarkStart w:id="66" w:name="_Toc14588"/>
      <w:bookmarkStart w:id="67" w:name="_Toc32232"/>
      <w:r>
        <mc:AlternateContent>
          <mc:Choice Requires="wpg">
            <w:drawing>
              <wp:anchor distT="0" distB="0" distL="114300" distR="114300" simplePos="0" relativeHeight="251669504" behindDoc="0" locked="0" layoutInCell="1" allowOverlap="1">
                <wp:simplePos x="0" y="0"/>
                <wp:positionH relativeFrom="column">
                  <wp:posOffset>8255</wp:posOffset>
                </wp:positionH>
                <wp:positionV relativeFrom="paragraph">
                  <wp:posOffset>154305</wp:posOffset>
                </wp:positionV>
                <wp:extent cx="472440" cy="499110"/>
                <wp:effectExtent l="0" t="0" r="3810" b="15240"/>
                <wp:wrapNone/>
                <wp:docPr id="67"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68"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69"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0"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1"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0.65pt;margin-top:12.15pt;height:39.3pt;width:37.2pt;z-index:251669504;mso-width-relative:page;mso-height-relative:page;" coordorigin="1825800,1651625" coordsize="539989,571775" o:gfxdata="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pprVGLkAAADb&#10;AAAADwAAAGRycy9kb3ducmV2LnhtbEVPy6rCMBDdC/5DGMGNaGoXRapRRLkXXYioFbdDM7bFZlKa&#10;+Pp7sxBcHs57tniZWjyodZVlBeNRBII4t7riQkF2+htOQDiPrLG2TAre5GAx73ZmmGr75AM9jr4Q&#10;IYRdigpK75tUSpeXZNCNbEMcuKttDfoA20LqFp8h3NQyjqJEGqw4NJTY0Kqk/Ha8GwWrbHv5f2fr&#10;fXxIzn6ylIN8F9+V6vfG0RSEp5f/ib/ujVaQhLHhS/g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a1Ri5AAAA2wAA&#10;AA8AAAAAAAAAAQAgAAAAIgAAAGRycy9kb3ducmV2LnhtbFBLAQIUABQAAAAIAIdO4kAzLwWeOwAA&#10;ADkAAAAQAAAAAAAAAAEAIAAAAAgBAABkcnMvc2hhcGV4bWwueG1sUEsFBgAAAAAGAAYAWwEAALID&#10;A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r6i6B74AAADb&#10;AAAADwAAAGRycy9kb3ducmV2LnhtbEWPQWsCMRSE74L/ITzBi9RED4u7NQoWCr30UKvQ4+vmubu4&#10;eVmSrLr++kYQehxm5htmvb3ZVlzIh8axhsVcgSAunWm40nD4fn9ZgQgR2WDrmDQMFGC7GY/WWBh3&#10;5S+67GMlEoRDgRrqGLtCylDWZDHMXUecvJPzFmOSvpLG4zXBbSuXSmXSYsNpocaO3moqz/veauj7&#10;zx+fKT/k9/vu9zgbDrP8pLSeThbqFUSkW/wPP9sfRkOWw+NL+g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i6B7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lDEFArsAAADb&#10;AAAADwAAAGRycy9kb3ducmV2LnhtbEVPPU/DMBDdkfofrKvUBVGnGVIU4nQoROpKKSLdjviaRI3P&#10;ke2m4d/jAYnx6X0Xu9kMYiLne8sKNusEBHFjdc+tgtNH9fQMwgdkjYNlUvBDHnbl4qHAXNs7v9N0&#10;DK2IIexzVNCFMOZS+qYjg35tR+LIXawzGCJ0rdQO7zHcDDJNkkwa7Dk2dDjSvqPmerwZBYfw9Zna&#10;t0fnK5nVr9/7c12NZ6VWy03yAiLQHP7Ff+6DVrCN6+OX+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EFArsAAADb&#10;AAAADwAAAAAAAAABACAAAAAiAAAAZHJzL2Rvd25yZXYueG1sUEsBAhQAFAAAAAgAh07iQDMvBZ47&#10;AAAAOQAAABAAAAAAAAAAAQAgAAAACgEAAGRycy9zaGFwZXhtbC54bWxQSwUGAAAAAAYABgBbAQAA&#10;tAM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Ml0sEAAADb&#10;AAAADwAAAGRycy9kb3ducmV2LnhtbEWPT2sCMRTE7wW/Q3gFL0WzW6utq9FDpaX+oVBbweNj87pZ&#10;3Lysm1TXb28KhR6HmfkNM523thInanzpWEHaT0AQ506XXCj4+nzpPYHwAVlj5ZgUXMjDfNa5mWKm&#10;3Zk/6LQNhYgQ9hkqMCHUmZQ+N2TR911NHL1v11gMUTaF1A2eI9xW8j5JRtJiyXHBYE3PhvLD9scq&#10;aPfj3XBwHCwuw1darh827ytzvFOqe5smExCB2vAf/mu/aQWPKfx+iT9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10;0s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样本质控信息</w:t>
      </w:r>
      <w:bookmarkEnd w:id="65"/>
      <w:bookmarkEnd w:id="66"/>
      <w:bookmarkEnd w:id="67"/>
    </w:p>
    <w:tbl>
      <w:tblPr>
        <w:tblStyle w:val="11"/>
        <w:tblW w:w="10459"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882"/>
        <w:gridCol w:w="2327"/>
        <w:gridCol w:w="2282"/>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0459" w:type="dxa"/>
            <w:gridSpan w:val="5"/>
            <w:tcBorders>
              <w:left w:val="nil"/>
              <w:bottom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sz w:val="18"/>
                <w:szCs w:val="21"/>
                <w:lang w:val="en-US" w:eastAsia="zh-CN"/>
              </w:rPr>
            </w:pPr>
            <w:r>
              <w:rPr>
                <w:rFonts w:hint="eastAsia" w:ascii="微软雅黑" w:hAnsi="微软雅黑" w:eastAsia="微软雅黑" w:cs="微软雅黑"/>
                <w:b/>
                <w:bCs/>
                <w:color w:val="2E75B6" w:themeColor="accent1" w:themeShade="BF"/>
                <w:sz w:val="20"/>
                <w:szCs w:val="22"/>
                <w:lang w:val="en-US" w:eastAsia="zh-CN"/>
              </w:rPr>
              <w:t>{{ sample_type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bookmarkStart w:id="68" w:name="_Toc2100"/>
            <w:r>
              <w:rPr>
                <w:rFonts w:hint="eastAsia" w:ascii="微软雅黑" w:hAnsi="微软雅黑" w:eastAsia="微软雅黑" w:cs="微软雅黑"/>
                <w:b/>
                <w:bCs/>
                <w:i w:val="0"/>
                <w:iCs w:val="0"/>
                <w:color w:val="2E75B6" w:themeColor="accent1" w:themeShade="BF"/>
                <w:sz w:val="18"/>
                <w:szCs w:val="21"/>
                <w:lang w:val="en-US" w:eastAsia="zh-CN"/>
              </w:rPr>
              <w:t>质量参数</w:t>
            </w:r>
            <w:bookmarkEnd w:id="68"/>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r>
              <w:rPr>
                <w:rFonts w:hint="eastAsia" w:ascii="微软雅黑" w:hAnsi="微软雅黑" w:eastAsia="微软雅黑" w:cs="微软雅黑"/>
                <w:b/>
                <w:bCs/>
                <w:sz w:val="18"/>
                <w:szCs w:val="21"/>
                <w:lang w:val="en-US" w:eastAsia="zh-CN"/>
              </w:rPr>
              <w:t>样本外观评估</w:t>
            </w:r>
          </w:p>
        </w:tc>
        <w:tc>
          <w:tcPr>
            <w:tcW w:w="2327" w:type="dxa"/>
            <w:tcBorders>
              <w:top w:val="nil"/>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69" w:name="_Toc30770"/>
            <w:r>
              <w:rPr>
                <w:rFonts w:hint="eastAsia" w:ascii="微软雅黑" w:hAnsi="微软雅黑" w:eastAsia="微软雅黑" w:cs="微软雅黑"/>
                <w:sz w:val="18"/>
                <w:szCs w:val="21"/>
                <w:lang w:val="en-US" w:eastAsia="zh-CN"/>
              </w:rPr>
              <w:t>样本外观评估</w:t>
            </w:r>
            <w:bookmarkEnd w:id="69"/>
          </w:p>
        </w:tc>
        <w:tc>
          <w:tcPr>
            <w:tcW w:w="4573" w:type="dxa"/>
            <w:gridSpan w:val="2"/>
            <w:tcBorders>
              <w:top w:val="nil"/>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4573" w:type="dxa"/>
            <w:gridSpan w:val="2"/>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r>
              <w:rPr>
                <w:rFonts w:hint="eastAsia" w:ascii="微软雅黑" w:hAnsi="微软雅黑" w:eastAsia="微软雅黑" w:cs="微软雅黑"/>
                <w:b/>
                <w:bCs/>
                <w:i w:val="0"/>
                <w:iCs w:val="0"/>
                <w:color w:val="2E75B6" w:themeColor="accent1" w:themeShade="BF"/>
                <w:sz w:val="18"/>
                <w:szCs w:val="21"/>
                <w:lang w:val="en-US" w:eastAsia="zh-CN"/>
              </w:rPr>
              <w:t>质量参数</w:t>
            </w: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r>
              <w:rPr>
                <w:rFonts w:hint="eastAsia" w:ascii="微软雅黑" w:hAnsi="微软雅黑" w:eastAsia="微软雅黑" w:cs="微软雅黑"/>
                <w:b/>
                <w:bCs/>
                <w:sz w:val="18"/>
                <w:szCs w:val="21"/>
                <w:lang w:val="en-US" w:eastAsia="zh-CN"/>
              </w:rPr>
              <w:t>DNA质量评估</w:t>
            </w: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0" w:name="_Toc16847"/>
            <w:r>
              <w:rPr>
                <w:rFonts w:hint="eastAsia" w:ascii="微软雅黑" w:hAnsi="微软雅黑" w:eastAsia="微软雅黑" w:cs="微软雅黑"/>
                <w:sz w:val="18"/>
                <w:szCs w:val="21"/>
                <w:lang w:val="en-US" w:eastAsia="zh-CN"/>
              </w:rPr>
              <w:t>提取总量（ng）</w:t>
            </w:r>
            <w:bookmarkEnd w:id="70"/>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1" w:name="_Toc28884"/>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&gt;=5</w:t>
            </w:r>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2" w:name="_Toc22498"/>
            <w:r>
              <w:rPr>
                <w:rFonts w:hint="eastAsia" w:ascii="微软雅黑" w:hAnsi="微软雅黑" w:eastAsia="微软雅黑" w:cs="微软雅黑"/>
                <w:sz w:val="18"/>
                <w:szCs w:val="21"/>
                <w:lang w:val="en-US" w:eastAsia="zh-CN"/>
              </w:rPr>
              <w:t>文库总量（ng）</w:t>
            </w:r>
            <w:bookmarkEnd w:id="72"/>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3" w:name="_Toc741"/>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&gt;=500</w:t>
            </w:r>
            <w:bookmarkEnd w:id="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282"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291"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r>
              <w:rPr>
                <w:rFonts w:hint="eastAsia" w:ascii="微软雅黑" w:hAnsi="微软雅黑" w:eastAsia="微软雅黑" w:cs="微软雅黑"/>
                <w:b/>
                <w:bCs/>
                <w:i w:val="0"/>
                <w:iCs w:val="0"/>
                <w:color w:val="2E75B6" w:themeColor="accent1" w:themeShade="BF"/>
                <w:sz w:val="18"/>
                <w:szCs w:val="21"/>
                <w:lang w:val="en-US" w:eastAsia="zh-CN"/>
              </w:rPr>
              <w:t>质量参数</w:t>
            </w: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r>
              <w:rPr>
                <w:rFonts w:hint="eastAsia" w:ascii="微软雅黑" w:hAnsi="微软雅黑" w:eastAsia="微软雅黑" w:cs="微软雅黑"/>
                <w:b/>
                <w:bCs/>
                <w:sz w:val="18"/>
                <w:szCs w:val="21"/>
                <w:lang w:val="en-US" w:eastAsia="zh-CN"/>
              </w:rPr>
              <w:t>测序质量评估</w:t>
            </w: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4" w:name="_Toc8457"/>
            <w:r>
              <w:rPr>
                <w:rFonts w:hint="eastAsia" w:ascii="微软雅黑" w:hAnsi="微软雅黑" w:eastAsia="微软雅黑" w:cs="微软雅黑"/>
                <w:sz w:val="18"/>
                <w:szCs w:val="21"/>
                <w:lang w:val="en-US" w:eastAsia="zh-CN"/>
              </w:rPr>
              <w:t>平均测序深度</w:t>
            </w:r>
            <w:bookmarkEnd w:id="74"/>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sz w:val="18"/>
                <w:szCs w:val="21"/>
                <w:lang w:val="en-US" w:eastAsia="zh-CN"/>
              </w:rPr>
            </w:pPr>
            <w:bookmarkStart w:id="75" w:name="_Toc27146"/>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&gt;=</w:t>
            </w:r>
            <w:bookmarkEnd w:id="75"/>
            <w:r>
              <w:rPr>
                <w:rFonts w:hint="eastAsia" w:ascii="微软雅黑" w:hAnsi="微软雅黑" w:eastAsia="微软雅黑" w:cs="微软雅黑"/>
                <w:sz w:val="18"/>
                <w:szCs w:val="21"/>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6" w:name="_Toc25069"/>
            <w:r>
              <w:rPr>
                <w:rFonts w:hint="eastAsia" w:ascii="微软雅黑" w:hAnsi="微软雅黑" w:eastAsia="微软雅黑" w:cs="微软雅黑"/>
                <w:sz w:val="18"/>
                <w:szCs w:val="21"/>
                <w:lang w:val="en-US" w:eastAsia="zh-CN"/>
              </w:rPr>
              <w:t>中位测序深度</w:t>
            </w:r>
            <w:bookmarkEnd w:id="76"/>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&gt;=1000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7" w:name="_Toc2558"/>
            <w:r>
              <w:rPr>
                <w:rFonts w:hint="eastAsia" w:ascii="微软雅黑" w:hAnsi="微软雅黑" w:eastAsia="微软雅黑" w:cs="微软雅黑"/>
                <w:sz w:val="18"/>
                <w:szCs w:val="21"/>
                <w:lang w:val="en-US" w:eastAsia="zh-CN"/>
              </w:rPr>
              <w:t>测序回帖比率</w:t>
            </w:r>
            <w:bookmarkEnd w:id="77"/>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&gt;=95%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p>
        </w:tc>
        <w:tc>
          <w:tcPr>
            <w:tcW w:w="1882" w:type="dxa"/>
            <w:tcBorders>
              <w:top w:val="nil"/>
              <w:left w:val="nil"/>
              <w:bottom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p>
        </w:tc>
        <w:tc>
          <w:tcPr>
            <w:tcW w:w="2327"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282"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291" w:type="dxa"/>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i w:val="0"/>
                <w:iCs w:val="0"/>
                <w:color w:val="2E75B6" w:themeColor="accent1" w:themeShade="BF"/>
                <w:sz w:val="18"/>
                <w:szCs w:val="21"/>
                <w:lang w:val="en-US" w:eastAsia="zh-CN"/>
              </w:rPr>
            </w:pPr>
            <w:r>
              <w:rPr>
                <w:rFonts w:hint="eastAsia" w:ascii="微软雅黑" w:hAnsi="微软雅黑" w:eastAsia="微软雅黑" w:cs="微软雅黑"/>
                <w:b/>
                <w:bCs/>
                <w:i w:val="0"/>
                <w:iCs w:val="0"/>
                <w:color w:val="2E75B6" w:themeColor="accent1" w:themeShade="BF"/>
                <w:sz w:val="18"/>
                <w:szCs w:val="21"/>
                <w:lang w:val="en-US" w:eastAsia="zh-CN"/>
              </w:rPr>
              <w:t>质量参数</w:t>
            </w: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bCs/>
                <w:sz w:val="18"/>
                <w:szCs w:val="21"/>
                <w:lang w:val="en-US" w:eastAsia="zh-CN"/>
              </w:rPr>
            </w:pPr>
            <w:r>
              <w:rPr>
                <w:rFonts w:hint="eastAsia" w:ascii="微软雅黑" w:hAnsi="微软雅黑" w:eastAsia="微软雅黑" w:cs="微软雅黑"/>
                <w:b/>
                <w:bCs/>
                <w:sz w:val="18"/>
                <w:szCs w:val="21"/>
                <w:lang w:val="en-US" w:eastAsia="zh-CN"/>
              </w:rPr>
              <w:t>参考样本质量评估</w:t>
            </w: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8" w:name="_Toc2381"/>
            <w:r>
              <w:rPr>
                <w:rFonts w:hint="eastAsia" w:ascii="微软雅黑" w:hAnsi="微软雅黑" w:eastAsia="微软雅黑" w:cs="微软雅黑"/>
                <w:sz w:val="18"/>
                <w:szCs w:val="21"/>
                <w:lang w:val="en-US" w:eastAsia="zh-CN"/>
              </w:rPr>
              <w:t>阳性参考品</w:t>
            </w:r>
            <w:bookmarkEnd w:id="78"/>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327" w:type="dxa"/>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79" w:name="_Toc28874"/>
            <w:r>
              <w:rPr>
                <w:rFonts w:hint="eastAsia" w:ascii="微软雅黑" w:hAnsi="微软雅黑" w:eastAsia="微软雅黑" w:cs="微软雅黑"/>
                <w:sz w:val="18"/>
                <w:szCs w:val="21"/>
                <w:lang w:val="en-US" w:eastAsia="zh-CN"/>
              </w:rPr>
              <w:t>阴性参考品</w:t>
            </w:r>
            <w:bookmarkEnd w:id="79"/>
          </w:p>
        </w:tc>
        <w:tc>
          <w:tcPr>
            <w:tcW w:w="4573" w:type="dxa"/>
            <w:gridSpan w:val="2"/>
            <w:tcBorders>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1882" w:type="dxa"/>
            <w:tcBorders>
              <w:top w:val="nil"/>
              <w:left w:val="nil"/>
              <w:bottom w:val="nil"/>
              <w:right w:val="nil"/>
            </w:tcBorders>
            <w:shd w:val="clear" w:color="auto" w:fill="DEEBF6" w:themeFill="accent1" w:themeFillTint="32"/>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p>
        </w:tc>
        <w:tc>
          <w:tcPr>
            <w:tcW w:w="2327" w:type="dxa"/>
            <w:tcBorders>
              <w:left w:val="nil"/>
              <w:bottom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bookmarkStart w:id="80" w:name="_Toc26183"/>
            <w:r>
              <w:rPr>
                <w:rFonts w:hint="eastAsia" w:ascii="微软雅黑" w:hAnsi="微软雅黑" w:eastAsia="微软雅黑" w:cs="微软雅黑"/>
                <w:sz w:val="18"/>
                <w:szCs w:val="21"/>
                <w:lang w:val="en-US" w:eastAsia="zh-CN"/>
              </w:rPr>
              <w:t>空白参考品</w:t>
            </w:r>
            <w:bookmarkEnd w:id="80"/>
          </w:p>
        </w:tc>
        <w:tc>
          <w:tcPr>
            <w:tcW w:w="4573" w:type="dxa"/>
            <w:gridSpan w:val="2"/>
            <w:tcBorders>
              <w:left w:val="nil"/>
              <w:bottom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质控标准：</w:t>
            </w:r>
            <w:r>
              <w:rPr>
                <w:rFonts w:hint="eastAsia" w:ascii="微软雅黑" w:hAnsi="微软雅黑" w:eastAsia="微软雅黑" w:cs="微软雅黑"/>
                <w:sz w:val="18"/>
                <w:szCs w:val="21"/>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0459" w:type="dxa"/>
            <w:gridSpan w:val="5"/>
            <w:tcBorders>
              <w:top w:val="nil"/>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sz w:val="18"/>
                <w:szCs w:val="21"/>
                <w:lang w:val="en-US" w:eastAsia="zh-CN"/>
              </w:rPr>
            </w:pPr>
            <w:r>
              <w:rPr>
                <w:rFonts w:hint="eastAsia" w:ascii="微软雅黑" w:hAnsi="微软雅黑" w:eastAsia="微软雅黑" w:cs="微软雅黑"/>
                <w:b/>
                <w:bCs/>
                <w:color w:val="2E75B6" w:themeColor="accent1" w:themeShade="BF"/>
                <w:sz w:val="32"/>
                <w:szCs w:val="40"/>
                <w:lang w:val="en-US" w:eastAsia="zh-CN"/>
              </w:rPr>
              <w:t>总体质量评估：合格</w:t>
            </w:r>
          </w:p>
        </w:tc>
      </w:tr>
    </w:tbl>
    <w:p>
      <w:pPr>
        <w:bidi w:val="0"/>
        <w:rPr>
          <w:rFonts w:hint="eastAsia"/>
          <w:lang w:val="en-US" w:eastAsia="zh-CN"/>
        </w:rPr>
      </w:pPr>
    </w:p>
    <w:p>
      <w:pPr>
        <w:keepNext w:val="0"/>
        <w:keepLines w:val="0"/>
        <w:widowControl/>
        <w:suppressLineNumbers w:val="0"/>
        <w:jc w:val="left"/>
        <w:rPr>
          <w:rFonts w:hint="eastAsia" w:ascii="微软雅黑" w:hAnsi="微软雅黑" w:eastAsia="微软雅黑" w:cs="微软雅黑"/>
          <w:b/>
          <w:bCs/>
          <w:color w:val="auto"/>
          <w:kern w:val="0"/>
          <w:sz w:val="18"/>
          <w:szCs w:val="18"/>
          <w:lang w:val="en-US" w:eastAsia="zh-CN" w:bidi="ar"/>
        </w:rPr>
      </w:pPr>
      <w:bookmarkStart w:id="81" w:name="_Toc25813"/>
      <w:bookmarkStart w:id="82" w:name="_Toc20082"/>
      <w:r>
        <w:rPr>
          <w:rFonts w:hint="eastAsia" w:ascii="微软雅黑" w:hAnsi="微软雅黑" w:eastAsia="微软雅黑" w:cs="微软雅黑"/>
          <w:b/>
          <w:bCs/>
          <w:color w:val="auto"/>
          <w:kern w:val="0"/>
          <w:sz w:val="18"/>
          <w:szCs w:val="18"/>
          <w:lang w:val="en-US" w:eastAsia="zh-CN" w:bidi="ar"/>
        </w:rPr>
        <w:t>备注：</w:t>
      </w:r>
      <w:bookmarkEnd w:id="81"/>
      <w:bookmarkEnd w:id="82"/>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1. 样本外观评估：</w:t>
      </w:r>
      <w:r>
        <w:rPr>
          <w:rFonts w:hint="eastAsia" w:ascii="微软雅黑" w:hAnsi="微软雅黑" w:eastAsia="微软雅黑" w:cs="微软雅黑"/>
          <w:color w:val="auto"/>
          <w:kern w:val="0"/>
          <w:sz w:val="16"/>
          <w:szCs w:val="16"/>
          <w:lang w:val="en-US" w:eastAsia="zh-CN" w:bidi="ar"/>
        </w:rPr>
        <w:t xml:space="preserve">包装是否完整、送达温度是否符合要求、体液或者血液类样本是否有漏液、颜色是否正常、标本是否有破损。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2. DNA提取总量：</w:t>
      </w:r>
      <w:r>
        <w:rPr>
          <w:rFonts w:hint="eastAsia" w:ascii="微软雅黑" w:hAnsi="微软雅黑" w:eastAsia="微软雅黑" w:cs="微软雅黑"/>
          <w:color w:val="auto"/>
          <w:kern w:val="0"/>
          <w:sz w:val="16"/>
          <w:szCs w:val="16"/>
          <w:lang w:val="en-US" w:eastAsia="zh-CN" w:bidi="ar"/>
        </w:rPr>
        <w:t xml:space="preserve">送检样本提取的DNA总量。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3. 文库总量：</w:t>
      </w:r>
      <w:r>
        <w:rPr>
          <w:rFonts w:hint="eastAsia" w:ascii="微软雅黑" w:hAnsi="微软雅黑" w:eastAsia="微软雅黑" w:cs="微软雅黑"/>
          <w:color w:val="auto"/>
          <w:kern w:val="0"/>
          <w:sz w:val="16"/>
          <w:szCs w:val="16"/>
          <w:lang w:val="en-US" w:eastAsia="zh-CN" w:bidi="ar"/>
        </w:rPr>
        <w:t xml:space="preserve">将原始DNA加接头后经扩增纯化得到的中间产物的总量。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4. 肿瘤细胞占比评估：</w:t>
      </w:r>
      <w:r>
        <w:rPr>
          <w:rFonts w:hint="eastAsia" w:ascii="微软雅黑" w:hAnsi="微软雅黑" w:eastAsia="微软雅黑" w:cs="微软雅黑"/>
          <w:color w:val="auto"/>
          <w:kern w:val="0"/>
          <w:sz w:val="16"/>
          <w:szCs w:val="16"/>
          <w:lang w:val="en-US" w:eastAsia="zh-CN" w:bidi="ar"/>
        </w:rPr>
        <w:t xml:space="preserve">HE染色评估送检样本中肿瘤细胞所占的比例。如样本未进行肿瘤细胞占比评估、样本未能够满足病理HE染色评估的送检要求（包括未浸泡福尔马林的新鲜组织；穿刺等小标本或小于0.5*0.5*0.3cm的组织；含有血凝块、粘液、脂肪的组织等），则此项显示N/A。体液、血液类样本不包括此项内容。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5. 平均测序深度与中位测序深度：</w:t>
      </w:r>
      <w:r>
        <w:rPr>
          <w:rFonts w:hint="eastAsia" w:ascii="微软雅黑" w:hAnsi="微软雅黑" w:eastAsia="微软雅黑" w:cs="微软雅黑"/>
          <w:color w:val="auto"/>
          <w:kern w:val="0"/>
          <w:sz w:val="16"/>
          <w:szCs w:val="16"/>
          <w:lang w:val="en-US" w:eastAsia="zh-CN" w:bidi="ar"/>
        </w:rPr>
        <w:t xml:space="preserve">证据基因区域每个碱基被测到的平均次数和中位次数。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6. 序列回帖比率：</w:t>
      </w:r>
      <w:r>
        <w:rPr>
          <w:rFonts w:hint="eastAsia" w:ascii="微软雅黑" w:hAnsi="微软雅黑" w:eastAsia="微软雅黑" w:cs="微软雅黑"/>
          <w:color w:val="auto"/>
          <w:kern w:val="0"/>
          <w:sz w:val="16"/>
          <w:szCs w:val="16"/>
          <w:lang w:val="en-US" w:eastAsia="zh-CN" w:bidi="ar"/>
        </w:rPr>
        <w:t xml:space="preserve">成功比对回到参考基因组的序列数目占比。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7. 阳性参考品：</w:t>
      </w:r>
      <w:r>
        <w:rPr>
          <w:rFonts w:hint="eastAsia" w:ascii="微软雅黑" w:hAnsi="微软雅黑" w:eastAsia="微软雅黑" w:cs="微软雅黑"/>
          <w:color w:val="auto"/>
          <w:kern w:val="0"/>
          <w:sz w:val="16"/>
          <w:szCs w:val="16"/>
          <w:lang w:val="en-US" w:eastAsia="zh-CN" w:bidi="ar"/>
        </w:rPr>
        <w:t xml:space="preserve">在已知位点发生了突变的标准参照品，在同一实验体系中进行检测，预期这些位点都能检出为阳性结果，符合预期则代表该实验体系质控达标。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8. 阴性参考品：</w:t>
      </w:r>
      <w:r>
        <w:rPr>
          <w:rFonts w:hint="eastAsia" w:ascii="微软雅黑" w:hAnsi="微软雅黑" w:eastAsia="微软雅黑" w:cs="微软雅黑"/>
          <w:color w:val="auto"/>
          <w:kern w:val="0"/>
          <w:sz w:val="16"/>
          <w:szCs w:val="16"/>
          <w:lang w:val="en-US" w:eastAsia="zh-CN" w:bidi="ar"/>
        </w:rPr>
        <w:t xml:space="preserve">在已知位点均未发生突变的标准参照品，在同一实验体系中进行检测，预期这些位点都应该检出为阴性结果，符合预期则代表该实验体系质控达标。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9. 空白参考品：</w:t>
      </w:r>
      <w:r>
        <w:rPr>
          <w:rFonts w:hint="eastAsia" w:ascii="微软雅黑" w:hAnsi="微软雅黑" w:eastAsia="微软雅黑" w:cs="微软雅黑"/>
          <w:color w:val="auto"/>
          <w:kern w:val="0"/>
          <w:sz w:val="16"/>
          <w:szCs w:val="16"/>
          <w:lang w:val="en-US" w:eastAsia="zh-CN" w:bidi="ar"/>
        </w:rPr>
        <w:t xml:space="preserve">使用H2O作为标准参照品，在同一实验体系中进行检测，预期这些位点都应该检出为阴性结果，符合预期则代表该实验体系质控达标。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10. 总体质量评估：</w:t>
      </w:r>
      <w:r>
        <w:rPr>
          <w:rFonts w:hint="eastAsia" w:ascii="微软雅黑" w:hAnsi="微软雅黑" w:eastAsia="微软雅黑" w:cs="微软雅黑"/>
          <w:color w:val="auto"/>
          <w:kern w:val="0"/>
          <w:sz w:val="16"/>
          <w:szCs w:val="16"/>
          <w:lang w:val="en-US" w:eastAsia="zh-CN" w:bidi="ar"/>
        </w:rPr>
        <w:t xml:space="preserve">结合以上参数及其他相关质控指标进行综合评估，分为合格，警戒和不合格三个等级。当评估结果为警戒和不合格时，可能会影响此次检测的准确性和敏感性。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11. N/A：</w:t>
      </w:r>
      <w:r>
        <w:rPr>
          <w:rFonts w:hint="eastAsia" w:ascii="微软雅黑" w:hAnsi="微软雅黑" w:eastAsia="微软雅黑" w:cs="微软雅黑"/>
          <w:color w:val="auto"/>
          <w:kern w:val="0"/>
          <w:sz w:val="16"/>
          <w:szCs w:val="16"/>
          <w:lang w:val="en-US" w:eastAsia="zh-CN" w:bidi="ar"/>
        </w:rPr>
        <w:t xml:space="preserve">样本不适用或未进行此项评估，则显示N/A。 </w:t>
      </w:r>
    </w:p>
    <w:p>
      <w:pPr>
        <w:keepNext w:val="0"/>
        <w:keepLines w:val="0"/>
        <w:widowControl/>
        <w:suppressLineNumbers w:val="0"/>
        <w:jc w:val="left"/>
        <w:rPr>
          <w:rFonts w:hint="default"/>
          <w:lang w:val="en-US" w:eastAsia="zh-CN"/>
        </w:rPr>
      </w:pPr>
      <w:r>
        <w:rPr>
          <w:rFonts w:hint="eastAsia" w:ascii="微软雅黑" w:hAnsi="微软雅黑" w:eastAsia="微软雅黑" w:cs="微软雅黑"/>
          <w:b/>
          <w:bCs/>
          <w:color w:val="auto"/>
          <w:kern w:val="0"/>
          <w:sz w:val="18"/>
          <w:szCs w:val="18"/>
          <w:lang w:val="en-US" w:eastAsia="zh-CN" w:bidi="ar"/>
        </w:rPr>
        <w:t>12. 脑脊液：</w:t>
      </w:r>
      <w:r>
        <w:rPr>
          <w:rFonts w:hint="eastAsia" w:ascii="微软雅黑" w:hAnsi="微软雅黑" w:eastAsia="微软雅黑" w:cs="微软雅黑"/>
          <w:color w:val="auto"/>
          <w:kern w:val="0"/>
          <w:sz w:val="16"/>
          <w:szCs w:val="16"/>
          <w:lang w:val="en-US" w:eastAsia="zh-CN" w:bidi="ar"/>
        </w:rPr>
        <w:t>目前由于其特殊性，各项指标暂不设阈值。</w:t>
      </w:r>
    </w:p>
    <w:p>
      <w:pPr>
        <w:rPr>
          <w:rFonts w:hint="default"/>
          <w:lang w:val="en-US" w:eastAsia="zh-CN"/>
        </w:rPr>
      </w:pPr>
      <w:r>
        <w:rPr>
          <w:rFonts w:hint="default"/>
          <w:lang w:val="en-US" w:eastAsia="zh-CN"/>
        </w:rPr>
        <w:br w:type="page"/>
      </w:r>
    </w:p>
    <w:p>
      <w:pPr>
        <w:pStyle w:val="3"/>
        <w:bidi w:val="0"/>
        <w:ind w:firstLine="964" w:firstLineChars="200"/>
        <w:rPr>
          <w:rFonts w:hint="default"/>
          <w:lang w:val="en-US" w:eastAsia="zh-CN"/>
        </w:rPr>
      </w:pPr>
      <w:bookmarkStart w:id="83" w:name="_Toc30465"/>
      <w:bookmarkStart w:id="84" w:name="_Toc18758"/>
      <w:bookmarkStart w:id="85" w:name="_Toc17881"/>
      <w:r>
        <mc:AlternateContent>
          <mc:Choice Requires="wpg">
            <w:drawing>
              <wp:anchor distT="0" distB="0" distL="114300" distR="114300" simplePos="0" relativeHeight="251670528" behindDoc="0" locked="0" layoutInCell="1" allowOverlap="1">
                <wp:simplePos x="0" y="0"/>
                <wp:positionH relativeFrom="column">
                  <wp:posOffset>36830</wp:posOffset>
                </wp:positionH>
                <wp:positionV relativeFrom="paragraph">
                  <wp:posOffset>83185</wp:posOffset>
                </wp:positionV>
                <wp:extent cx="472440" cy="499110"/>
                <wp:effectExtent l="0" t="0" r="3810" b="15240"/>
                <wp:wrapNone/>
                <wp:docPr id="72"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73"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4"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5"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6"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2.9pt;margin-top:6.55pt;height:39.3pt;width:37.2pt;z-index:251670528;mso-width-relative:page;mso-height-relative:page;" coordorigin="1825800,1651625" coordsize="539989,571775" o:gfxdata="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hBS6WtYAAAAGAQAADwAAAAAAAAABACAAAAAiAAAAZHJzL2Rv&#10;d25yZXYueG1sUEsBAhQAFAAAAAgAh07iQEa4YbuvBAAAIBMAAA4AAAAAAAAAAQAgAAAAJQEAAGRy&#10;cy9lMm9Eb2MueG1sUEsFBgAAAAAGAAYAWQEAAEYIA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LefRtL4AAADb&#10;AAAADwAAAGRycy9kb3ducmV2LnhtbEWPT4vCMBTE74LfITzBy6KpXVDpGkUUZT2IVLvs9dG8bYvN&#10;S2niv29vhAWPw8z8hpkt7qYWV2pdZVnBaBiBIM6trrhQkJ02gykI55E11pZJwYMcLObdzgwTbW+c&#10;0vXoCxEg7BJUUHrfJFK6vCSDbmgb4uD92dagD7ItpG7xFuCmlnEUjaXBisNCiQ2tSsrPx4tRsMp2&#10;v9tHtj7E6fjHT5fyI9/HF6X6vVH0BcLT3b/D/+1vrWDyCa8v4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fRtL4A&#10;AADbAAAADwAAAAAAAAABACAAAAAiAAAAZHJzL2Rvd25yZXYueG1sUEsBAhQAFAAAAAgAh07iQDMv&#10;BZ47AAAAOQAAABAAAAAAAAAAAQAgAAAADQEAAGRycy9zaGFwZXhtbC54bWxQSwUGAAAAAAYABgBb&#10;AQAAtwM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xHCDRL4AAADb&#10;AAAADwAAAGRycy9kb3ducmV2LnhtbEWPQWsCMRSE7wX/Q3hCL6KJRayuRqGFQi8eqhY8PjfP3cXN&#10;y5Jk1fXXN4LQ4zAz3zDL9c3W4kI+VI41jEcKBHHuTMWFhv3uazgDESKywdoxaegowHrVe1liZtyV&#10;f+iyjYVIEA4ZaihjbDIpQ16SxTByDXHyTs5bjEn6QhqP1wS3tXxTaiotVpwWSmzos6T8vG2thrbd&#10;HPxU+W5+v38cfwfdfjA/Ka1f+2O1ABHpFv/Dz/a30fA+gceX9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CDRL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hEammrwAAADb&#10;AAAADwAAAGRycy9kb3ducmV2LnhtbEWPT4vCMBTE74LfITzBy6KpwqpUowe14FVXUW/P5tkWm5eS&#10;xH/ffrOw4HGYmd8ws8XL1OJBzleWFQz6CQji3OqKCwX7n6w3AeEDssbaMil4k4fFvN2aYartk7f0&#10;2IVCRAj7FBWUITSplD4vyaDv24Y4elfrDIYoXSG1w2eEm1oOk2QkDVYcF0psaFlSftvdjYJNOB6G&#10;dv3lfCZHp9VleT5lzVmpbmeQTEEEeoVP+L+90QrG3/D3Jf4A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Gppq8AAAA&#10;2wAAAA8AAAAAAAAAAQAgAAAAIgAAAGRycy9kb3ducmV2LnhtbFBLAQIUABQAAAAIAIdO4kAzLwWe&#10;OwAAADkAAAAQAAAAAAAAAAEAIAAAAAsBAABkcnMvc2hhcGV4bWwueG1sUEsFBgAAAAAGAAYAWwEA&#10;ALUDAAAA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cBq9psEAAADb&#10;AAAADwAAAGRycy9kb3ducmV2LnhtbEWPT2sCMRTE70K/Q3gFL6JZ/7bdGj1UlFZFqG2hx8fmdbN0&#10;87Juoq7fvikIHoeZ+Q0znTe2FCeqfeFYQb+XgCDOnC44V/D5sew+gvABWWPpmBRcyMN8dteaYqrd&#10;md/ptA+5iBD2KSowIVSplD4zZNH3XEUcvR9XWwxR1rnUNZ4j3JZykCQTabHguGCwohdD2e/+aBU0&#10;309f4+FhuLiMV/S2GW13a3PoKNW+7yfPIAI14Ra+tl+1gocJ/H+JP0DO/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Bq9&#10;ps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基因变异汇总</w:t>
      </w:r>
      <w:bookmarkEnd w:id="83"/>
      <w:bookmarkEnd w:id="84"/>
      <w:bookmarkEnd w:id="85"/>
    </w:p>
    <w:p>
      <w:pPr>
        <w:rPr>
          <w:rFonts w:hint="default"/>
          <w:lang w:val="en-US" w:eastAsia="zh-CN"/>
        </w:rPr>
      </w:pPr>
    </w:p>
    <w:tbl>
      <w:tblPr>
        <w:tblStyle w:val="11"/>
        <w:tblW w:w="10555"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215"/>
        <w:gridCol w:w="1081"/>
        <w:gridCol w:w="1069"/>
        <w:gridCol w:w="2272"/>
        <w:gridCol w:w="750"/>
        <w:gridCol w:w="705"/>
        <w:gridCol w:w="1275"/>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0555" w:type="dxa"/>
            <w:gridSpan w:val="9"/>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bCs/>
                <w:color w:val="2E75B6" w:themeColor="accent1" w:themeShade="BF"/>
                <w:sz w:val="18"/>
                <w:szCs w:val="18"/>
                <w:vertAlign w:val="baseline"/>
                <w:lang w:val="en-US" w:eastAsia="zh-CN"/>
              </w:rPr>
              <w:t>基因点突变、缺失、插入分析结果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23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基因</w:t>
            </w:r>
          </w:p>
        </w:tc>
        <w:tc>
          <w:tcPr>
            <w:tcW w:w="121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转录本号</w:t>
            </w:r>
          </w:p>
        </w:tc>
        <w:tc>
          <w:tcPr>
            <w:tcW w:w="1081"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染色体</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突变起始位置</w:t>
            </w:r>
          </w:p>
        </w:tc>
        <w:tc>
          <w:tcPr>
            <w:tcW w:w="1069"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外显子</w:t>
            </w:r>
          </w:p>
        </w:tc>
        <w:tc>
          <w:tcPr>
            <w:tcW w:w="2272"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核苷酸变化</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氨基酸变化</w:t>
            </w:r>
          </w:p>
        </w:tc>
        <w:tc>
          <w:tcPr>
            <w:tcW w:w="750"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SIFT</w:t>
            </w:r>
          </w:p>
        </w:tc>
        <w:tc>
          <w:tcPr>
            <w:tcW w:w="70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PP2</w:t>
            </w:r>
          </w:p>
        </w:tc>
        <w:tc>
          <w:tcPr>
            <w:tcW w:w="1275"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CLINSIG</w:t>
            </w:r>
          </w:p>
        </w:tc>
        <w:tc>
          <w:tcPr>
            <w:tcW w:w="956" w:type="dxa"/>
            <w:shd w:val="clear" w:color="auto" w:fill="1E4D78" w:themeFill="accent1" w:themeFillShade="7F"/>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pPr>
            <w:r>
              <w:rPr>
                <w:rFonts w:hint="eastAsia" w:ascii="微软雅黑" w:hAnsi="微软雅黑" w:eastAsia="微软雅黑" w:cs="微软雅黑"/>
                <w:b/>
                <w:bCs/>
                <w:color w:val="FFFFFF" w:themeColor="background1"/>
                <w:kern w:val="2"/>
                <w:sz w:val="18"/>
                <w:szCs w:val="18"/>
                <w:vertAlign w:val="baseline"/>
                <w:lang w:val="en-US" w:eastAsia="zh-CN" w:bidi="ar-SA"/>
                <w14:textFill>
                  <w14:solidFill>
                    <w14:schemeClr w14:val="bg1"/>
                  </w14:solidFill>
                </w14:textFill>
              </w:rPr>
              <w:t>基因变异频率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5" w:type="dxa"/>
            <w:gridSpan w:val="9"/>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for a in huizong_dict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2" w:type="dxa"/>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b/>
                <w:bCs/>
                <w:color w:val="1F4E79" w:themeColor="accent1" w:themeShade="80"/>
                <w:sz w:val="13"/>
                <w:szCs w:val="13"/>
                <w:vertAlign w:val="baseline"/>
                <w:lang w:val="en-US" w:eastAsia="zh-CN"/>
              </w:rPr>
              <w:t>{{a.SYMBOL}}</w:t>
            </w:r>
          </w:p>
        </w:tc>
        <w:tc>
          <w:tcPr>
            <w:tcW w:w="1215"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a.Feature }}</w:t>
            </w:r>
          </w:p>
        </w:tc>
        <w:tc>
          <w:tcPr>
            <w:tcW w:w="1081"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{{a.Allele}}</w:t>
            </w:r>
          </w:p>
        </w:tc>
        <w:tc>
          <w:tcPr>
            <w:tcW w:w="1069"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a.EXON }}</w:t>
            </w:r>
          </w:p>
        </w:tc>
        <w:tc>
          <w:tcPr>
            <w:tcW w:w="2272"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{{a.HGVSc }}</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a.HGVSp_x }}</w:t>
            </w:r>
          </w:p>
        </w:tc>
        <w:tc>
          <w:tcPr>
            <w:tcW w:w="750"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a.SIFT_pred }}</w:t>
            </w:r>
          </w:p>
        </w:tc>
        <w:tc>
          <w:tcPr>
            <w:tcW w:w="705"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a.Polyphen2_HVAR_pred }}</w:t>
            </w:r>
          </w:p>
        </w:tc>
        <w:tc>
          <w:tcPr>
            <w:tcW w:w="1275"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3"/>
                <w:szCs w:val="13"/>
                <w:vertAlign w:val="baseline"/>
                <w:lang w:val="en-US" w:eastAsia="zh-CN"/>
              </w:rPr>
            </w:pPr>
            <w:r>
              <w:rPr>
                <w:rFonts w:hint="eastAsia" w:ascii="微软雅黑" w:hAnsi="微软雅黑" w:eastAsia="微软雅黑" w:cs="微软雅黑"/>
                <w:sz w:val="13"/>
                <w:szCs w:val="13"/>
                <w:vertAlign w:val="baseline"/>
                <w:lang w:val="en-US" w:eastAsia="zh-CN"/>
              </w:rPr>
              <w:t>{{ a.ClinVar_CLNSIG }}</w:t>
            </w:r>
          </w:p>
        </w:tc>
        <w:tc>
          <w:tcPr>
            <w:tcW w:w="956" w:type="dxa"/>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color w:val="auto"/>
                <w:sz w:val="13"/>
                <w:szCs w:val="13"/>
                <w:vertAlign w:val="baseline"/>
                <w:lang w:val="en-US" w:eastAsia="zh-CN"/>
              </w:rPr>
            </w:pPr>
            <w:r>
              <w:rPr>
                <w:rFonts w:hint="eastAsia" w:ascii="微软雅黑" w:hAnsi="微软雅黑" w:eastAsia="微软雅黑" w:cs="微软雅黑"/>
                <w:color w:val="auto"/>
                <w:sz w:val="13"/>
                <w:szCs w:val="13"/>
                <w:vertAlign w:val="baseline"/>
                <w:lang w:val="en-US" w:eastAsia="zh-CN"/>
              </w:rPr>
              <w:t>{{ a.AF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5" w:type="dxa"/>
            <w:gridSpan w:val="9"/>
            <w:shd w:val="clear" w:color="auto" w:fill="DEEBF6" w:themeFill="accent1" w:themeFillTint="3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yellow"/>
                <w:lang w:val="en-US" w:eastAsia="zh-CN"/>
              </w:rPr>
              <w:t>{%tr endfor %}</w:t>
            </w:r>
          </w:p>
        </w:tc>
      </w:tr>
    </w:tbl>
    <w:p>
      <w:pPr>
        <w:rPr>
          <w:rFonts w:hint="default"/>
          <w:lang w:val="en-US" w:eastAsia="zh-CN"/>
        </w:rPr>
      </w:pPr>
    </w:p>
    <w:p>
      <w:pPr>
        <w:rPr>
          <w:rFonts w:hint="default"/>
          <w:lang w:val="en-US" w:eastAsia="zh-CN"/>
        </w:rPr>
      </w:pPr>
    </w:p>
    <w:p>
      <w:pPr>
        <w:keepNext w:val="0"/>
        <w:keepLines w:val="0"/>
        <w:widowControl/>
        <w:suppressLineNumbers w:val="0"/>
        <w:jc w:val="left"/>
        <w:rPr>
          <w:rFonts w:hint="eastAsia" w:ascii="微软雅黑" w:hAnsi="微软雅黑" w:eastAsia="微软雅黑" w:cs="微软雅黑"/>
          <w:b/>
          <w:bCs/>
          <w:color w:val="auto"/>
          <w:kern w:val="0"/>
          <w:sz w:val="18"/>
          <w:szCs w:val="18"/>
          <w:lang w:val="en-US" w:eastAsia="zh-CN" w:bidi="ar"/>
        </w:rPr>
      </w:pPr>
      <w:r>
        <w:rPr>
          <w:rFonts w:hint="eastAsia" w:ascii="微软雅黑" w:hAnsi="微软雅黑" w:eastAsia="微软雅黑" w:cs="微软雅黑"/>
          <w:b/>
          <w:bCs/>
          <w:color w:val="auto"/>
          <w:kern w:val="0"/>
          <w:sz w:val="18"/>
          <w:szCs w:val="18"/>
          <w:lang w:val="en-US" w:eastAsia="zh-CN" w:bidi="ar"/>
        </w:rPr>
        <w:t>备注：</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1.SIFT：</w:t>
      </w:r>
      <w:r>
        <w:rPr>
          <w:rFonts w:hint="eastAsia" w:ascii="微软雅黑" w:hAnsi="微软雅黑" w:eastAsia="微软雅黑" w:cs="微软雅黑"/>
          <w:color w:val="auto"/>
          <w:kern w:val="0"/>
          <w:sz w:val="16"/>
          <w:szCs w:val="16"/>
          <w:lang w:val="en-US" w:eastAsia="zh-CN" w:bidi="ar"/>
        </w:rPr>
        <w:t xml:space="preserve">SIFT软件对错义突变进化保守性的分析结果。D=Deleterious（有害），T=Tolerated（无害）。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2.PP2：</w:t>
      </w:r>
      <w:r>
        <w:rPr>
          <w:rFonts w:hint="eastAsia" w:ascii="微软雅黑" w:hAnsi="微软雅黑" w:eastAsia="微软雅黑" w:cs="微软雅黑"/>
          <w:color w:val="auto"/>
          <w:kern w:val="0"/>
          <w:sz w:val="16"/>
          <w:szCs w:val="16"/>
          <w:lang w:val="en-US" w:eastAsia="zh-CN" w:bidi="ar"/>
        </w:rPr>
        <w:t xml:space="preserve"> PolyPhen2软件预测错义突变对蛋白质结构、功能和进化保守性的影响。D=Probably damaging（很可能有害），P=Possibly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damaging（可能有害）；B=Benign（良性）。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3.ClINSIG：</w:t>
      </w:r>
      <w:r>
        <w:rPr>
          <w:rFonts w:hint="eastAsia" w:ascii="微软雅黑" w:hAnsi="微软雅黑" w:eastAsia="微软雅黑" w:cs="微软雅黑"/>
          <w:color w:val="auto"/>
          <w:kern w:val="0"/>
          <w:sz w:val="16"/>
          <w:szCs w:val="16"/>
          <w:lang w:val="en-US" w:eastAsia="zh-CN" w:bidi="ar"/>
        </w:rPr>
        <w:t xml:space="preserve">ClinVar数据库中Clinical significance的简写，代表“临床意义”。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“g:”：ClinVar数据库中该判读结果仅基于胚系变异。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“s:”：ClinVar数据库中该判读结果仅基于体细胞变异。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“g/s:”：ClinVar数据库中该判读结果同时基于胚系和体细胞变异。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“u:”：ClinVar数据库中未明确该判读结果是基于胚系还是体细胞变异。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常见的分类有致病（Pathogenic），可能致病（Likely_pathogenic），临床意义未明（Uncertain_significance），可能良性（Likely_benign），良性（Benign），致病性存在争议（Conflicting_interpretations_of_pathogenicity），药物反应相关（Drug_response），未提供（Not_provided）。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4.致病风险：</w:t>
      </w:r>
      <w:r>
        <w:rPr>
          <w:rFonts w:hint="eastAsia" w:ascii="微软雅黑" w:hAnsi="微软雅黑" w:eastAsia="微软雅黑" w:cs="微软雅黑"/>
          <w:color w:val="auto"/>
          <w:kern w:val="0"/>
          <w:sz w:val="16"/>
          <w:szCs w:val="16"/>
          <w:lang w:val="en-US" w:eastAsia="zh-CN" w:bidi="ar"/>
        </w:rPr>
        <w:t>根据2015年美国医学遗传学和基因组学学会（American College of Medical Genetics and Genomics，ACMG）相关指南。将胚系变异致病风险分为五级：“致病，可能致病，临床意义未明，可能良性，良性”，本报告仅展示致病和可能致病的胚系变异。</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 xml:space="preserve">5.“-”： </w:t>
      </w:r>
      <w:r>
        <w:rPr>
          <w:rFonts w:hint="eastAsia" w:ascii="微软雅黑" w:hAnsi="微软雅黑" w:eastAsia="微软雅黑" w:cs="微软雅黑"/>
          <w:color w:val="auto"/>
          <w:kern w:val="0"/>
          <w:sz w:val="16"/>
          <w:szCs w:val="16"/>
          <w:lang w:val="en-US" w:eastAsia="zh-CN" w:bidi="ar"/>
        </w:rPr>
        <w:t xml:space="preserve">未检测到变异，或者没有结果。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b/>
          <w:bCs/>
          <w:color w:val="auto"/>
          <w:kern w:val="0"/>
          <w:sz w:val="18"/>
          <w:szCs w:val="18"/>
          <w:lang w:val="en-US" w:eastAsia="zh-CN" w:bidi="ar"/>
        </w:rPr>
        <w:t>6.基因重排/融合分析结果包含四种形式：</w:t>
      </w:r>
      <w:r>
        <w:rPr>
          <w:rFonts w:hint="eastAsia" w:ascii="微软雅黑" w:hAnsi="微软雅黑" w:eastAsia="微软雅黑" w:cs="微软雅黑"/>
          <w:color w:val="auto"/>
          <w:kern w:val="0"/>
          <w:sz w:val="16"/>
          <w:szCs w:val="16"/>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（1）基因1保留了5’端，基因2保留了3’端；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（2）基因1和基因2都保留了5’端； </w:t>
      </w:r>
    </w:p>
    <w:p>
      <w:pPr>
        <w:keepNext w:val="0"/>
        <w:keepLines w:val="0"/>
        <w:widowControl/>
        <w:suppressLineNumbers w:val="0"/>
        <w:jc w:val="left"/>
        <w:rPr>
          <w:rFonts w:hint="eastAsia" w:ascii="微软雅黑" w:hAnsi="微软雅黑" w:eastAsia="微软雅黑" w:cs="微软雅黑"/>
          <w:color w:val="auto"/>
          <w:sz w:val="16"/>
          <w:szCs w:val="16"/>
        </w:rPr>
      </w:pPr>
      <w:r>
        <w:rPr>
          <w:rFonts w:hint="eastAsia" w:ascii="微软雅黑" w:hAnsi="微软雅黑" w:eastAsia="微软雅黑" w:cs="微软雅黑"/>
          <w:color w:val="auto"/>
          <w:kern w:val="0"/>
          <w:sz w:val="16"/>
          <w:szCs w:val="16"/>
          <w:lang w:val="en-US" w:eastAsia="zh-CN" w:bidi="ar"/>
        </w:rPr>
        <w:t xml:space="preserve">（3）基因1和基因2都保留了3’端。 </w:t>
      </w:r>
    </w:p>
    <w:p>
      <w:pPr>
        <w:keepNext w:val="0"/>
        <w:keepLines w:val="0"/>
        <w:widowControl/>
        <w:suppressLineNumbers w:val="0"/>
        <w:jc w:val="left"/>
        <w:rPr>
          <w:rFonts w:hint="eastAsia" w:ascii="微软雅黑" w:hAnsi="微软雅黑" w:eastAsia="微软雅黑" w:cs="微软雅黑"/>
          <w:color w:val="auto"/>
          <w:kern w:val="0"/>
          <w:sz w:val="16"/>
          <w:szCs w:val="16"/>
          <w:lang w:val="en-US" w:eastAsia="zh-CN" w:bidi="ar"/>
        </w:rPr>
      </w:pPr>
      <w:r>
        <w:rPr>
          <w:rFonts w:hint="eastAsia" w:ascii="微软雅黑" w:hAnsi="微软雅黑" w:eastAsia="微软雅黑" w:cs="微软雅黑"/>
          <w:color w:val="auto"/>
          <w:kern w:val="0"/>
          <w:sz w:val="16"/>
          <w:szCs w:val="16"/>
          <w:lang w:val="en-US" w:eastAsia="zh-CN" w:bidi="ar"/>
        </w:rPr>
        <w:t>（4）基因间区和驱动基因发生重排，例如：intergenic（PKDCC，EML4）-ALK（-，A20）重排表示位于PKDCC基因和EML4基因之间的基因间区与ALK基因发生重排。</w:t>
      </w:r>
    </w:p>
    <w:p>
      <w:pPr>
        <w:keepNext w:val="0"/>
        <w:keepLines w:val="0"/>
        <w:widowControl/>
        <w:suppressLineNumbers w:val="0"/>
        <w:ind w:firstLine="160" w:firstLineChars="100"/>
        <w:jc w:val="left"/>
        <w:rPr>
          <w:rFonts w:hint="eastAsia" w:ascii="微软雅黑" w:hAnsi="微软雅黑" w:eastAsia="微软雅黑" w:cs="微软雅黑"/>
          <w:color w:val="auto"/>
          <w:kern w:val="0"/>
          <w:sz w:val="16"/>
          <w:szCs w:val="16"/>
          <w:lang w:val="en-US" w:eastAsia="zh-CN" w:bidi="ar"/>
        </w:rPr>
      </w:pPr>
      <w:r>
        <w:rPr>
          <w:rFonts w:hint="eastAsia" w:ascii="微软雅黑" w:hAnsi="微软雅黑" w:eastAsia="微软雅黑" w:cs="微软雅黑"/>
          <w:color w:val="auto"/>
          <w:kern w:val="0"/>
          <w:sz w:val="16"/>
          <w:szCs w:val="16"/>
          <w:lang w:val="en-US" w:eastAsia="zh-CN" w:bidi="ar"/>
        </w:rPr>
        <w:t>由于panel设计和分析方法的限制，当断点位置发生在探针未覆盖的罕见内含子区域或者发生了复杂的结构变异，融合可能无法检出。</w:t>
      </w:r>
    </w:p>
    <w:p>
      <w:pPr>
        <w:keepNext w:val="0"/>
        <w:keepLines w:val="0"/>
        <w:widowControl/>
        <w:suppressLineNumbers w:val="0"/>
        <w:ind w:firstLine="160" w:firstLineChars="100"/>
        <w:jc w:val="left"/>
        <w:rPr>
          <w:rFonts w:hint="default"/>
          <w:lang w:val="en-US" w:eastAsia="zh-CN"/>
        </w:rPr>
      </w:pPr>
      <w:r>
        <w:rPr>
          <w:rFonts w:hint="eastAsia" w:ascii="微软雅黑" w:hAnsi="微软雅黑" w:eastAsia="微软雅黑" w:cs="微软雅黑"/>
          <w:color w:val="auto"/>
          <w:kern w:val="0"/>
          <w:sz w:val="16"/>
          <w:szCs w:val="16"/>
          <w:lang w:val="en-US" w:eastAsia="zh-CN" w:bidi="ar"/>
        </w:rPr>
        <w:t xml:space="preserve">由于转录和翻译过程的复杂性，DNA层面的融合不一定能成功转录或者形成有功能的蛋白，因此建议综合其他平台（如IHC或者RNANGS）的结果进行解读。 </w:t>
      </w:r>
    </w:p>
    <w:p>
      <w:pPr>
        <w:pStyle w:val="3"/>
        <w:bidi w:val="0"/>
        <w:ind w:firstLine="964" w:firstLineChars="200"/>
        <w:rPr>
          <w:rFonts w:hint="default" w:ascii="微软雅黑" w:hAnsi="微软雅黑" w:eastAsia="微软雅黑" w:cs="微软雅黑"/>
          <w:color w:val="2E75B6" w:themeColor="accent1" w:themeShade="BF"/>
          <w:lang w:val="en-US" w:eastAsia="zh-CN"/>
        </w:rPr>
      </w:pPr>
      <w:bookmarkStart w:id="86" w:name="_Toc6454"/>
      <w:bookmarkStart w:id="87" w:name="_Toc1376"/>
      <w:bookmarkStart w:id="88" w:name="_Toc6488"/>
      <w:r>
        <mc:AlternateContent>
          <mc:Choice Requires="wpg">
            <w:drawing>
              <wp:anchor distT="0" distB="0" distL="114300" distR="114300" simplePos="0" relativeHeight="251671552" behindDoc="0" locked="0" layoutInCell="1" allowOverlap="1">
                <wp:simplePos x="0" y="0"/>
                <wp:positionH relativeFrom="column">
                  <wp:posOffset>15240</wp:posOffset>
                </wp:positionH>
                <wp:positionV relativeFrom="paragraph">
                  <wp:posOffset>17145</wp:posOffset>
                </wp:positionV>
                <wp:extent cx="472440" cy="499110"/>
                <wp:effectExtent l="0" t="0" r="3810" b="15240"/>
                <wp:wrapNone/>
                <wp:docPr id="77" name="Google Shape;3686;p78"/>
                <wp:cNvGraphicFramePr/>
                <a:graphic xmlns:a="http://schemas.openxmlformats.org/drawingml/2006/main">
                  <a:graphicData uri="http://schemas.microsoft.com/office/word/2010/wordprocessingGroup">
                    <wpg:wgp>
                      <wpg:cNvGrpSpPr/>
                      <wpg:grpSpPr>
                        <a:xfrm>
                          <a:off x="0" y="0"/>
                          <a:ext cx="472440" cy="499110"/>
                          <a:chOff x="1825800" y="1651625"/>
                          <a:chExt cx="539989" cy="571775"/>
                        </a:xfrm>
                        <a:gradFill>
                          <a:gsLst>
                            <a:gs pos="0">
                              <a:srgbClr val="007BD3"/>
                            </a:gs>
                            <a:gs pos="100000">
                              <a:srgbClr val="034373"/>
                            </a:gs>
                          </a:gsLst>
                          <a:lin scaled="0"/>
                        </a:gradFill>
                      </wpg:grpSpPr>
                      <wps:wsp>
                        <wps:cNvPr id="78" name="Google Shape;3687;p78"/>
                        <wps:cNvSpPr/>
                        <wps:spPr>
                          <a:xfrm>
                            <a:off x="2093189" y="1651625"/>
                            <a:ext cx="272600" cy="287950"/>
                          </a:xfrm>
                          <a:custGeom>
                            <a:avLst/>
                            <a:gdLst/>
                            <a:ahLst/>
                            <a:cxnLst/>
                            <a:rect l="l" t="t" r="r" b="b"/>
                            <a:pathLst>
                              <a:path w="10904" h="11518" extrusionOk="0">
                                <a:moveTo>
                                  <a:pt x="2" y="1"/>
                                </a:moveTo>
                                <a:lnTo>
                                  <a:pt x="0" y="11518"/>
                                </a:lnTo>
                                <a:lnTo>
                                  <a:pt x="10904" y="11518"/>
                                </a:lnTo>
                                <a:cubicBezTo>
                                  <a:pt x="10391" y="5596"/>
                                  <a:pt x="5836" y="826"/>
                                  <a:pt x="2"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79" name="Google Shape;3688;p78"/>
                        <wps:cNvSpPr/>
                        <wps:spPr>
                          <a:xfrm>
                            <a:off x="1825800" y="1967150"/>
                            <a:ext cx="231900" cy="233575"/>
                          </a:xfrm>
                          <a:custGeom>
                            <a:avLst/>
                            <a:gdLst/>
                            <a:ahLst/>
                            <a:cxnLst/>
                            <a:rect l="l" t="t" r="r" b="b"/>
                            <a:pathLst>
                              <a:path w="9276" h="9343" extrusionOk="0">
                                <a:moveTo>
                                  <a:pt x="0" y="1"/>
                                </a:moveTo>
                                <a:cubicBezTo>
                                  <a:pt x="465" y="4930"/>
                                  <a:pt x="4350" y="8842"/>
                                  <a:pt x="9275" y="9343"/>
                                </a:cubicBezTo>
                                <a:lnTo>
                                  <a:pt x="9275"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80" name="Google Shape;3689;p78"/>
                        <wps:cNvSpPr/>
                        <wps:spPr>
                          <a:xfrm>
                            <a:off x="2093189" y="1967150"/>
                            <a:ext cx="244350" cy="256250"/>
                          </a:xfrm>
                          <a:custGeom>
                            <a:avLst/>
                            <a:gdLst/>
                            <a:ahLst/>
                            <a:cxnLst/>
                            <a:rect l="l" t="t" r="r" b="b"/>
                            <a:pathLst>
                              <a:path w="9774" h="10250" extrusionOk="0">
                                <a:moveTo>
                                  <a:pt x="0" y="1"/>
                                </a:moveTo>
                                <a:lnTo>
                                  <a:pt x="0" y="10249"/>
                                </a:lnTo>
                                <a:cubicBezTo>
                                  <a:pt x="5200" y="9514"/>
                                  <a:pt x="9280" y="5280"/>
                                  <a:pt x="9773" y="1"/>
                                </a:cubicBez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s:wsp>
                        <wps:cNvPr id="81" name="Google Shape;3690;p78"/>
                        <wps:cNvSpPr/>
                        <wps:spPr>
                          <a:xfrm>
                            <a:off x="1851375" y="1730300"/>
                            <a:ext cx="206325" cy="209275"/>
                          </a:xfrm>
                          <a:custGeom>
                            <a:avLst/>
                            <a:gdLst/>
                            <a:ahLst/>
                            <a:cxnLst/>
                            <a:rect l="l" t="t" r="r" b="b"/>
                            <a:pathLst>
                              <a:path w="8253" h="8371" extrusionOk="0">
                                <a:moveTo>
                                  <a:pt x="8252" y="1"/>
                                </a:moveTo>
                                <a:cubicBezTo>
                                  <a:pt x="3865" y="441"/>
                                  <a:pt x="383" y="3959"/>
                                  <a:pt x="1" y="8371"/>
                                </a:cubicBezTo>
                                <a:lnTo>
                                  <a:pt x="8252" y="8371"/>
                                </a:lnTo>
                                <a:lnTo>
                                  <a:pt x="8252" y="1"/>
                                </a:lnTo>
                                <a:close/>
                              </a:path>
                            </a:pathLst>
                          </a:custGeom>
                          <a:grpFill/>
                          <a:ln w="9525" cap="flat" cmpd="sng">
                            <a:no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3686;p78" o:spid="_x0000_s1026" o:spt="203" style="position:absolute;left:0pt;margin-left:1.2pt;margin-top:1.35pt;height:39.3pt;width:37.2pt;z-index:251671552;mso-width-relative:page;mso-height-relative:page;" coordorigin="1825800,1651625" coordsize="539989,571775" o:gfxdata="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BuTkG11gAAAAUBAAAPAAAAAAAAAAEAIAAAACIAAABk&#10;cnMvZG93bnJldi54bWxQSwECFAAUAAAACACHTuJAUCrAwLQEAAAgEwAADgAAAAAAAAABACAAAAAl&#10;AQAAZHJzL2Uyb0RvYy54bWxQSwUGAAAAAAYABgBZAQAASwgAAAAA&#10;">
                <o:lock v:ext="edit" aspectratio="f"/>
                <v:shape id="Google Shape;3687;p78" o:spid="_x0000_s1026" o:spt="100" style="position:absolute;left:2093189;top:1651625;height:287950;width:272600;v-text-anchor:middle;" filled="t" stroked="f" coordsize="10904,11518" o:gfxdata="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DQ8W5AAAA2wAA&#10;AA8AAAAAAAAAAQAgAAAAIgAAAGRycy9kb3ducmV2LnhtbFBLAQIUABQAAAAIAIdO4kAzLwWeOwAA&#10;ADkAAAAQAAAAAAAAAAEAIAAAAAgBAABkcnMvc2hhcGV4bWwueG1sUEsFBgAAAAAGAAYAWwEAALID&#10;AAAAAA==&#10;" path="m2,1l0,11518,10904,11518c10391,5596,5836,826,2,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8;p78" o:spid="_x0000_s1026" o:spt="100" style="position:absolute;left:1825800;top:1967150;height:233575;width:231900;v-text-anchor:middle;" filled="t" stroked="f" coordsize="9276,9343" o:gfxdata="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Es2r4A&#10;AADbAAAADwAAAAAAAAABACAAAAAiAAAAZHJzL2Rvd25yZXYueG1sUEsBAhQAFAAAAAgAh07iQDMv&#10;BZ47AAAAOQAAABAAAAAAAAAAAQAgAAAADQEAAGRycy9zaGFwZXhtbC54bWxQSwUGAAAAAAYABgBb&#10;AQAAtwMAAAAA&#10;" path="m0,1c465,4930,4350,8842,9275,9343l9275,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89;p78" o:spid="_x0000_s1026" o:spt="100" style="position:absolute;left:2093189;top:1967150;height:256250;width:244350;v-text-anchor:middle;" filled="t" stroked="f" coordsize="9774,10250" o:gfxdata="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HkdSW2AAAA2wAAAA8A&#10;AAAAAAAAAQAgAAAAIgAAAGRycy9kb3ducmV2LnhtbFBLAQIUABQAAAAIAIdO4kAzLwWeOwAAADkA&#10;AAAQAAAAAAAAAAEAIAAAAAUBAABkcnMvc2hhcGV4bWwueG1sUEsFBgAAAAAGAAYAWwEAAK8DAAAA&#10;AA==&#10;" path="m0,1l0,10249c5200,9514,9280,5280,9773,1xe">
                  <v:fill on="t" focussize="0,0"/>
                  <v:stroke on="f" joinstyle="round" startarrowwidth="narrow" startarrowlength="short" endarrowwidth="narrow" endarrowlength="short"/>
                  <v:imagedata o:title=""/>
                  <o:lock v:ext="edit" aspectratio="f"/>
                  <v:textbox inset="7.1988188976378pt,7.1988188976378pt,7.1988188976378pt,7.1988188976378pt"/>
                </v:shape>
                <v:shape id="Google Shape;3690;p78" o:spid="_x0000_s1026" o:spt="100" style="position:absolute;left:1851375;top:1730300;height:209275;width:206325;v-text-anchor:middle;" filled="t" stroked="f" coordsize="8253,8371" o:gfxdata="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ZV&#10;9cEAAADbAAAADwAAAAAAAAABACAAAAAiAAAAZHJzL2Rvd25yZXYueG1sUEsBAhQAFAAAAAgAh07i&#10;QDMvBZ47AAAAOQAAABAAAAAAAAAAAQAgAAAAEAEAAGRycy9zaGFwZXhtbC54bWxQSwUGAAAAAAYA&#10;BgBbAQAAugMAAAAA&#10;" path="m8252,1c3865,441,383,3959,1,8371l8252,8371,8252,1xe">
                  <v:fill on="t" focussize="0,0"/>
                  <v:stroke on="f" joinstyle="round" startarrowwidth="narrow" startarrowlength="short" endarrowwidth="narrow" endarrowlength="short"/>
                  <v:imagedata o:title=""/>
                  <o:lock v:ext="edit" aspectratio="f"/>
                  <v:textbox inset="7.1988188976378pt,7.1988188976378pt,7.1988188976378pt,7.1988188976378pt"/>
                </v:shape>
              </v:group>
            </w:pict>
          </mc:Fallback>
        </mc:AlternateContent>
      </w:r>
      <w:r>
        <w:rPr>
          <w:rFonts w:hint="eastAsia" w:ascii="微软雅黑" w:hAnsi="微软雅黑" w:eastAsia="微软雅黑" w:cs="微软雅黑"/>
          <w:color w:val="2E75B6" w:themeColor="accent1" w:themeShade="BF"/>
          <w:lang w:val="en-US" w:eastAsia="zh-CN"/>
        </w:rPr>
        <w:t>附</w:t>
      </w:r>
      <w:bookmarkEnd w:id="86"/>
      <w:bookmarkEnd w:id="87"/>
      <w:r>
        <w:rPr>
          <w:rFonts w:hint="eastAsia" w:ascii="微软雅黑" w:hAnsi="微软雅黑" w:eastAsia="微软雅黑" w:cs="微软雅黑"/>
          <w:color w:val="2E75B6" w:themeColor="accent1" w:themeShade="BF"/>
          <w:lang w:val="en-US" w:eastAsia="zh-CN"/>
        </w:rPr>
        <w:t>录</w:t>
      </w:r>
      <w:bookmarkEnd w:id="88"/>
    </w:p>
    <w:p>
      <w:pPr>
        <w:pStyle w:val="4"/>
        <w:bidi w:val="0"/>
        <w:outlineLvl w:val="1"/>
        <w:rPr>
          <w:rFonts w:hint="eastAsia" w:ascii="微软雅黑" w:hAnsi="微软雅黑" w:eastAsia="微软雅黑" w:cs="微软雅黑"/>
          <w:color w:val="2E75B6" w:themeColor="accent1" w:themeShade="BF"/>
          <w:lang w:val="en-US" w:eastAsia="zh-CN"/>
        </w:rPr>
      </w:pPr>
      <w:bookmarkStart w:id="89" w:name="_Toc13700"/>
      <w:bookmarkStart w:id="90" w:name="_Toc789"/>
      <w:r>
        <w:rPr>
          <w:rFonts w:hint="eastAsia" w:ascii="微软雅黑" w:hAnsi="微软雅黑" w:eastAsia="微软雅黑" w:cs="微软雅黑"/>
          <w:color w:val="2E75B6" w:themeColor="accent1" w:themeShade="BF"/>
          <w:lang w:val="en-US" w:eastAsia="zh-CN"/>
        </w:rPr>
        <w:t>常见靶向药物相关基因检测列表</w:t>
      </w:r>
      <w:bookmarkEnd w:id="89"/>
      <w:bookmarkEnd w:id="90"/>
    </w:p>
    <w:tbl>
      <w:tblPr>
        <w:tblStyle w:val="11"/>
        <w:tblpPr w:leftFromText="180" w:rightFromText="180" w:vertAnchor="text" w:horzAnchor="page" w:tblpXSpec="center" w:tblpY="224"/>
        <w:tblOverlap w:val="never"/>
        <w:tblW w:w="1011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929"/>
        <w:gridCol w:w="688"/>
        <w:gridCol w:w="4634"/>
        <w:gridCol w:w="38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77" w:hRule="exact"/>
          <w:tblHeader/>
          <w:jc w:val="center"/>
        </w:trPr>
        <w:tc>
          <w:tcPr>
            <w:tcW w:w="929"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基因</w:t>
            </w:r>
          </w:p>
        </w:tc>
        <w:tc>
          <w:tcPr>
            <w:tcW w:w="688" w:type="dxa"/>
            <w:tcBorders>
              <w:tl2br w:val="nil"/>
              <w:tr2bl w:val="nil"/>
            </w:tcBorders>
            <w:vAlign w:val="center"/>
          </w:tcPr>
          <w:p>
            <w:pPr>
              <w:keepNext w:val="0"/>
              <w:keepLines w:val="0"/>
              <w:suppressLineNumbers w:val="0"/>
              <w:spacing w:before="0" w:beforeAutospacing="0" w:after="0" w:afterAutospacing="0" w:line="206" w:lineRule="exact"/>
              <w:ind w:left="0"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检测内容</w:t>
            </w:r>
          </w:p>
        </w:tc>
        <w:tc>
          <w:tcPr>
            <w:tcW w:w="4634" w:type="dxa"/>
            <w:tcBorders>
              <w:tl2br w:val="nil"/>
              <w:tr2bl w:val="nil"/>
            </w:tcBorders>
            <w:shd w:val="clear" w:color="auto" w:fill="auto"/>
            <w:vAlign w:val="center"/>
          </w:tcPr>
          <w:p>
            <w:pPr>
              <w:keepNext w:val="0"/>
              <w:keepLines w:val="0"/>
              <w:suppressLineNumbers w:val="0"/>
              <w:tabs>
                <w:tab w:val="left" w:pos="562"/>
              </w:tabs>
              <w:spacing w:before="0" w:beforeAutospacing="0" w:after="0" w:afterAutospacing="0" w:line="206" w:lineRule="exact"/>
              <w:ind w:left="-2" w:leftChars="-1"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靶向药物</w:t>
            </w:r>
          </w:p>
        </w:tc>
        <w:tc>
          <w:tcPr>
            <w:tcW w:w="3862"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365" w:right="0"/>
              <w:jc w:val="center"/>
              <w:rPr>
                <w:rFonts w:hint="eastAsia" w:ascii="微软雅黑" w:hAnsi="微软雅黑" w:eastAsia="微软雅黑" w:cs="微软雅黑"/>
                <w:b/>
                <w:bCs/>
                <w:color w:val="2E75B6" w:themeColor="accent1" w:themeShade="BF"/>
                <w:sz w:val="18"/>
                <w:szCs w:val="18"/>
                <w:lang w:eastAsia="zh-CN"/>
              </w:rPr>
            </w:pPr>
            <w:r>
              <w:rPr>
                <w:rFonts w:hint="eastAsia" w:ascii="微软雅黑" w:hAnsi="微软雅黑" w:eastAsia="微软雅黑" w:cs="微软雅黑"/>
                <w:b/>
                <w:bCs/>
                <w:color w:val="2E75B6" w:themeColor="accent1" w:themeShade="BF"/>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5078"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ALK</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融合</w:t>
            </w:r>
          </w:p>
        </w:tc>
        <w:tc>
          <w:tcPr>
            <w:tcW w:w="4634" w:type="dxa"/>
            <w:tcBorders>
              <w:tl2br w:val="nil"/>
              <w:tr2bl w:val="nil"/>
            </w:tcBorders>
            <w:vAlign w:val="center"/>
          </w:tcPr>
          <w:p>
            <w:pPr>
              <w:keepNext w:val="0"/>
              <w:keepLines w:val="0"/>
              <w:suppressLineNumbers w:val="0"/>
              <w:spacing w:before="19" w:beforeAutospacing="0" w:after="0" w:afterAutospacing="0"/>
              <w:ind w:left="0" w:right="62"/>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ALK抑制剂：</w:t>
            </w: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r>
              <w:rPr>
                <w:rFonts w:hint="eastAsia" w:ascii="微软雅黑" w:hAnsi="微软雅黑" w:eastAsia="微软雅黑" w:cs="微软雅黑"/>
                <w:b/>
                <w:spacing w:val="-1"/>
                <w:sz w:val="18"/>
                <w:szCs w:val="18"/>
                <w:lang w:val="en-US" w:eastAsia="zh-CN"/>
              </w:rPr>
              <w:t>色</w:t>
            </w:r>
            <w:r>
              <w:rPr>
                <w:rFonts w:hint="eastAsia" w:ascii="微软雅黑" w:hAnsi="微软雅黑" w:eastAsia="微软雅黑" w:cs="微软雅黑"/>
                <w:b/>
                <w:spacing w:val="-1"/>
                <w:sz w:val="18"/>
                <w:szCs w:val="18"/>
              </w:rPr>
              <w:t>瑞替尼（Ceritinib）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lang w:val="en-US" w:eastAsia="zh-CN"/>
              </w:rPr>
              <w:t>艾乐</w:t>
            </w:r>
            <w:r>
              <w:rPr>
                <w:rFonts w:hint="eastAsia" w:ascii="微软雅黑" w:hAnsi="微软雅黑" w:eastAsia="微软雅黑" w:cs="微软雅黑"/>
                <w:b/>
                <w:spacing w:val="-1"/>
                <w:sz w:val="18"/>
                <w:szCs w:val="18"/>
              </w:rPr>
              <w:t>替尼（Alectinib）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布吉他滨（Brigatinib）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b/>
                <w:bCs/>
                <w:spacing w:val="-1"/>
                <w:sz w:val="18"/>
                <w:szCs w:val="18"/>
              </w:rPr>
              <w:t>劳拉替尼（Lorlatinib）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spacing w:val="-1"/>
                <w:sz w:val="18"/>
                <w:szCs w:val="18"/>
              </w:rPr>
              <w:t>恩沙替尼</w:t>
            </w:r>
            <w:r>
              <w:rPr>
                <w:rFonts w:hint="eastAsia" w:ascii="微软雅黑" w:hAnsi="微软雅黑" w:eastAsia="微软雅黑" w:cs="微软雅黑"/>
                <w:b/>
                <w:spacing w:val="-1"/>
                <w:sz w:val="18"/>
                <w:szCs w:val="18"/>
                <w:lang w:eastAsia="zh-CN"/>
              </w:rPr>
              <w:t>（</w:t>
            </w:r>
            <w:r>
              <w:rPr>
                <w:rFonts w:hint="eastAsia" w:ascii="微软雅黑" w:hAnsi="微软雅黑" w:eastAsia="微软雅黑" w:cs="微软雅黑"/>
                <w:b/>
                <w:bCs/>
                <w:spacing w:val="-1"/>
                <w:sz w:val="18"/>
                <w:szCs w:val="18"/>
              </w:rPr>
              <w:t>Ensartinib</w:t>
            </w:r>
            <w:r>
              <w:rPr>
                <w:rFonts w:hint="eastAsia" w:ascii="微软雅黑" w:hAnsi="微软雅黑" w:eastAsia="微软雅黑" w:cs="微软雅黑"/>
                <w:b/>
                <w:bCs/>
                <w:spacing w:val="-1"/>
                <w:sz w:val="18"/>
                <w:szCs w:val="18"/>
                <w:lang w:eastAsia="zh-CN"/>
              </w:rPr>
              <w:t>）</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NMPA批准用于非小细胞肺癌</w:t>
            </w:r>
            <w:r>
              <w:rPr>
                <w:rFonts w:hint="eastAsia" w:ascii="微软雅黑" w:hAnsi="微软雅黑" w:eastAsia="微软雅黑" w:cs="微软雅黑"/>
                <w:spacing w:val="-1"/>
                <w:sz w:val="18"/>
                <w:szCs w:val="18"/>
                <w:lang w:eastAsia="zh-CN"/>
              </w:rPr>
              <w:t>）；</w:t>
            </w:r>
          </w:p>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EGFR抑制剂：</w:t>
            </w:r>
            <w:r>
              <w:rPr>
                <w:rFonts w:hint="eastAsia" w:ascii="微软雅黑" w:hAnsi="微软雅黑" w:eastAsia="微软雅黑" w:cs="微软雅黑"/>
                <w:b/>
                <w:spacing w:val="-1"/>
                <w:sz w:val="18"/>
                <w:szCs w:val="18"/>
              </w:rPr>
              <w:t>厄洛替尼（Erlotinib）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吉非替尼（Gefitinib）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阿法替尼（Afatinib）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达</w:t>
            </w:r>
            <w:r>
              <w:rPr>
                <w:rFonts w:hint="eastAsia" w:ascii="微软雅黑" w:hAnsi="微软雅黑" w:eastAsia="微软雅黑" w:cs="微软雅黑"/>
                <w:b/>
                <w:spacing w:val="-1"/>
                <w:sz w:val="18"/>
                <w:szCs w:val="18"/>
                <w:lang w:val="en-US" w:eastAsia="zh-CN"/>
              </w:rPr>
              <w:t>克</w:t>
            </w:r>
            <w:r>
              <w:rPr>
                <w:rFonts w:hint="eastAsia" w:ascii="微软雅黑" w:hAnsi="微软雅黑" w:eastAsia="微软雅黑" w:cs="微软雅黑"/>
                <w:b/>
                <w:spacing w:val="-1"/>
                <w:sz w:val="18"/>
                <w:szCs w:val="18"/>
              </w:rPr>
              <w:t>替尼（Dacomitinib）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奥希替尼（Osimertinib）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埃克替尼（Icotinib）</w:t>
            </w:r>
            <w:r>
              <w:rPr>
                <w:rFonts w:hint="eastAsia" w:ascii="微软雅黑" w:hAnsi="微软雅黑" w:eastAsia="微软雅黑" w:cs="微软雅黑"/>
                <w:spacing w:val="-1"/>
                <w:sz w:val="18"/>
                <w:szCs w:val="18"/>
              </w:rPr>
              <w:t>（NMPA批准用于非小细胞肺癌）</w:t>
            </w:r>
          </w:p>
        </w:tc>
        <w:tc>
          <w:tcPr>
            <w:tcW w:w="3862" w:type="dxa"/>
            <w:tcBorders>
              <w:tl2br w:val="nil"/>
              <w:tr2bl w:val="nil"/>
            </w:tcBorders>
            <w:vAlign w:val="center"/>
          </w:tcPr>
          <w:p>
            <w:pPr>
              <w:keepNext w:val="0"/>
              <w:keepLines w:val="0"/>
              <w:suppressLineNumbers w:val="0"/>
              <w:spacing w:before="19" w:beforeAutospacing="0" w:after="0" w:afterAutospacing="0"/>
              <w:ind w:left="0" w:right="62"/>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在非小细胞肺癌中，ALK融合对ALK TKIs药物克唑替尼、</w:t>
            </w:r>
            <w:r>
              <w:rPr>
                <w:rFonts w:hint="eastAsia" w:ascii="微软雅黑" w:hAnsi="微软雅黑" w:eastAsia="微软雅黑" w:cs="微软雅黑"/>
                <w:spacing w:val="-1"/>
                <w:sz w:val="18"/>
                <w:szCs w:val="18"/>
                <w:lang w:val="en-US" w:eastAsia="zh-CN"/>
              </w:rPr>
              <w:t>色</w:t>
            </w:r>
            <w:r>
              <w:rPr>
                <w:rFonts w:hint="eastAsia" w:ascii="微软雅黑" w:hAnsi="微软雅黑" w:eastAsia="微软雅黑" w:cs="微软雅黑"/>
                <w:spacing w:val="-1"/>
                <w:sz w:val="18"/>
                <w:szCs w:val="18"/>
                <w:lang w:eastAsia="zh-CN"/>
              </w:rPr>
              <w:t>瑞替尼、阿来替尼、布吉他滨、劳拉替尼、恩沙替尼敏感；对EGFR TKIs药物埃克替尼、厄洛替尼、吉非替尼、阿法替尼、奥希替尼、达</w:t>
            </w:r>
            <w:r>
              <w:rPr>
                <w:rFonts w:hint="eastAsia" w:ascii="微软雅黑" w:hAnsi="微软雅黑" w:eastAsia="微软雅黑" w:cs="微软雅黑"/>
                <w:spacing w:val="-1"/>
                <w:sz w:val="18"/>
                <w:szCs w:val="18"/>
                <w:lang w:val="en-US" w:eastAsia="zh-CN"/>
              </w:rPr>
              <w:t>克</w:t>
            </w:r>
            <w:r>
              <w:rPr>
                <w:rFonts w:hint="eastAsia" w:ascii="微软雅黑" w:hAnsi="微软雅黑" w:eastAsia="微软雅黑" w:cs="微软雅黑"/>
                <w:spacing w:val="-1"/>
                <w:sz w:val="18"/>
                <w:szCs w:val="18"/>
                <w:lang w:eastAsia="zh-CN"/>
              </w:rPr>
              <w:t>替尼产生耐药性；ALK酪氨酸激酶结构域关键位点（包含1151Tins、L1152R、C1156Y、F1174L、L1196M、G1202R、S1206Y、G1269A、F1174V、F1245C）发生突变会导致对一代ALK抑制剂克唑替尼产生耐药性，L1196M、G1269A、I1171T、S1206Y位点突变对二代ALK抑制剂</w:t>
            </w:r>
            <w:r>
              <w:rPr>
                <w:rFonts w:hint="eastAsia" w:ascii="微软雅黑" w:hAnsi="微软雅黑" w:eastAsia="微软雅黑" w:cs="微软雅黑"/>
                <w:spacing w:val="-1"/>
                <w:sz w:val="18"/>
                <w:szCs w:val="18"/>
                <w:lang w:val="en-US" w:eastAsia="zh-CN"/>
              </w:rPr>
              <w:t>色</w:t>
            </w:r>
            <w:r>
              <w:rPr>
                <w:rFonts w:hint="eastAsia" w:ascii="微软雅黑" w:hAnsi="微软雅黑" w:eastAsia="微软雅黑" w:cs="微软雅黑"/>
                <w:spacing w:val="-1"/>
                <w:sz w:val="18"/>
                <w:szCs w:val="18"/>
                <w:lang w:eastAsia="zh-CN"/>
              </w:rPr>
              <w:t>瑞替尼敏感，L1196M、G1269A、C1156Y、F1174L、1151Tins、L1152R位点突变对二代ALK抑制剂阿来替尼敏感。炎症性肌纤维母细胞瘤中，ALK融合对克唑替尼、</w:t>
            </w:r>
            <w:r>
              <w:rPr>
                <w:rFonts w:hint="eastAsia" w:ascii="微软雅黑" w:hAnsi="微软雅黑" w:eastAsia="微软雅黑" w:cs="微软雅黑"/>
                <w:spacing w:val="-1"/>
                <w:sz w:val="18"/>
                <w:szCs w:val="18"/>
                <w:lang w:val="en-US" w:eastAsia="zh-CN"/>
              </w:rPr>
              <w:t>色</w:t>
            </w:r>
            <w:r>
              <w:rPr>
                <w:rFonts w:hint="eastAsia" w:ascii="微软雅黑" w:hAnsi="微软雅黑" w:eastAsia="微软雅黑" w:cs="微软雅黑"/>
                <w:spacing w:val="-1"/>
                <w:sz w:val="18"/>
                <w:szCs w:val="18"/>
                <w:lang w:eastAsia="zh-CN"/>
              </w:rPr>
              <w:t>瑞替尼、布吉他滨敏感；间变性大细胞淋巴瘤中，ALK融合对克唑替尼敏感。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5078"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BRAF</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突变</w:t>
            </w:r>
          </w:p>
        </w:tc>
        <w:tc>
          <w:tcPr>
            <w:tcW w:w="4634"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BRAF抑制剂：</w:t>
            </w:r>
            <w:r>
              <w:rPr>
                <w:rFonts w:hint="eastAsia" w:ascii="微软雅黑" w:hAnsi="微软雅黑" w:eastAsia="微软雅黑" w:cs="微软雅黑"/>
                <w:b/>
                <w:spacing w:val="-1"/>
                <w:sz w:val="18"/>
                <w:szCs w:val="18"/>
                <w:lang w:eastAsia="zh-CN" w:bidi="ar"/>
              </w:rPr>
              <w:t>维莫非尼（Vemurafenib）</w:t>
            </w:r>
            <w:r>
              <w:rPr>
                <w:rFonts w:hint="eastAsia" w:ascii="微软雅黑" w:hAnsi="微软雅黑" w:eastAsia="微软雅黑" w:cs="微软雅黑"/>
                <w:spacing w:val="-1"/>
                <w:sz w:val="18"/>
                <w:szCs w:val="18"/>
                <w:lang w:eastAsia="zh-CN" w:bidi="ar"/>
              </w:rPr>
              <w:t>（FDA/NMPA批准用于黑色素瘤；FDA批准用于埃德海姆-切斯特病）、</w:t>
            </w:r>
            <w:r>
              <w:rPr>
                <w:rFonts w:hint="eastAsia" w:ascii="微软雅黑" w:hAnsi="微软雅黑" w:eastAsia="微软雅黑" w:cs="微软雅黑"/>
                <w:b/>
                <w:spacing w:val="-1"/>
                <w:sz w:val="18"/>
                <w:szCs w:val="18"/>
                <w:lang w:eastAsia="zh-CN" w:bidi="ar"/>
              </w:rPr>
              <w:t>达拉非尼（Dabrafenib）</w:t>
            </w:r>
            <w:r>
              <w:rPr>
                <w:rFonts w:hint="eastAsia" w:ascii="微软雅黑" w:hAnsi="微软雅黑" w:eastAsia="微软雅黑" w:cs="微软雅黑"/>
                <w:spacing w:val="-1"/>
                <w:sz w:val="18"/>
                <w:szCs w:val="18"/>
                <w:lang w:eastAsia="zh-CN" w:bidi="ar"/>
              </w:rPr>
              <w:t>（FDA批准用于黑色素瘤）；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MEK抑制剂：</w:t>
            </w:r>
            <w:r>
              <w:rPr>
                <w:rFonts w:hint="eastAsia" w:ascii="微软雅黑" w:hAnsi="微软雅黑" w:eastAsia="微软雅黑" w:cs="微软雅黑"/>
                <w:b/>
                <w:spacing w:val="-1"/>
                <w:sz w:val="18"/>
                <w:szCs w:val="18"/>
                <w:lang w:eastAsia="zh-CN" w:bidi="ar"/>
              </w:rPr>
              <w:t>曲美替尼（Trametinib）</w:t>
            </w:r>
            <w:r>
              <w:rPr>
                <w:rFonts w:hint="eastAsia" w:ascii="微软雅黑" w:hAnsi="微软雅黑" w:eastAsia="微软雅黑" w:cs="微软雅黑"/>
                <w:spacing w:val="-1"/>
                <w:sz w:val="18"/>
                <w:szCs w:val="18"/>
                <w:lang w:eastAsia="zh-CN" w:bidi="ar"/>
              </w:rPr>
              <w:t>（FDA批准用于黑色素瘤）；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z w:val="18"/>
                <w:szCs w:val="18"/>
                <w:lang w:eastAsia="zh-CN"/>
              </w:rPr>
            </w:pPr>
            <w:r>
              <w:rPr>
                <w:rFonts w:hint="eastAsia" w:ascii="微软雅黑" w:hAnsi="微软雅黑" w:eastAsia="微软雅黑" w:cs="微软雅黑"/>
                <w:b/>
                <w:spacing w:val="-1"/>
                <w:sz w:val="18"/>
                <w:szCs w:val="18"/>
                <w:lang w:eastAsia="zh-CN" w:bidi="ar"/>
              </w:rPr>
              <w:t>曲美替尼+达拉非尼（Dabrafenib+Trametinib）</w:t>
            </w:r>
            <w:r>
              <w:rPr>
                <w:rFonts w:hint="eastAsia" w:ascii="微软雅黑" w:hAnsi="微软雅黑" w:eastAsia="微软雅黑" w:cs="微软雅黑"/>
                <w:spacing w:val="-1"/>
                <w:sz w:val="18"/>
                <w:szCs w:val="18"/>
                <w:lang w:eastAsia="zh-CN" w:bidi="ar"/>
              </w:rPr>
              <w:t>（FDA批准用于非小细胞肺癌、甲状腺癌；FDA/NMPA批准用于黑色素瘤）；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康奈非尼+贝美替尼（Encorafenib+Binimetinib）</w:t>
            </w:r>
            <w:r>
              <w:rPr>
                <w:rFonts w:hint="eastAsia" w:ascii="微软雅黑" w:hAnsi="微软雅黑" w:eastAsia="微软雅黑" w:cs="微软雅黑"/>
                <w:spacing w:val="-1"/>
                <w:sz w:val="18"/>
                <w:szCs w:val="18"/>
                <w:lang w:eastAsia="zh-CN" w:bidi="ar"/>
              </w:rPr>
              <w:t>（FDA批准用于黑色素瘤）；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b/>
                <w:spacing w:val="-1"/>
                <w:sz w:val="18"/>
                <w:szCs w:val="18"/>
                <w:lang w:eastAsia="zh-CN" w:bidi="ar"/>
              </w:rPr>
              <w:t>考比替尼+维莫非尼（Cobimetinib+Vemurafenib）</w:t>
            </w:r>
            <w:r>
              <w:rPr>
                <w:rFonts w:hint="eastAsia" w:ascii="微软雅黑" w:hAnsi="微软雅黑" w:eastAsia="微软雅黑" w:cs="微软雅黑"/>
                <w:spacing w:val="-1"/>
                <w:sz w:val="18"/>
                <w:szCs w:val="18"/>
                <w:lang w:eastAsia="zh-CN" w:bidi="ar"/>
              </w:rPr>
              <w:t>（FDA批准用于黑色素瘤）；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b/>
                <w:bCs/>
                <w:spacing w:val="-1"/>
                <w:sz w:val="18"/>
                <w:szCs w:val="18"/>
                <w:lang w:eastAsia="zh-CN"/>
              </w:rPr>
              <w:t>司美替尼（</w:t>
            </w:r>
            <w:r>
              <w:rPr>
                <w:rFonts w:hint="eastAsia" w:ascii="微软雅黑" w:hAnsi="微软雅黑" w:eastAsia="微软雅黑" w:cs="微软雅黑"/>
                <w:spacing w:val="-1"/>
                <w:sz w:val="18"/>
                <w:szCs w:val="18"/>
                <w:lang w:eastAsia="zh-CN"/>
              </w:rPr>
              <w:t>NCCN指南推荐用于胶质瘤）；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b/>
                <w:spacing w:val="-1"/>
                <w:sz w:val="18"/>
                <w:szCs w:val="18"/>
                <w:lang w:eastAsia="zh-CN"/>
              </w:rPr>
            </w:pPr>
            <w:r>
              <w:rPr>
                <w:rFonts w:hint="eastAsia" w:ascii="微软雅黑" w:hAnsi="微软雅黑" w:eastAsia="微软雅黑" w:cs="微软雅黑"/>
                <w:b/>
                <w:spacing w:val="-1"/>
                <w:sz w:val="18"/>
                <w:szCs w:val="18"/>
                <w:lang w:eastAsia="zh-CN" w:bidi="ar"/>
              </w:rPr>
              <w:t>阿替利珠单抗+考比替尼+维莫非尼（Atezolizumab+Cobimetinib+Vemurafenib）</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（FDA批准用于黑色素瘤）；</w:t>
            </w:r>
          </w:p>
        </w:tc>
        <w:tc>
          <w:tcPr>
            <w:tcW w:w="3862" w:type="dxa"/>
            <w:tcBorders>
              <w:tl2br w:val="nil"/>
              <w:tr2bl w:val="nil"/>
            </w:tcBorders>
            <w:vAlign w:val="center"/>
          </w:tcPr>
          <w:p>
            <w:pPr>
              <w:keepNext w:val="0"/>
              <w:keepLines w:val="0"/>
              <w:suppressLineNumbers w:val="0"/>
              <w:spacing w:before="19" w:beforeAutospacing="0" w:after="0" w:afterAutospacing="0"/>
              <w:ind w:left="0" w:right="62"/>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肺癌中，BRAF V600E突变对BRAF抑制剂维莫非尼、达拉非尼敏感；黑色素瘤中，BRAF V600突变对BRAF抑制剂维莫非尼、达拉非尼敏感，携带BRAF V600突变的患者对贝美替尼敏感，BRAF V600E/K突变的患者对康奈非尼+贝美替尼、考比替尼+维莫非尼、曲美替尼+达拉非尼、阿替利珠单抗+考比替尼+维莫非尼敏感；在结直肠癌中，BRAF V600E突变的患者对康奈非尼+帕尼单抗、康奈非尼+西妥昔单抗、康奈非尼+贝美替尼+西妥昔单抗、</w:t>
            </w:r>
            <w:r>
              <w:rPr>
                <w:rFonts w:hint="eastAsia" w:ascii="微软雅黑" w:hAnsi="微软雅黑" w:eastAsia="微软雅黑" w:cs="微软雅黑"/>
                <w:spacing w:val="-1"/>
                <w:sz w:val="18"/>
                <w:szCs w:val="18"/>
                <w:lang w:eastAsia="zh-CN"/>
              </w:rPr>
              <w:t>维莫非尼+伊立替康+西妥昔单抗</w:t>
            </w:r>
            <w:r>
              <w:rPr>
                <w:rFonts w:hint="eastAsia" w:ascii="微软雅黑" w:hAnsi="微软雅黑" w:eastAsia="微软雅黑" w:cs="微软雅黑"/>
                <w:spacing w:val="-1"/>
                <w:sz w:val="18"/>
                <w:szCs w:val="18"/>
                <w:lang w:eastAsia="zh-CN" w:bidi="ar"/>
              </w:rPr>
              <w:t>敏感，携带B</w:t>
            </w:r>
            <w:r>
              <w:rPr>
                <w:rFonts w:hint="eastAsia" w:ascii="微软雅黑" w:hAnsi="微软雅黑" w:eastAsia="微软雅黑" w:cs="微软雅黑"/>
                <w:color w:val="000000"/>
                <w:spacing w:val="-1"/>
                <w:sz w:val="18"/>
                <w:szCs w:val="18"/>
                <w:lang w:eastAsia="zh-CN" w:bidi="ar"/>
              </w:rPr>
              <w:t>RAF V600的患者对维莫非尼+西妥昔单抗敏感</w:t>
            </w:r>
            <w:r>
              <w:rPr>
                <w:rFonts w:hint="eastAsia" w:ascii="微软雅黑" w:hAnsi="微软雅黑" w:eastAsia="微软雅黑" w:cs="微软雅黑"/>
                <w:spacing w:val="-1"/>
                <w:sz w:val="18"/>
                <w:szCs w:val="18"/>
                <w:lang w:eastAsia="zh-CN" w:bidi="ar"/>
              </w:rPr>
              <w:t>，携带BRAF V600的患者使用帕尼单抗、西妥昔单抗产生耐药性；对于BRAF V600激活突变（包括V600E、V600K、V600R、V600D等）的转移性黑色素瘤患者，BRAF/MEK抑制剂组合（达拉非尼+曲美替尼或维莫非尼+考比替尼）优于BRAF抑制剂单药治疗；</w:t>
            </w:r>
          </w:p>
        </w:tc>
      </w:tr>
    </w:tbl>
    <w:tbl>
      <w:tblPr>
        <w:tblStyle w:val="10"/>
        <w:tblpPr w:leftFromText="180" w:rightFromText="180" w:vertAnchor="text" w:horzAnchor="page" w:tblpXSpec="center" w:tblpY="224"/>
        <w:tblOverlap w:val="never"/>
        <w:tblW w:w="1011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929"/>
        <w:gridCol w:w="688"/>
        <w:gridCol w:w="4634"/>
        <w:gridCol w:w="38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94"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40" w:lineRule="auto"/>
              <w:ind w:left="0" w:leftChars="0" w:right="0" w:firstLine="0" w:firstLineChars="0"/>
              <w:jc w:val="left"/>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基因</w:t>
            </w:r>
          </w:p>
        </w:tc>
        <w:tc>
          <w:tcPr>
            <w:tcW w:w="688" w:type="dxa"/>
            <w:tcBorders>
              <w:tl2br w:val="nil"/>
              <w:tr2bl w:val="nil"/>
            </w:tcBorders>
            <w:vAlign w:val="center"/>
          </w:tcPr>
          <w:p>
            <w:pPr>
              <w:keepNext w:val="0"/>
              <w:keepLines w:val="0"/>
              <w:suppressLineNumbers w:val="0"/>
              <w:spacing w:before="0" w:beforeAutospacing="0" w:after="0" w:afterAutospacing="0" w:line="206" w:lineRule="exact"/>
              <w:ind w:left="0" w:right="0"/>
              <w:jc w:val="center"/>
              <w:rPr>
                <w:rFonts w:hint="eastAsia" w:ascii="微软雅黑" w:hAnsi="微软雅黑" w:eastAsia="微软雅黑" w:cs="微软雅黑"/>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检测内容</w:t>
            </w:r>
          </w:p>
        </w:tc>
        <w:tc>
          <w:tcPr>
            <w:tcW w:w="4634" w:type="dxa"/>
            <w:tcBorders>
              <w:tl2br w:val="nil"/>
              <w:tr2bl w:val="nil"/>
            </w:tcBorders>
            <w:vAlign w:val="center"/>
          </w:tcPr>
          <w:p>
            <w:pPr>
              <w:keepNext w:val="0"/>
              <w:keepLines w:val="0"/>
              <w:suppressLineNumbers w:val="0"/>
              <w:tabs>
                <w:tab w:val="left" w:pos="562"/>
              </w:tabs>
              <w:spacing w:before="0" w:beforeAutospacing="0" w:after="0" w:afterAutospacing="0" w:line="206" w:lineRule="exact"/>
              <w:ind w:left="-2" w:leftChars="-1" w:right="0"/>
              <w:jc w:val="center"/>
              <w:rPr>
                <w:rFonts w:hint="eastAsia" w:ascii="微软雅黑" w:hAnsi="微软雅黑" w:eastAsia="微软雅黑" w:cs="微软雅黑"/>
                <w:color w:val="2E75B6" w:themeColor="accent1" w:themeShade="BF"/>
                <w:spacing w:val="-1"/>
                <w:sz w:val="18"/>
                <w:szCs w:val="18"/>
                <w:lang w:eastAsia="zh-CN" w:bidi="ar"/>
              </w:rPr>
            </w:pPr>
            <w:r>
              <w:rPr>
                <w:rFonts w:hint="eastAsia" w:ascii="微软雅黑" w:hAnsi="微软雅黑" w:eastAsia="微软雅黑" w:cs="微软雅黑"/>
                <w:b/>
                <w:bCs/>
                <w:color w:val="2E75B6" w:themeColor="accent1" w:themeShade="BF"/>
                <w:sz w:val="18"/>
                <w:szCs w:val="18"/>
              </w:rPr>
              <w:t>靶向药物</w:t>
            </w:r>
          </w:p>
        </w:tc>
        <w:tc>
          <w:tcPr>
            <w:tcW w:w="3862" w:type="dxa"/>
            <w:tcBorders>
              <w:tl2br w:val="nil"/>
              <w:tr2bl w:val="nil"/>
            </w:tcBorders>
            <w:vAlign w:val="center"/>
          </w:tcPr>
          <w:p>
            <w:pPr>
              <w:keepNext w:val="0"/>
              <w:keepLines w:val="0"/>
              <w:suppressLineNumbers w:val="0"/>
              <w:spacing w:before="0" w:beforeAutospacing="0" w:after="0" w:afterAutospacing="0" w:line="206" w:lineRule="exact"/>
              <w:ind w:left="365" w:leftChars="0" w:right="0"/>
              <w:jc w:val="center"/>
              <w:rPr>
                <w:rFonts w:hint="eastAsia" w:ascii="微软雅黑" w:hAnsi="微软雅黑" w:eastAsia="微软雅黑" w:cs="微软雅黑"/>
                <w:color w:val="2E75B6" w:themeColor="accent1" w:themeShade="BF"/>
                <w:spacing w:val="-1"/>
                <w:sz w:val="18"/>
                <w:szCs w:val="18"/>
                <w:lang w:eastAsia="zh-CN" w:bidi="ar"/>
              </w:rPr>
            </w:pPr>
            <w:r>
              <w:rPr>
                <w:rFonts w:hint="eastAsia" w:ascii="微软雅黑" w:hAnsi="微软雅黑" w:eastAsia="微软雅黑" w:cs="微软雅黑"/>
                <w:b/>
                <w:bCs/>
                <w:color w:val="2E75B6" w:themeColor="accent1" w:themeShade="BF"/>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341"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BRAF</w:t>
            </w:r>
          </w:p>
        </w:tc>
        <w:tc>
          <w:tcPr>
            <w:tcW w:w="688" w:type="dxa"/>
            <w:tcBorders>
              <w:tl2br w:val="nil"/>
              <w:tr2bl w:val="nil"/>
            </w:tcBorders>
            <w:vAlign w:val="center"/>
          </w:tcPr>
          <w:p>
            <w:pPr>
              <w:keepNext w:val="0"/>
              <w:keepLines w:val="0"/>
              <w:suppressLineNumbers w:val="0"/>
              <w:spacing w:before="161"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634" w:type="dxa"/>
            <w:tcBorders>
              <w:tl2br w:val="nil"/>
              <w:tr2bl w:val="nil"/>
            </w:tcBorders>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达拉非尼+曲美替尼+帕博利珠单抗（NCCN指南推荐用于皮肤黑色素瘤）；</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康奈非尼+帕尼单抗（Encorafenib+Panitumumab）（NCCN指南推荐用于结直肠癌）；</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康奈非尼+西妥昔单抗（Encorafenib +Cetuximab）</w:t>
            </w:r>
            <w:r>
              <w:rPr>
                <w:rFonts w:hint="eastAsia" w:ascii="微软雅黑" w:hAnsi="微软雅黑" w:eastAsia="微软雅黑" w:cs="微软雅黑"/>
                <w:spacing w:val="-1"/>
                <w:sz w:val="18"/>
                <w:szCs w:val="18"/>
                <w:lang w:eastAsia="zh-CN" w:bidi="ar"/>
              </w:rPr>
              <w:t>（FDA批准用于结直肠癌）；</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康奈非尼+贝美替尼+西妥昔单抗</w:t>
            </w:r>
          </w:p>
          <w:p>
            <w:pPr>
              <w:keepNext w:val="0"/>
              <w:keepLines w:val="0"/>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（Encorafenib+Binimetinib+Cetuximab）（临床III期）；</w:t>
            </w:r>
          </w:p>
          <w:p>
            <w:pPr>
              <w:keepNext w:val="0"/>
              <w:keepLines w:val="0"/>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维莫非尼+伊立替康+西妥昔单抗</w:t>
            </w:r>
          </w:p>
          <w:p>
            <w:pPr>
              <w:keepNext w:val="0"/>
              <w:keepLines w:val="0"/>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rPr>
              <w:t>（Vemurafenib+Irinotecan+Cetuximab）（临床II期）</w:t>
            </w:r>
            <w:r>
              <w:rPr>
                <w:rFonts w:hint="eastAsia" w:ascii="微软雅黑" w:hAnsi="微软雅黑" w:eastAsia="微软雅黑" w:cs="微软雅黑"/>
                <w:spacing w:val="-1"/>
                <w:sz w:val="18"/>
                <w:szCs w:val="18"/>
                <w:lang w:eastAsia="zh-CN"/>
              </w:rPr>
              <w:t>；</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p>
        </w:tc>
        <w:tc>
          <w:tcPr>
            <w:tcW w:w="3862" w:type="dxa"/>
            <w:tcBorders>
              <w:tl2br w:val="nil"/>
              <w:tr2bl w:val="nil"/>
            </w:tcBorders>
            <w:vAlign w:val="center"/>
          </w:tcPr>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在非小细胞肺癌中，达拉非尼联合曲美替尼可作为具有BRAF V600E突变的非小细胞肺癌患者的一线治疗方案，联合治疗不耐受的患者建议使用单药达拉非尼或维莫非尼进行治疗；BRAF V600E或V600K突变的不可手术切除的转移黑色素瘤对曲美替尼联合达拉非尼敏感；BRAF V600E或V600K突变的黑色素瘤对考比替尼联合维莫非尼敏感。</w:t>
            </w:r>
            <w:r>
              <w:rPr>
                <w:rFonts w:hint="eastAsia" w:ascii="微软雅黑" w:hAnsi="微软雅黑" w:eastAsia="微软雅黑" w:cs="微软雅黑"/>
                <w:spacing w:val="-1"/>
                <w:sz w:val="18"/>
                <w:szCs w:val="18"/>
                <w:lang w:eastAsia="zh-CN"/>
              </w:rPr>
              <w:t>在胶质瘤中，携带BRAF V600激活突变和BRAF融合突变的患者对司美替尼敏感。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90"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EGFR</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634" w:type="dxa"/>
            <w:tcBorders>
              <w:tl2br w:val="nil"/>
              <w:tr2bl w:val="nil"/>
            </w:tcBorders>
            <w:vAlign w:val="center"/>
          </w:tcPr>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EGFR抑制剂：</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w:t>
            </w:r>
            <w:r>
              <w:rPr>
                <w:rFonts w:hint="eastAsia" w:ascii="微软雅黑" w:hAnsi="微软雅黑" w:eastAsia="微软雅黑" w:cs="微软雅黑"/>
                <w:b/>
                <w:spacing w:val="-1"/>
                <w:sz w:val="18"/>
                <w:szCs w:val="18"/>
                <w:lang w:val="en-US" w:eastAsia="zh-CN" w:bidi="ar"/>
              </w:rPr>
              <w:t>克</w:t>
            </w:r>
            <w:r>
              <w:rPr>
                <w:rFonts w:hint="eastAsia" w:ascii="微软雅黑" w:hAnsi="微软雅黑" w:eastAsia="微软雅黑" w:cs="微软雅黑"/>
                <w:b/>
                <w:spacing w:val="-1"/>
                <w:sz w:val="18"/>
                <w:szCs w:val="18"/>
                <w:lang w:eastAsia="zh-CN" w:bidi="ar"/>
              </w:rPr>
              <w:t>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埃克替尼（Icotinib）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阿美替尼（Almonertinib）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伏美替尼（Furmonertinib）</w:t>
            </w:r>
            <w:r>
              <w:rPr>
                <w:rFonts w:hint="eastAsia" w:ascii="微软雅黑" w:hAnsi="微软雅黑" w:eastAsia="微软雅黑" w:cs="微软雅黑"/>
                <w:spacing w:val="-1"/>
                <w:sz w:val="18"/>
                <w:szCs w:val="18"/>
                <w:lang w:eastAsia="zh-CN" w:bidi="ar"/>
              </w:rPr>
              <w:t>(NMPA批准用于非小细胞肺癌)；</w:t>
            </w:r>
          </w:p>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
                <w:bCs/>
                <w:spacing w:val="-1"/>
                <w:sz w:val="18"/>
                <w:szCs w:val="18"/>
                <w:lang w:eastAsia="zh-CN"/>
              </w:rPr>
              <w:t>Amivantamab</w:t>
            </w:r>
            <w:r>
              <w:rPr>
                <w:rFonts w:hint="eastAsia" w:ascii="微软雅黑" w:hAnsi="微软雅黑" w:eastAsia="微软雅黑" w:cs="微软雅黑"/>
                <w:spacing w:val="-1"/>
                <w:sz w:val="18"/>
                <w:szCs w:val="18"/>
                <w:lang w:eastAsia="zh-CN"/>
              </w:rPr>
              <w:t>（FDA批准用于非小细胞肺癌）；</w:t>
            </w:r>
          </w:p>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
                <w:spacing w:val="-1"/>
                <w:sz w:val="18"/>
                <w:szCs w:val="18"/>
                <w:lang w:eastAsia="zh-CN" w:bidi="ar"/>
              </w:rPr>
              <w:t>奈西单抗+吉西他滨+顺铂（Necitumumab+ Gemcitabine+Cisplatin）</w:t>
            </w:r>
            <w:r>
              <w:rPr>
                <w:rFonts w:hint="eastAsia" w:ascii="微软雅黑" w:hAnsi="微软雅黑" w:eastAsia="微软雅黑" w:cs="微软雅黑"/>
                <w:spacing w:val="-1"/>
                <w:sz w:val="18"/>
                <w:szCs w:val="18"/>
                <w:lang w:eastAsia="zh-CN" w:bidi="ar"/>
              </w:rPr>
              <w:t>（FDA批准用于肺鳞癌）；</w:t>
            </w:r>
          </w:p>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厄洛替尼+雷莫芦单抗（Erlotinib+Ramucirumab）</w:t>
            </w:r>
            <w:r>
              <w:rPr>
                <w:rFonts w:hint="eastAsia" w:ascii="微软雅黑" w:hAnsi="微软雅黑" w:eastAsia="微软雅黑" w:cs="微软雅黑"/>
                <w:spacing w:val="-1"/>
                <w:sz w:val="18"/>
                <w:szCs w:val="18"/>
                <w:lang w:eastAsia="zh-CN" w:bidi="ar"/>
              </w:rPr>
              <w:t>（FDA批准用于非小细胞肺癌）；</w:t>
            </w:r>
          </w:p>
          <w:p>
            <w:pPr>
              <w:keepNext w:val="0"/>
              <w:keepLines w:val="0"/>
              <w:suppressLineNumbers w:val="0"/>
              <w:spacing w:before="19" w:beforeAutospacing="0" w:after="0" w:afterAutospacing="0"/>
              <w:ind w:left="0" w:right="-6"/>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厄洛替尼+贝伐珠单抗（Erlotinib+Bevacizumab）（NCCN推荐用于非鳞非小细胞肺癌、肾癌）；</w:t>
            </w:r>
          </w:p>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凡德他尼+多西他赛（Vandetanib+Docetaxel）（临床III期）；Poziotinib（临床II期）；</w:t>
            </w:r>
          </w:p>
          <w:p>
            <w:pPr>
              <w:keepNext w:val="0"/>
              <w:keepLines w:val="0"/>
              <w:suppressLineNumbers w:val="0"/>
              <w:spacing w:before="19" w:beforeAutospacing="0" w:after="0" w:afterAutospacing="0"/>
              <w:ind w:left="0" w:right="-6" w:rightChars="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tc>
        <w:tc>
          <w:tcPr>
            <w:tcW w:w="3862"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z w:val="18"/>
                <w:szCs w:val="18"/>
                <w:lang w:eastAsia="zh-CN" w:bidi="ar"/>
              </w:rPr>
              <w:t>在非小细胞肺癌中，EGFR敏感突变（L858R、19外显子插入或缺失、L861Q、G719X、S768I等）对EGFR TKIs（吉非替尼、厄洛替尼、埃克替尼、达</w:t>
            </w:r>
            <w:r>
              <w:rPr>
                <w:rFonts w:hint="eastAsia" w:ascii="微软雅黑" w:hAnsi="微软雅黑" w:eastAsia="微软雅黑" w:cs="微软雅黑"/>
                <w:sz w:val="18"/>
                <w:szCs w:val="18"/>
                <w:lang w:val="en-US" w:eastAsia="zh-CN" w:bidi="ar"/>
              </w:rPr>
              <w:t>克</w:t>
            </w:r>
            <w:r>
              <w:rPr>
                <w:rFonts w:hint="eastAsia" w:ascii="微软雅黑" w:hAnsi="微软雅黑" w:eastAsia="微软雅黑" w:cs="微软雅黑"/>
                <w:sz w:val="18"/>
                <w:szCs w:val="18"/>
                <w:lang w:eastAsia="zh-CN" w:bidi="ar"/>
              </w:rPr>
              <w:t>替尼）、厄洛替尼+雷莫芦单抗敏感，EGFR T790M对EGFR TKIs产生耐药性，但EGFR T790M对EGFR TKIs（奥希替尼、阿美替尼、伏美替尼）敏感，携带EGFR 20号外显子插入突变的患者对Poziotinib、</w:t>
            </w:r>
            <w:r>
              <w:rPr>
                <w:rFonts w:hint="eastAsia" w:ascii="微软雅黑" w:hAnsi="微软雅黑" w:eastAsia="微软雅黑" w:cs="微软雅黑"/>
                <w:spacing w:val="-1"/>
                <w:sz w:val="18"/>
                <w:szCs w:val="18"/>
                <w:lang w:eastAsia="zh-CN"/>
              </w:rPr>
              <w:t>Amivantamab</w:t>
            </w:r>
            <w:r>
              <w:rPr>
                <w:rFonts w:hint="eastAsia" w:ascii="微软雅黑" w:hAnsi="微软雅黑" w:eastAsia="微软雅黑" w:cs="微软雅黑"/>
                <w:sz w:val="18"/>
                <w:szCs w:val="18"/>
                <w:lang w:eastAsia="zh-CN" w:bidi="ar"/>
              </w:rPr>
              <w:t>敏感，EGFR扩增的患者对凡德他尼+多西他赛敏感；在非鳞非小细胞肺癌中，EGFR敏感突变对</w:t>
            </w:r>
            <w:r>
              <w:rPr>
                <w:rFonts w:hint="eastAsia" w:ascii="微软雅黑" w:hAnsi="微软雅黑" w:eastAsia="微软雅黑" w:cs="微软雅黑"/>
                <w:spacing w:val="-1"/>
                <w:sz w:val="18"/>
                <w:szCs w:val="18"/>
                <w:lang w:eastAsia="zh-CN" w:bidi="ar"/>
              </w:rPr>
              <w:t>厄洛替尼+贝伐珠单抗敏感；</w:t>
            </w:r>
            <w:r>
              <w:rPr>
                <w:rFonts w:hint="eastAsia" w:ascii="微软雅黑" w:hAnsi="微软雅黑" w:eastAsia="微软雅黑" w:cs="微软雅黑"/>
                <w:sz w:val="18"/>
                <w:szCs w:val="18"/>
                <w:lang w:eastAsia="zh-CN" w:bidi="ar"/>
              </w:rPr>
              <w:t>在结直肠癌中，EGFR扩增的患者对帕尼单抗敏感；在胶质瘤中，EGFR扩增的患者对西妥昔单抗敏感；在肺鳞癌中，EGFR扩增的患者对奈西单抗+吉西他滨+顺铂敏感。</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p>
    <w:tbl>
      <w:tblPr>
        <w:tblStyle w:val="11"/>
        <w:tblpPr w:leftFromText="180" w:rightFromText="180" w:vertAnchor="text" w:horzAnchor="page" w:tblpXSpec="center" w:tblpY="224"/>
        <w:tblOverlap w:val="never"/>
        <w:tblW w:w="1011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929"/>
        <w:gridCol w:w="688"/>
        <w:gridCol w:w="4634"/>
        <w:gridCol w:w="38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77" w:hRule="exact"/>
          <w:tblHeader/>
          <w:jc w:val="center"/>
        </w:trPr>
        <w:tc>
          <w:tcPr>
            <w:tcW w:w="929"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基因</w:t>
            </w:r>
          </w:p>
        </w:tc>
        <w:tc>
          <w:tcPr>
            <w:tcW w:w="688" w:type="dxa"/>
            <w:tcBorders>
              <w:tl2br w:val="nil"/>
              <w:tr2bl w:val="nil"/>
            </w:tcBorders>
            <w:vAlign w:val="center"/>
          </w:tcPr>
          <w:p>
            <w:pPr>
              <w:keepNext w:val="0"/>
              <w:keepLines w:val="0"/>
              <w:suppressLineNumbers w:val="0"/>
              <w:spacing w:before="0" w:beforeAutospacing="0" w:after="0" w:afterAutospacing="0" w:line="206" w:lineRule="exact"/>
              <w:ind w:left="0"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检测内容</w:t>
            </w:r>
          </w:p>
        </w:tc>
        <w:tc>
          <w:tcPr>
            <w:tcW w:w="4634" w:type="dxa"/>
            <w:tcBorders>
              <w:tl2br w:val="nil"/>
              <w:tr2bl w:val="nil"/>
            </w:tcBorders>
            <w:shd w:val="clear" w:color="auto" w:fill="auto"/>
            <w:vAlign w:val="center"/>
          </w:tcPr>
          <w:p>
            <w:pPr>
              <w:keepNext w:val="0"/>
              <w:keepLines w:val="0"/>
              <w:suppressLineNumbers w:val="0"/>
              <w:tabs>
                <w:tab w:val="left" w:pos="562"/>
              </w:tabs>
              <w:spacing w:before="0" w:beforeAutospacing="0" w:after="0" w:afterAutospacing="0" w:line="206" w:lineRule="exact"/>
              <w:ind w:left="-2" w:leftChars="-1"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靶向药物</w:t>
            </w:r>
          </w:p>
        </w:tc>
        <w:tc>
          <w:tcPr>
            <w:tcW w:w="3862"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365" w:right="0"/>
              <w:jc w:val="center"/>
              <w:rPr>
                <w:rFonts w:hint="eastAsia" w:ascii="微软雅黑" w:hAnsi="微软雅黑" w:eastAsia="微软雅黑" w:cs="微软雅黑"/>
                <w:b/>
                <w:bCs/>
                <w:color w:val="2E75B6" w:themeColor="accent1" w:themeShade="BF"/>
                <w:sz w:val="18"/>
                <w:szCs w:val="18"/>
                <w:lang w:eastAsia="zh-CN"/>
              </w:rPr>
            </w:pPr>
            <w:r>
              <w:rPr>
                <w:rFonts w:hint="eastAsia" w:ascii="微软雅黑" w:hAnsi="微软雅黑" w:eastAsia="微软雅黑" w:cs="微软雅黑"/>
                <w:b/>
                <w:bCs/>
                <w:color w:val="2E75B6" w:themeColor="accent1" w:themeShade="BF"/>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5078"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ERBB2</w:t>
            </w:r>
          </w:p>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（HER2）</w:t>
            </w:r>
          </w:p>
        </w:tc>
        <w:tc>
          <w:tcPr>
            <w:tcW w:w="688" w:type="dxa"/>
            <w:tcBorders>
              <w:tl2br w:val="nil"/>
              <w:tr2bl w:val="nil"/>
            </w:tcBorders>
            <w:vAlign w:val="center"/>
          </w:tcPr>
          <w:p>
            <w:pPr>
              <w:keepNext w:val="0"/>
              <w:keepLines w:val="0"/>
              <w:suppressLineNumbers w:val="0"/>
              <w:spacing w:before="161"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1"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7"/>
                <w:szCs w:val="17"/>
              </w:rPr>
              <w:t>扩增</w:t>
            </w:r>
          </w:p>
        </w:tc>
        <w:tc>
          <w:tcPr>
            <w:tcW w:w="4634"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奈拉替尼（Neratinib）</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Cs/>
                <w:spacing w:val="-1"/>
                <w:sz w:val="18"/>
                <w:szCs w:val="18"/>
                <w:lang w:eastAsia="zh-CN" w:bidi="ar"/>
              </w:rPr>
              <w:t>拉帕替尼（Lapatinib）</w:t>
            </w:r>
            <w:r>
              <w:rPr>
                <w:rFonts w:hint="eastAsia" w:ascii="微软雅黑" w:hAnsi="微软雅黑" w:eastAsia="微软雅黑" w:cs="微软雅黑"/>
                <w:spacing w:val="-1"/>
                <w:sz w:val="18"/>
                <w:szCs w:val="18"/>
                <w:lang w:eastAsia="zh-CN" w:bidi="ar"/>
              </w:rPr>
              <w:t>（NCCN指南推荐用于乳腺癌）；</w:t>
            </w:r>
          </w:p>
          <w:p>
            <w:pPr>
              <w:keepNext w:val="0"/>
              <w:keepLines w:val="0"/>
              <w:suppressLineNumbers w:val="0"/>
              <w:spacing w:before="0" w:beforeAutospacing="0" w:after="0" w:afterAutospacing="0"/>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bidi="ar"/>
              </w:rPr>
              <w:t>曲妥珠单抗+帕妥珠单抗+透明质酸酶</w:t>
            </w:r>
          </w:p>
          <w:p>
            <w:pPr>
              <w:keepNext w:val="0"/>
              <w:keepLines w:val="0"/>
              <w:suppressLineNumbers w:val="0"/>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spacing w:val="-1"/>
                <w:sz w:val="18"/>
                <w:szCs w:val="18"/>
                <w:lang w:eastAsia="zh-CN" w:bidi="ar"/>
              </w:rPr>
              <w:t>（Trastuzumab+Pertuzumab+Hyaluronidase）（</w:t>
            </w:r>
            <w:r>
              <w:rPr>
                <w:rFonts w:hint="eastAsia" w:ascii="微软雅黑" w:hAnsi="微软雅黑" w:eastAsia="微软雅黑" w:cs="微软雅黑"/>
                <w:bCs/>
                <w:spacing w:val="-1"/>
                <w:sz w:val="18"/>
                <w:szCs w:val="18"/>
                <w:lang w:eastAsia="zh-CN" w:bidi="ar"/>
              </w:rPr>
              <w:t>NCCN指南推荐用于乳腺癌</w:t>
            </w:r>
            <w:r>
              <w:rPr>
                <w:rFonts w:hint="eastAsia" w:ascii="微软雅黑" w:hAnsi="微软雅黑" w:eastAsia="微软雅黑" w:cs="微软雅黑"/>
                <w:spacing w:val="-1"/>
                <w:sz w:val="18"/>
                <w:szCs w:val="18"/>
                <w:lang w:eastAsia="zh-CN" w:bidi="ar"/>
              </w:rPr>
              <w:t>）；</w:t>
            </w:r>
          </w:p>
          <w:p>
            <w:pPr>
              <w:keepNext w:val="0"/>
              <w:keepLines w:val="0"/>
              <w:suppressLineNumbers w:val="0"/>
              <w:spacing w:before="0" w:beforeAutospacing="0" w:after="0" w:afterAutospacing="0"/>
              <w:ind w:left="0" w:right="0"/>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Cs/>
                <w:spacing w:val="-1"/>
                <w:sz w:val="18"/>
                <w:szCs w:val="18"/>
                <w:lang w:eastAsia="zh-CN" w:bidi="ar"/>
              </w:rPr>
              <w:t>EGFR抑制剂：</w:t>
            </w:r>
            <w:r>
              <w:rPr>
                <w:rFonts w:hint="eastAsia" w:ascii="微软雅黑" w:hAnsi="微软雅黑" w:eastAsia="微软雅黑" w:cs="微软雅黑"/>
                <w:b/>
                <w:bCs/>
                <w:spacing w:val="-1"/>
                <w:sz w:val="18"/>
                <w:szCs w:val="18"/>
                <w:lang w:eastAsia="zh-CN" w:bidi="ar"/>
              </w:rPr>
              <w:t>埃克替尼</w:t>
            </w:r>
            <w:r>
              <w:rPr>
                <w:rFonts w:hint="eastAsia" w:ascii="微软雅黑" w:hAnsi="微软雅黑" w:eastAsia="微软雅黑" w:cs="微软雅黑"/>
                <w:b/>
                <w:spacing w:val="-1"/>
                <w:sz w:val="18"/>
                <w:szCs w:val="18"/>
                <w:lang w:eastAsia="zh-CN" w:bidi="ar"/>
              </w:rPr>
              <w:t>（Icotinib）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w:t>
            </w:r>
            <w:r>
              <w:rPr>
                <w:rFonts w:hint="eastAsia" w:ascii="微软雅黑" w:hAnsi="微软雅黑" w:eastAsia="微软雅黑" w:cs="微软雅黑"/>
                <w:b/>
                <w:spacing w:val="-1"/>
                <w:sz w:val="18"/>
                <w:szCs w:val="18"/>
                <w:lang w:val="en-US" w:eastAsia="zh-CN" w:bidi="ar"/>
              </w:rPr>
              <w:t>克</w:t>
            </w:r>
            <w:r>
              <w:rPr>
                <w:rFonts w:hint="eastAsia" w:ascii="微软雅黑" w:hAnsi="微软雅黑" w:eastAsia="微软雅黑" w:cs="微软雅黑"/>
                <w:b/>
                <w:spacing w:val="-1"/>
                <w:sz w:val="18"/>
                <w:szCs w:val="18"/>
                <w:lang w:eastAsia="zh-CN" w:bidi="ar"/>
              </w:rPr>
              <w:t>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p>
          <w:p>
            <w:pPr>
              <w:keepNext w:val="0"/>
              <w:keepLines w:val="0"/>
              <w:suppressLineNumbers w:val="0"/>
              <w:spacing w:before="19" w:beforeAutospacing="0" w:after="0" w:afterAutospacing="0"/>
              <w:ind w:left="0" w:right="-6"/>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曲妥珠单抗（Trastuzumab）</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恩美曲妥珠单抗（Ado-trastuzumab emtansine）</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曲妥珠单抗+帕妥珠单抗+多西他赛（Trastuzumab+Pertuzumab+Docetaxel）</w:t>
            </w:r>
            <w:r>
              <w:rPr>
                <w:rFonts w:hint="eastAsia" w:ascii="微软雅黑" w:hAnsi="微软雅黑" w:eastAsia="微软雅黑" w:cs="微软雅黑"/>
                <w:spacing w:val="-1"/>
                <w:sz w:val="18"/>
                <w:szCs w:val="18"/>
                <w:lang w:eastAsia="zh-CN" w:bidi="ar"/>
              </w:rPr>
              <w:t>（FDA批准用于乳腺癌）、</w:t>
            </w:r>
            <w:r>
              <w:rPr>
                <w:rFonts w:hint="eastAsia" w:ascii="微软雅黑" w:hAnsi="微软雅黑" w:eastAsia="微软雅黑" w:cs="微软雅黑"/>
                <w:b/>
                <w:spacing w:val="-1"/>
                <w:sz w:val="18"/>
                <w:szCs w:val="18"/>
                <w:lang w:eastAsia="zh-CN" w:bidi="ar"/>
              </w:rPr>
              <w:t>Trastuzumab deruxtecan</w:t>
            </w:r>
            <w:r>
              <w:rPr>
                <w:rFonts w:hint="eastAsia" w:ascii="微软雅黑" w:hAnsi="微软雅黑" w:eastAsia="微软雅黑" w:cs="微软雅黑"/>
                <w:bCs/>
                <w:spacing w:val="-1"/>
                <w:sz w:val="18"/>
                <w:szCs w:val="18"/>
                <w:lang w:eastAsia="zh-CN" w:bidi="ar"/>
              </w:rPr>
              <w:t>（FDA批准用于乳腺癌、胃癌、胃食管结合腺癌）、</w:t>
            </w:r>
            <w:r>
              <w:rPr>
                <w:rFonts w:hint="eastAsia" w:ascii="微软雅黑" w:hAnsi="微软雅黑" w:eastAsia="微软雅黑" w:cs="微软雅黑"/>
                <w:b/>
                <w:spacing w:val="-1"/>
                <w:sz w:val="18"/>
                <w:szCs w:val="18"/>
                <w:lang w:eastAsia="zh-CN" w:bidi="ar"/>
              </w:rPr>
              <w:t>拉帕替尼+卡培他滨（Lapatinib+Capecitabine）</w:t>
            </w:r>
            <w:r>
              <w:rPr>
                <w:rFonts w:hint="eastAsia" w:ascii="微软雅黑" w:hAnsi="微软雅黑" w:eastAsia="微软雅黑" w:cs="微软雅黑"/>
                <w:bCs/>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奈拉替尼+卡培他滨（Neratinib+Capecitabine）</w:t>
            </w:r>
            <w:r>
              <w:rPr>
                <w:rFonts w:hint="eastAsia" w:ascii="微软雅黑" w:hAnsi="微软雅黑" w:eastAsia="微软雅黑" w:cs="微软雅黑"/>
                <w:bCs/>
                <w:spacing w:val="-1"/>
                <w:sz w:val="18"/>
                <w:szCs w:val="18"/>
                <w:lang w:eastAsia="zh-CN" w:bidi="ar"/>
              </w:rPr>
              <w:t>（FDA批准用于乳腺癌）、</w:t>
            </w:r>
            <w:r>
              <w:rPr>
                <w:rFonts w:hint="eastAsia" w:ascii="微软雅黑" w:hAnsi="微软雅黑" w:eastAsia="微软雅黑" w:cs="微软雅黑"/>
                <w:b/>
                <w:spacing w:val="-1"/>
                <w:sz w:val="18"/>
                <w:szCs w:val="18"/>
                <w:lang w:eastAsia="zh-CN" w:bidi="ar"/>
              </w:rPr>
              <w:t>Tucatinib+曲妥珠单抗+卡培他滨（Tucatinib+Trastuzumab+Capecitabine）</w:t>
            </w:r>
            <w:r>
              <w:rPr>
                <w:rFonts w:hint="eastAsia" w:ascii="微软雅黑" w:hAnsi="微软雅黑" w:eastAsia="微软雅黑" w:cs="微软雅黑"/>
                <w:bCs/>
                <w:spacing w:val="-1"/>
                <w:sz w:val="18"/>
                <w:szCs w:val="18"/>
                <w:lang w:eastAsia="zh-CN" w:bidi="ar"/>
              </w:rPr>
              <w:t>（FDA批准用于乳腺癌）、</w:t>
            </w:r>
            <w:r>
              <w:rPr>
                <w:rFonts w:hint="eastAsia" w:ascii="微软雅黑" w:hAnsi="微软雅黑" w:eastAsia="微软雅黑" w:cs="微软雅黑"/>
                <w:b/>
                <w:spacing w:val="-1"/>
                <w:sz w:val="18"/>
                <w:szCs w:val="18"/>
                <w:lang w:eastAsia="zh-CN"/>
              </w:rPr>
              <w:t>Margetuximab+化疗</w:t>
            </w:r>
            <w:r>
              <w:rPr>
                <w:rFonts w:hint="eastAsia" w:ascii="微软雅黑" w:hAnsi="微软雅黑" w:eastAsia="微软雅黑" w:cs="微软雅黑"/>
                <w:spacing w:val="-1"/>
                <w:sz w:val="18"/>
                <w:szCs w:val="18"/>
              </w:rPr>
              <w:t>（FDA批准用于乳腺癌）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bCs/>
                <w:spacing w:val="-1"/>
                <w:sz w:val="18"/>
                <w:szCs w:val="18"/>
                <w:lang w:eastAsia="zh-CN"/>
              </w:rPr>
              <w:t>伊尼妥单抗（Inetetamab）+</w:t>
            </w:r>
            <w:r>
              <w:rPr>
                <w:rFonts w:hint="eastAsia" w:ascii="微软雅黑" w:hAnsi="微软雅黑" w:eastAsia="微软雅黑" w:cs="微软雅黑"/>
                <w:b/>
                <w:spacing w:val="-1"/>
                <w:sz w:val="18"/>
                <w:szCs w:val="18"/>
                <w:lang w:eastAsia="zh-CN"/>
              </w:rPr>
              <w:t>化疗</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NMPA</w:t>
            </w:r>
            <w:r>
              <w:rPr>
                <w:rFonts w:hint="eastAsia" w:ascii="微软雅黑" w:hAnsi="微软雅黑" w:eastAsia="微软雅黑" w:cs="微软雅黑"/>
                <w:spacing w:val="-1"/>
                <w:sz w:val="18"/>
                <w:szCs w:val="18"/>
              </w:rPr>
              <w:t>批准用于乳腺癌）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spacing w:val="-1"/>
                <w:sz w:val="18"/>
                <w:szCs w:val="18"/>
                <w:lang w:eastAsia="zh-CN" w:bidi="ar"/>
              </w:rPr>
              <w:t>曲妥珠单抗+顺铂+卡培他滨（Trastuzumab+Cisplatin+Capecitabine）</w:t>
            </w:r>
            <w:r>
              <w:rPr>
                <w:rFonts w:hint="eastAsia" w:ascii="微软雅黑" w:hAnsi="微软雅黑" w:eastAsia="微软雅黑" w:cs="微软雅黑"/>
                <w:bCs/>
                <w:spacing w:val="-1"/>
                <w:sz w:val="18"/>
                <w:szCs w:val="18"/>
                <w:lang w:eastAsia="zh-CN" w:bidi="ar"/>
              </w:rPr>
              <w:t>（FDA/NMPA批准用于胃癌、胃食管结合腺癌）、</w:t>
            </w:r>
            <w:r>
              <w:rPr>
                <w:rFonts w:hint="eastAsia" w:ascii="微软雅黑" w:hAnsi="微软雅黑" w:eastAsia="微软雅黑" w:cs="微软雅黑"/>
                <w:b/>
                <w:spacing w:val="-1"/>
                <w:sz w:val="18"/>
                <w:szCs w:val="18"/>
                <w:lang w:eastAsia="zh-CN" w:bidi="ar"/>
              </w:rPr>
              <w:t>曲妥珠单抗+顺铂+氟尿嘧啶（Trastuzumab+Cisplatin+5-Fluorouracil）</w:t>
            </w:r>
            <w:r>
              <w:rPr>
                <w:rFonts w:hint="eastAsia" w:ascii="微软雅黑" w:hAnsi="微软雅黑" w:eastAsia="微软雅黑" w:cs="微软雅黑"/>
                <w:bCs/>
                <w:spacing w:val="-1"/>
                <w:sz w:val="18"/>
                <w:szCs w:val="18"/>
                <w:lang w:eastAsia="zh-CN" w:bidi="ar"/>
              </w:rPr>
              <w:t>（FDA/NMPA批准用于胃癌、胃食管结合腺癌）、曲妥珠单抗+拉帕替尼（Trastuzumab+Lapatinib）（NCCN指南推荐用于乳腺癌、结直肠癌）、曲妥珠单抗+长春瑞滨（Trastuzumab+Vinorelbine）（NCCN指南推荐用于乳腺癌）、卡铂+紫杉醇+曲妥珠单抗（Carboplatin+Paclitaxel+Trastuzumab）（NCCN指南推荐用于子宫内膜癌、乳腺癌、子宫癌）</w:t>
            </w:r>
          </w:p>
        </w:tc>
        <w:tc>
          <w:tcPr>
            <w:tcW w:w="3862"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在乳腺癌中，HER2扩增对紫杉醇+曲妥珠单抗+多柔比星+环磷酰胺、多西他赛+环磷酰胺+曲妥珠单抗、曲妥珠单抗 + 帕妥珠单抗 + 透明质酸酶、</w:t>
            </w:r>
            <w:r>
              <w:rPr>
                <w:rFonts w:hint="eastAsia" w:ascii="微软雅黑" w:hAnsi="微软雅黑" w:eastAsia="微软雅黑" w:cs="微软雅黑"/>
                <w:bCs/>
                <w:spacing w:val="-1"/>
                <w:sz w:val="18"/>
                <w:szCs w:val="18"/>
                <w:lang w:eastAsia="zh-CN" w:bidi="ar"/>
              </w:rPr>
              <w:t>曲妥珠单抗+帕妥珠单抗+多西他赛</w:t>
            </w:r>
            <w:r>
              <w:rPr>
                <w:rFonts w:hint="eastAsia" w:ascii="微软雅黑" w:hAnsi="微软雅黑" w:eastAsia="微软雅黑" w:cs="微软雅黑"/>
                <w:spacing w:val="-1"/>
                <w:sz w:val="18"/>
                <w:szCs w:val="18"/>
                <w:lang w:eastAsia="zh-CN" w:bidi="ar"/>
              </w:rPr>
              <w:t>、曲妥珠单抗、</w:t>
            </w:r>
            <w:r>
              <w:rPr>
                <w:rFonts w:hint="eastAsia" w:ascii="微软雅黑" w:hAnsi="微软雅黑" w:eastAsia="微软雅黑" w:cs="微软雅黑"/>
                <w:bCs/>
                <w:spacing w:val="-1"/>
                <w:sz w:val="18"/>
                <w:szCs w:val="18"/>
                <w:lang w:eastAsia="zh-CN" w:bidi="ar"/>
              </w:rPr>
              <w:t>恩美曲妥珠单抗</w:t>
            </w:r>
            <w:r>
              <w:rPr>
                <w:rFonts w:hint="eastAsia" w:ascii="微软雅黑" w:hAnsi="微软雅黑" w:eastAsia="微软雅黑" w:cs="微软雅黑"/>
                <w:spacing w:val="-1"/>
                <w:sz w:val="18"/>
                <w:szCs w:val="18"/>
                <w:lang w:eastAsia="zh-CN" w:bidi="ar"/>
              </w:rPr>
              <w:t>、曲妥珠单抗+拉帕替尼、Trastuzumab deruxtecan、奈拉替尼、曲妥珠单抗+长春瑞滨、拉帕替尼+卡培他滨、卡铂+紫杉醇+曲妥珠单抗、</w:t>
            </w:r>
            <w:r>
              <w:rPr>
                <w:rFonts w:hint="eastAsia" w:ascii="微软雅黑" w:hAnsi="微软雅黑" w:eastAsia="微软雅黑" w:cs="微软雅黑"/>
                <w:bCs/>
                <w:spacing w:val="-1"/>
                <w:sz w:val="18"/>
                <w:szCs w:val="18"/>
                <w:lang w:eastAsia="zh-CN" w:bidi="ar"/>
              </w:rPr>
              <w:t>奈拉替尼</w:t>
            </w:r>
            <w:r>
              <w:rPr>
                <w:rFonts w:hint="eastAsia" w:ascii="微软雅黑" w:hAnsi="微软雅黑" w:eastAsia="微软雅黑" w:cs="微软雅黑"/>
                <w:spacing w:val="-1"/>
                <w:sz w:val="18"/>
                <w:szCs w:val="18"/>
                <w:lang w:eastAsia="zh-CN" w:bidi="ar"/>
              </w:rPr>
              <w:t>+卡培他滨、曲妥珠单抗+卡培他滨、</w:t>
            </w:r>
            <w:r>
              <w:rPr>
                <w:rFonts w:hint="eastAsia" w:ascii="微软雅黑" w:hAnsi="微软雅黑" w:eastAsia="微软雅黑" w:cs="微软雅黑"/>
                <w:spacing w:val="-1"/>
                <w:sz w:val="18"/>
                <w:szCs w:val="18"/>
                <w:lang w:eastAsia="zh-CN"/>
              </w:rPr>
              <w:t>Margetuximab+化疗、伊尼妥单抗+化疗、</w:t>
            </w:r>
            <w:r>
              <w:rPr>
                <w:rFonts w:hint="eastAsia" w:ascii="微软雅黑" w:hAnsi="微软雅黑" w:eastAsia="微软雅黑" w:cs="微软雅黑"/>
                <w:spacing w:val="-1"/>
                <w:sz w:val="18"/>
                <w:szCs w:val="18"/>
                <w:lang w:eastAsia="zh-CN" w:bidi="ar"/>
              </w:rPr>
              <w:t>曲妥珠单抗+帕妥珠单抗+紫杉醇</w:t>
            </w:r>
            <w:r>
              <w:rPr>
                <w:rFonts w:hint="eastAsia" w:ascii="微软雅黑" w:hAnsi="微软雅黑" w:eastAsia="微软雅黑" w:cs="微软雅黑"/>
                <w:bCs/>
                <w:spacing w:val="-1"/>
                <w:sz w:val="18"/>
                <w:szCs w:val="18"/>
                <w:lang w:eastAsia="zh-CN" w:bidi="ar"/>
              </w:rPr>
              <w:t>、他莫昔芬+曲妥珠单抗、氟维司群+曲妥珠单抗</w:t>
            </w:r>
            <w:r>
              <w:rPr>
                <w:rFonts w:hint="eastAsia" w:ascii="微软雅黑" w:hAnsi="微软雅黑" w:eastAsia="微软雅黑" w:cs="微软雅黑"/>
                <w:spacing w:val="-1"/>
                <w:sz w:val="18"/>
                <w:szCs w:val="18"/>
                <w:lang w:eastAsia="zh-CN" w:bidi="ar"/>
              </w:rPr>
              <w:t>敏感；在非小细胞肺癌中，HER2突变对</w:t>
            </w:r>
            <w:r>
              <w:rPr>
                <w:rFonts w:hint="eastAsia" w:ascii="微软雅黑" w:hAnsi="微软雅黑" w:eastAsia="微软雅黑" w:cs="微软雅黑"/>
                <w:bCs/>
                <w:spacing w:val="-1"/>
                <w:sz w:val="18"/>
                <w:szCs w:val="18"/>
                <w:lang w:eastAsia="zh-CN" w:bidi="ar"/>
              </w:rPr>
              <w:t>恩美曲妥珠单抗和Trastuzumab deruxtecan</w:t>
            </w:r>
            <w:r>
              <w:rPr>
                <w:rFonts w:hint="eastAsia" w:ascii="微软雅黑" w:hAnsi="微软雅黑" w:eastAsia="微软雅黑" w:cs="微软雅黑"/>
                <w:spacing w:val="-1"/>
                <w:sz w:val="18"/>
                <w:szCs w:val="18"/>
                <w:lang w:eastAsia="zh-CN" w:bidi="ar"/>
              </w:rPr>
              <w:t>敏感,HER2 20号外显子插入突变对吡咯替尼敏感,但HER2突变对埃克替尼、厄洛替尼、吉非替尼、阿法替尼、达</w:t>
            </w:r>
            <w:r>
              <w:rPr>
                <w:rFonts w:hint="eastAsia" w:ascii="微软雅黑" w:hAnsi="微软雅黑" w:eastAsia="微软雅黑" w:cs="微软雅黑"/>
                <w:spacing w:val="-1"/>
                <w:sz w:val="18"/>
                <w:szCs w:val="18"/>
                <w:lang w:val="en-US" w:eastAsia="zh-CN" w:bidi="ar"/>
              </w:rPr>
              <w:t>克</w:t>
            </w:r>
            <w:r>
              <w:rPr>
                <w:rFonts w:hint="eastAsia" w:ascii="微软雅黑" w:hAnsi="微软雅黑" w:eastAsia="微软雅黑" w:cs="微软雅黑"/>
                <w:spacing w:val="-1"/>
                <w:sz w:val="18"/>
                <w:szCs w:val="18"/>
                <w:lang w:eastAsia="zh-CN" w:bidi="ar"/>
              </w:rPr>
              <w:t>替尼、奥希替尼、西妥昔单抗、帕尼单抗耐药。在胃癌中，HER2扩增对</w:t>
            </w:r>
            <w:r>
              <w:rPr>
                <w:rFonts w:hint="eastAsia" w:ascii="微软雅黑" w:hAnsi="微软雅黑" w:eastAsia="微软雅黑" w:cs="微软雅黑"/>
                <w:bCs/>
                <w:spacing w:val="-1"/>
                <w:sz w:val="18"/>
                <w:szCs w:val="18"/>
                <w:lang w:eastAsia="zh-CN" w:bidi="ar"/>
              </w:rPr>
              <w:t>曲妥珠单抗+顺铂+卡培他滨、曲妥珠单抗+顺铂+氟尿嘧啶、</w:t>
            </w:r>
            <w:r>
              <w:rPr>
                <w:rFonts w:hint="eastAsia" w:ascii="微软雅黑" w:hAnsi="微软雅黑" w:eastAsia="微软雅黑" w:cs="微软雅黑"/>
                <w:spacing w:val="-1"/>
                <w:sz w:val="18"/>
                <w:szCs w:val="18"/>
                <w:lang w:eastAsia="zh-CN"/>
              </w:rPr>
              <w:t>帕博利珠单抗+曲妥珠单抗+铂类+氟嘧啶、</w:t>
            </w:r>
            <w:r>
              <w:rPr>
                <w:rFonts w:hint="eastAsia" w:ascii="微软雅黑" w:hAnsi="微软雅黑" w:eastAsia="微软雅黑" w:cs="微软雅黑"/>
                <w:bCs/>
                <w:spacing w:val="-1"/>
                <w:sz w:val="18"/>
                <w:szCs w:val="18"/>
                <w:lang w:eastAsia="zh-CN" w:bidi="ar"/>
              </w:rPr>
              <w:t>拉帕替尼+卡培他滨+奥沙利铂</w:t>
            </w:r>
            <w:r>
              <w:rPr>
                <w:rFonts w:hint="eastAsia" w:ascii="微软雅黑" w:hAnsi="微软雅黑" w:eastAsia="微软雅黑" w:cs="微软雅黑"/>
                <w:spacing w:val="-1"/>
                <w:sz w:val="18"/>
                <w:szCs w:val="18"/>
                <w:lang w:eastAsia="zh-CN" w:bidi="ar"/>
              </w:rPr>
              <w:t>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77" w:hRule="exact"/>
          <w:tblHeader/>
          <w:jc w:val="center"/>
        </w:trPr>
        <w:tc>
          <w:tcPr>
            <w:tcW w:w="929"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基因</w:t>
            </w:r>
          </w:p>
        </w:tc>
        <w:tc>
          <w:tcPr>
            <w:tcW w:w="688" w:type="dxa"/>
            <w:tcBorders>
              <w:tl2br w:val="nil"/>
              <w:tr2bl w:val="nil"/>
            </w:tcBorders>
            <w:vAlign w:val="center"/>
          </w:tcPr>
          <w:p>
            <w:pPr>
              <w:keepNext w:val="0"/>
              <w:keepLines w:val="0"/>
              <w:suppressLineNumbers w:val="0"/>
              <w:spacing w:before="0" w:beforeAutospacing="0" w:after="0" w:afterAutospacing="0" w:line="206" w:lineRule="exact"/>
              <w:ind w:left="0"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检测内容</w:t>
            </w:r>
          </w:p>
        </w:tc>
        <w:tc>
          <w:tcPr>
            <w:tcW w:w="4634" w:type="dxa"/>
            <w:tcBorders>
              <w:tl2br w:val="nil"/>
              <w:tr2bl w:val="nil"/>
            </w:tcBorders>
            <w:shd w:val="clear" w:color="auto" w:fill="auto"/>
            <w:vAlign w:val="center"/>
          </w:tcPr>
          <w:p>
            <w:pPr>
              <w:keepNext w:val="0"/>
              <w:keepLines w:val="0"/>
              <w:suppressLineNumbers w:val="0"/>
              <w:tabs>
                <w:tab w:val="left" w:pos="562"/>
              </w:tabs>
              <w:spacing w:before="0" w:beforeAutospacing="0" w:after="0" w:afterAutospacing="0" w:line="206" w:lineRule="exact"/>
              <w:ind w:left="-2" w:leftChars="-1"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靶向药物</w:t>
            </w:r>
          </w:p>
        </w:tc>
        <w:tc>
          <w:tcPr>
            <w:tcW w:w="3862"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365" w:right="0"/>
              <w:jc w:val="center"/>
              <w:rPr>
                <w:rFonts w:hint="eastAsia" w:ascii="微软雅黑" w:hAnsi="微软雅黑" w:eastAsia="微软雅黑" w:cs="微软雅黑"/>
                <w:b/>
                <w:bCs/>
                <w:color w:val="2E75B6" w:themeColor="accent1" w:themeShade="BF"/>
                <w:sz w:val="18"/>
                <w:szCs w:val="18"/>
                <w:lang w:eastAsia="zh-CN"/>
              </w:rPr>
            </w:pPr>
            <w:r>
              <w:rPr>
                <w:rFonts w:hint="eastAsia" w:ascii="微软雅黑" w:hAnsi="微软雅黑" w:eastAsia="微软雅黑" w:cs="微软雅黑"/>
                <w:b/>
                <w:bCs/>
                <w:color w:val="2E75B6" w:themeColor="accent1" w:themeShade="BF"/>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103"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ERBB2</w:t>
            </w:r>
          </w:p>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（HER2）</w:t>
            </w:r>
          </w:p>
        </w:tc>
        <w:tc>
          <w:tcPr>
            <w:tcW w:w="688" w:type="dxa"/>
            <w:tcBorders>
              <w:tl2br w:val="nil"/>
              <w:tr2bl w:val="nil"/>
            </w:tcBorders>
            <w:vAlign w:val="center"/>
          </w:tcPr>
          <w:p>
            <w:pPr>
              <w:keepNext w:val="0"/>
              <w:keepLines w:val="0"/>
              <w:suppressLineNumbers w:val="0"/>
              <w:spacing w:before="161"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1"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7"/>
                <w:szCs w:val="17"/>
              </w:rPr>
              <w:t>扩增</w:t>
            </w:r>
          </w:p>
        </w:tc>
        <w:tc>
          <w:tcPr>
            <w:tcW w:w="4634"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Cs/>
                <w:spacing w:val="-1"/>
                <w:sz w:val="18"/>
                <w:szCs w:val="18"/>
                <w:lang w:eastAsia="zh-CN" w:bidi="ar"/>
              </w:rPr>
              <w:t>曲妥珠单抗+卡培他滨（Trastuzumab+Capecitabine）（NCCN指南推荐用于乳腺癌）、他莫昔芬+曲妥珠单抗（NCCN指南推荐用于乳腺癌）、氟维司群+曲妥珠单抗（NCCN指南推荐用于乳腺癌）、</w:t>
            </w:r>
            <w:r>
              <w:rPr>
                <w:rFonts w:hint="eastAsia" w:ascii="微软雅黑" w:hAnsi="微软雅黑" w:eastAsia="微软雅黑" w:cs="微软雅黑"/>
                <w:bCs/>
                <w:spacing w:val="-1"/>
                <w:sz w:val="18"/>
                <w:szCs w:val="18"/>
                <w:lang w:bidi="ar"/>
              </w:rPr>
              <w:t>曲妥珠单抗+帕妥珠单抗+紫杉醇（Trastuzumab+Pertuzumab+Paclitaxel）（NCCN指南推荐用于乳腺癌）</w:t>
            </w:r>
            <w:r>
              <w:rPr>
                <w:rFonts w:hint="eastAsia" w:ascii="微软雅黑" w:hAnsi="微软雅黑" w:eastAsia="微软雅黑" w:cs="微软雅黑"/>
                <w:spacing w:val="-1"/>
                <w:sz w:val="18"/>
                <w:szCs w:val="18"/>
                <w:lang w:bidi="ar"/>
              </w:rPr>
              <w:t>、曲妥珠单抗+化疗（Trastuzumab+Chemotherapy）（NCCN指南推荐用于乳腺癌、胃腺癌）、</w:t>
            </w:r>
            <w:r>
              <w:rPr>
                <w:rFonts w:hint="eastAsia" w:ascii="微软雅黑" w:hAnsi="微软雅黑" w:eastAsia="微软雅黑" w:cs="微软雅黑"/>
                <w:spacing w:val="-1"/>
                <w:sz w:val="18"/>
                <w:szCs w:val="18"/>
              </w:rPr>
              <w:t>帕博利珠单抗+曲妥珠单抗+铂类+氟嘧啶</w:t>
            </w:r>
            <w:r>
              <w:rPr>
                <w:rFonts w:hint="eastAsia" w:ascii="微软雅黑" w:hAnsi="微软雅黑" w:eastAsia="微软雅黑" w:cs="微软雅黑"/>
                <w:spacing w:val="-1"/>
                <w:sz w:val="18"/>
                <w:szCs w:val="18"/>
                <w:lang w:eastAsia="zh-CN"/>
              </w:rPr>
              <w:t>（Pembrolizumab+Trastuzumab+Platinum+ Fluoropyrimidine）</w:t>
            </w:r>
            <w:r>
              <w:rPr>
                <w:rFonts w:hint="eastAsia" w:ascii="微软雅黑" w:hAnsi="微软雅黑" w:eastAsia="微软雅黑" w:cs="微软雅黑"/>
                <w:spacing w:val="-1"/>
                <w:sz w:val="18"/>
                <w:szCs w:val="18"/>
              </w:rPr>
              <w:t>（NCCN指南推荐用于胃腺癌）、</w:t>
            </w:r>
            <w:r>
              <w:rPr>
                <w:rFonts w:hint="eastAsia" w:ascii="微软雅黑" w:hAnsi="微软雅黑" w:eastAsia="微软雅黑" w:cs="微软雅黑"/>
                <w:bCs/>
                <w:spacing w:val="-1"/>
                <w:sz w:val="18"/>
                <w:szCs w:val="18"/>
                <w:lang w:bidi="ar"/>
              </w:rPr>
              <w:t>紫杉醇+曲妥珠单抗+多柔比星+环磷酰胺（Paclitaxel+Trastuzumab+Doxorubicin+ Cyclophosphamide）（临床III期）、拉帕替尼+卡培他滨+奥沙利铂（Lapatinib+Capecitabine+Oxaliplatin）</w:t>
            </w:r>
            <w:r>
              <w:rPr>
                <w:rFonts w:hint="eastAsia" w:ascii="微软雅黑" w:hAnsi="微软雅黑" w:eastAsia="微软雅黑" w:cs="微软雅黑"/>
                <w:bCs/>
                <w:spacing w:val="-1"/>
                <w:sz w:val="18"/>
                <w:szCs w:val="18"/>
                <w:lang w:eastAsia="zh-CN" w:bidi="ar"/>
              </w:rPr>
              <w:t>（临床III期）、</w:t>
            </w:r>
            <w:r>
              <w:rPr>
                <w:rFonts w:hint="eastAsia" w:ascii="微软雅黑" w:hAnsi="微软雅黑" w:eastAsia="微软雅黑" w:cs="微软雅黑"/>
                <w:spacing w:val="-1"/>
                <w:sz w:val="18"/>
                <w:szCs w:val="18"/>
                <w:lang w:eastAsia="zh-CN" w:bidi="ar"/>
              </w:rPr>
              <w:t>多西他赛+环磷酰胺+曲妥珠单抗</w:t>
            </w:r>
            <w:r>
              <w:rPr>
                <w:rFonts w:hint="eastAsia" w:ascii="微软雅黑" w:hAnsi="微软雅黑" w:eastAsia="微软雅黑" w:cs="微软雅黑"/>
                <w:spacing w:val="-1"/>
                <w:sz w:val="18"/>
                <w:szCs w:val="18"/>
                <w:lang w:bidi="ar"/>
              </w:rPr>
              <w:t>（Docetaxel+Cyclophosphamide+Trastuzumab）（临床II期）</w:t>
            </w:r>
            <w:r>
              <w:rPr>
                <w:rFonts w:hint="eastAsia" w:ascii="微软雅黑" w:hAnsi="微软雅黑" w:eastAsia="微软雅黑" w:cs="微软雅黑"/>
                <w:bCs/>
                <w:spacing w:val="-1"/>
                <w:sz w:val="18"/>
                <w:szCs w:val="18"/>
                <w:lang w:eastAsia="zh-CN" w:bidi="ar"/>
              </w:rPr>
              <w:t>、</w:t>
            </w:r>
            <w:r>
              <w:rPr>
                <w:rFonts w:hint="eastAsia" w:ascii="微软雅黑" w:hAnsi="微软雅黑" w:eastAsia="微软雅黑" w:cs="微软雅黑"/>
                <w:spacing w:val="-1"/>
                <w:sz w:val="18"/>
                <w:szCs w:val="18"/>
                <w:lang w:bidi="ar"/>
              </w:rPr>
              <w:t>吡咯替尼（Pyrotinib）（</w:t>
            </w:r>
            <w:r>
              <w:rPr>
                <w:rFonts w:hint="eastAsia" w:ascii="微软雅黑" w:hAnsi="微软雅黑" w:eastAsia="微软雅黑" w:cs="微软雅黑"/>
                <w:spacing w:val="-1"/>
                <w:sz w:val="18"/>
                <w:szCs w:val="18"/>
                <w:lang w:eastAsia="zh-CN" w:bidi="ar"/>
              </w:rPr>
              <w:t>临床II期</w:t>
            </w:r>
            <w:r>
              <w:rPr>
                <w:rFonts w:hint="eastAsia" w:ascii="微软雅黑" w:hAnsi="微软雅黑" w:eastAsia="微软雅黑" w:cs="微软雅黑"/>
                <w:spacing w:val="-1"/>
                <w:sz w:val="18"/>
                <w:szCs w:val="18"/>
                <w:lang w:bidi="ar"/>
              </w:rPr>
              <w:t>）</w:t>
            </w:r>
          </w:p>
        </w:tc>
        <w:tc>
          <w:tcPr>
            <w:tcW w:w="3862"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103"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KRAS</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7"/>
                <w:szCs w:val="17"/>
              </w:rPr>
            </w:pPr>
            <w:r>
              <w:rPr>
                <w:rFonts w:hint="eastAsia" w:ascii="微软雅黑" w:hAnsi="微软雅黑" w:eastAsia="微软雅黑" w:cs="微软雅黑"/>
                <w:sz w:val="18"/>
                <w:szCs w:val="18"/>
              </w:rPr>
              <w:t>突变</w:t>
            </w:r>
          </w:p>
        </w:tc>
        <w:tc>
          <w:tcPr>
            <w:tcW w:w="4634" w:type="dxa"/>
            <w:tcBorders>
              <w:tl2br w:val="nil"/>
              <w:tr2bl w:val="nil"/>
            </w:tcBorders>
            <w:vAlign w:val="center"/>
          </w:tcPr>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EGFR抑制剂：</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w:t>
            </w:r>
            <w:r>
              <w:rPr>
                <w:rFonts w:hint="eastAsia" w:ascii="微软雅黑" w:hAnsi="微软雅黑" w:eastAsia="微软雅黑" w:cs="微软雅黑"/>
                <w:b/>
                <w:spacing w:val="-1"/>
                <w:sz w:val="18"/>
                <w:szCs w:val="18"/>
                <w:lang w:val="en-US" w:eastAsia="zh-CN" w:bidi="ar"/>
              </w:rPr>
              <w:t>克</w:t>
            </w:r>
            <w:r>
              <w:rPr>
                <w:rFonts w:hint="eastAsia" w:ascii="微软雅黑" w:hAnsi="微软雅黑" w:eastAsia="微软雅黑" w:cs="微软雅黑"/>
                <w:b/>
                <w:spacing w:val="-1"/>
                <w:sz w:val="18"/>
                <w:szCs w:val="18"/>
                <w:lang w:eastAsia="zh-CN" w:bidi="ar"/>
              </w:rPr>
              <w:t>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埃克替尼（Icotinib）</w:t>
            </w:r>
            <w:r>
              <w:rPr>
                <w:rFonts w:hint="eastAsia" w:ascii="微软雅黑" w:hAnsi="微软雅黑" w:eastAsia="微软雅黑" w:cs="微软雅黑"/>
                <w:spacing w:val="-1"/>
                <w:sz w:val="18"/>
                <w:szCs w:val="18"/>
                <w:lang w:eastAsia="zh-CN" w:bidi="ar"/>
              </w:rPr>
              <w:t>（NMPA批准用于非小细胞肺癌）；</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Sotorasib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索拉非尼+卡铂+紫杉醇（Sorafenib+Carboplatin+Paclitaxel）（临床III期）；</w:t>
            </w:r>
          </w:p>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tc>
        <w:tc>
          <w:tcPr>
            <w:tcW w:w="3862" w:type="dxa"/>
            <w:tcBorders>
              <w:tl2br w:val="nil"/>
              <w:tr2bl w:val="nil"/>
            </w:tcBorders>
            <w:vAlign w:val="center"/>
          </w:tcPr>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结直肠癌中，KRAS野生型对EGFR抗体类药物西妥昔单抗和帕尼单抗敏感，12、13、61密码子突变导致KRAS信号通路持续激活，可能无法从EGFR抗体类药物获益；肺癌中，12、13、61密码子突变对EGFR TKI（吉非替尼、厄洛替尼、埃克替尼、阿法替尼等）的敏感性降低；</w:t>
            </w:r>
            <w:r>
              <w:rPr>
                <w:rFonts w:hint="eastAsia" w:ascii="微软雅黑" w:hAnsi="微软雅黑" w:eastAsia="微软雅黑" w:cs="微软雅黑"/>
                <w:spacing w:val="-1"/>
                <w:sz w:val="18"/>
                <w:szCs w:val="18"/>
                <w:lang w:eastAsia="zh-CN"/>
              </w:rPr>
              <w:t>非小细胞肺癌中，KRAS G12C突变的患者对</w:t>
            </w:r>
            <w:r>
              <w:rPr>
                <w:rFonts w:hint="eastAsia" w:ascii="微软雅黑" w:hAnsi="微软雅黑" w:eastAsia="微软雅黑" w:cs="微软雅黑"/>
                <w:spacing w:val="-1"/>
                <w:sz w:val="18"/>
                <w:szCs w:val="18"/>
              </w:rPr>
              <w:t>Sotorasib</w:t>
            </w:r>
            <w:r>
              <w:rPr>
                <w:rFonts w:hint="eastAsia" w:ascii="微软雅黑" w:hAnsi="微软雅黑" w:eastAsia="微软雅黑" w:cs="微软雅黑"/>
                <w:spacing w:val="-1"/>
                <w:sz w:val="18"/>
                <w:szCs w:val="18"/>
                <w:lang w:eastAsia="zh-CN"/>
              </w:rPr>
              <w:t>敏感；</w:t>
            </w:r>
            <w:r>
              <w:rPr>
                <w:rFonts w:hint="eastAsia" w:ascii="微软雅黑" w:hAnsi="微软雅黑" w:eastAsia="微软雅黑" w:cs="微软雅黑"/>
                <w:spacing w:val="-1"/>
                <w:sz w:val="18"/>
                <w:szCs w:val="18"/>
                <w:lang w:eastAsia="zh-CN" w:bidi="ar"/>
              </w:rPr>
              <w:t>黑色素瘤中，KRAS扩增的患者对索拉非尼+卡铂+紫杉醇敏感。</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tbl>
      <w:tblPr>
        <w:tblStyle w:val="11"/>
        <w:tblpPr w:leftFromText="180" w:rightFromText="180" w:vertAnchor="text" w:horzAnchor="page" w:tblpXSpec="center" w:tblpY="224"/>
        <w:tblOverlap w:val="never"/>
        <w:tblW w:w="1011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929"/>
        <w:gridCol w:w="688"/>
        <w:gridCol w:w="4634"/>
        <w:gridCol w:w="38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77" w:hRule="exact"/>
          <w:tblHeader/>
          <w:jc w:val="center"/>
        </w:trPr>
        <w:tc>
          <w:tcPr>
            <w:tcW w:w="929"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基因</w:t>
            </w:r>
          </w:p>
        </w:tc>
        <w:tc>
          <w:tcPr>
            <w:tcW w:w="688" w:type="dxa"/>
            <w:tcBorders>
              <w:tl2br w:val="nil"/>
              <w:tr2bl w:val="nil"/>
            </w:tcBorders>
            <w:vAlign w:val="center"/>
          </w:tcPr>
          <w:p>
            <w:pPr>
              <w:keepNext w:val="0"/>
              <w:keepLines w:val="0"/>
              <w:suppressLineNumbers w:val="0"/>
              <w:spacing w:before="0" w:beforeAutospacing="0" w:after="0" w:afterAutospacing="0" w:line="206" w:lineRule="exact"/>
              <w:ind w:left="0"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检测内容</w:t>
            </w:r>
          </w:p>
        </w:tc>
        <w:tc>
          <w:tcPr>
            <w:tcW w:w="4634" w:type="dxa"/>
            <w:tcBorders>
              <w:tl2br w:val="nil"/>
              <w:tr2bl w:val="nil"/>
            </w:tcBorders>
            <w:shd w:val="clear" w:color="auto" w:fill="auto"/>
            <w:vAlign w:val="center"/>
          </w:tcPr>
          <w:p>
            <w:pPr>
              <w:keepNext w:val="0"/>
              <w:keepLines w:val="0"/>
              <w:suppressLineNumbers w:val="0"/>
              <w:tabs>
                <w:tab w:val="left" w:pos="562"/>
              </w:tabs>
              <w:spacing w:before="0" w:beforeAutospacing="0" w:after="0" w:afterAutospacing="0" w:line="206" w:lineRule="exact"/>
              <w:ind w:left="-2" w:leftChars="-1" w:right="0"/>
              <w:jc w:val="center"/>
              <w:rPr>
                <w:rFonts w:hint="eastAsia" w:ascii="微软雅黑" w:hAnsi="微软雅黑" w:eastAsia="微软雅黑" w:cs="微软雅黑"/>
                <w:b/>
                <w:bCs/>
                <w:color w:val="2E75B6" w:themeColor="accent1" w:themeShade="BF"/>
                <w:sz w:val="18"/>
                <w:szCs w:val="18"/>
              </w:rPr>
            </w:pPr>
            <w:r>
              <w:rPr>
                <w:rFonts w:hint="eastAsia" w:ascii="微软雅黑" w:hAnsi="微软雅黑" w:eastAsia="微软雅黑" w:cs="微软雅黑"/>
                <w:b/>
                <w:bCs/>
                <w:color w:val="2E75B6" w:themeColor="accent1" w:themeShade="BF"/>
                <w:sz w:val="18"/>
                <w:szCs w:val="18"/>
              </w:rPr>
              <w:t>靶向药物</w:t>
            </w:r>
          </w:p>
        </w:tc>
        <w:tc>
          <w:tcPr>
            <w:tcW w:w="3862"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365" w:right="0"/>
              <w:jc w:val="center"/>
              <w:rPr>
                <w:rFonts w:hint="eastAsia" w:ascii="微软雅黑" w:hAnsi="微软雅黑" w:eastAsia="微软雅黑" w:cs="微软雅黑"/>
                <w:b/>
                <w:bCs/>
                <w:color w:val="2E75B6" w:themeColor="accent1" w:themeShade="BF"/>
                <w:sz w:val="18"/>
                <w:szCs w:val="18"/>
                <w:lang w:eastAsia="zh-CN"/>
              </w:rPr>
            </w:pPr>
            <w:r>
              <w:rPr>
                <w:rFonts w:hint="eastAsia" w:ascii="微软雅黑" w:hAnsi="微软雅黑" w:eastAsia="微软雅黑" w:cs="微软雅黑"/>
                <w:b/>
                <w:bCs/>
                <w:color w:val="2E75B6" w:themeColor="accent1" w:themeShade="BF"/>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221"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MET</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扩增</w:t>
            </w:r>
          </w:p>
        </w:tc>
        <w:tc>
          <w:tcPr>
            <w:tcW w:w="4634"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z w:val="24"/>
                <w:szCs w:val="24"/>
                <w:lang w:eastAsia="zh-CN"/>
              </w:rPr>
            </w:pP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r>
              <w:rPr>
                <w:rFonts w:hint="eastAsia" w:ascii="微软雅黑" w:hAnsi="微软雅黑" w:eastAsia="微软雅黑" w:cs="微软雅黑"/>
                <w:b/>
                <w:spacing w:val="-1"/>
                <w:sz w:val="18"/>
                <w:szCs w:val="18"/>
              </w:rPr>
              <w:t>Capmatinib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b/>
                <w:bCs/>
                <w:spacing w:val="-1"/>
                <w:sz w:val="18"/>
                <w:szCs w:val="18"/>
              </w:rPr>
              <w:t>赛沃替尼</w:t>
            </w:r>
            <w:r>
              <w:rPr>
                <w:rFonts w:hint="eastAsia" w:ascii="微软雅黑" w:hAnsi="微软雅黑" w:eastAsia="微软雅黑" w:cs="微软雅黑"/>
                <w:spacing w:val="-1"/>
                <w:sz w:val="18"/>
                <w:szCs w:val="18"/>
              </w:rPr>
              <w:t>（</w:t>
            </w:r>
            <w:r>
              <w:rPr>
                <w:rFonts w:hint="eastAsia" w:ascii="微软雅黑" w:hAnsi="微软雅黑" w:eastAsia="微软雅黑" w:cs="微软雅黑"/>
                <w:b/>
                <w:bCs/>
                <w:sz w:val="18"/>
                <w:szCs w:val="18"/>
                <w:shd w:val="clear" w:color="auto" w:fill="FFFFFF"/>
              </w:rPr>
              <w:t>Savolitinib</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NMP</w:t>
            </w:r>
            <w:r>
              <w:rPr>
                <w:rFonts w:hint="eastAsia" w:ascii="微软雅黑" w:hAnsi="微软雅黑" w:eastAsia="微软雅黑" w:cs="微软雅黑"/>
                <w:spacing w:val="-1"/>
                <w:sz w:val="18"/>
                <w:szCs w:val="18"/>
              </w:rPr>
              <w:t>A批准用于非小细胞肺癌）、</w:t>
            </w:r>
            <w:r>
              <w:rPr>
                <w:rFonts w:hint="eastAsia" w:ascii="微软雅黑" w:hAnsi="微软雅黑" w:eastAsia="微软雅黑" w:cs="微软雅黑"/>
                <w:b/>
                <w:bCs/>
                <w:spacing w:val="-1"/>
                <w:sz w:val="18"/>
                <w:szCs w:val="18"/>
                <w:lang w:eastAsia="zh-CN"/>
              </w:rPr>
              <w:t>Tepotinib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w:t>
            </w:r>
          </w:p>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EGFR抑制剂：</w:t>
            </w:r>
            <w:r>
              <w:rPr>
                <w:rFonts w:hint="eastAsia" w:ascii="微软雅黑" w:hAnsi="微软雅黑" w:eastAsia="微软雅黑" w:cs="微软雅黑"/>
                <w:b/>
                <w:spacing w:val="-1"/>
                <w:sz w:val="18"/>
                <w:szCs w:val="18"/>
              </w:rPr>
              <w:t>厄洛替尼（Erlotinib）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吉非替尼（Gefitinib）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阿法替尼（Afatinib）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达</w:t>
            </w:r>
            <w:r>
              <w:rPr>
                <w:rFonts w:hint="eastAsia" w:ascii="微软雅黑" w:hAnsi="微软雅黑" w:eastAsia="微软雅黑" w:cs="微软雅黑"/>
                <w:b/>
                <w:spacing w:val="-1"/>
                <w:sz w:val="18"/>
                <w:szCs w:val="18"/>
                <w:lang w:val="en-US" w:eastAsia="zh-CN"/>
              </w:rPr>
              <w:t>克</w:t>
            </w:r>
            <w:r>
              <w:rPr>
                <w:rFonts w:hint="eastAsia" w:ascii="微软雅黑" w:hAnsi="微软雅黑" w:eastAsia="微软雅黑" w:cs="微软雅黑"/>
                <w:b/>
                <w:spacing w:val="-1"/>
                <w:sz w:val="18"/>
                <w:szCs w:val="18"/>
              </w:rPr>
              <w:t>替尼（Dacomitinib）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奥希替尼（Osimertinib）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埃克替尼（Icotinib）</w:t>
            </w:r>
            <w:r>
              <w:rPr>
                <w:rFonts w:hint="eastAsia" w:ascii="微软雅黑" w:hAnsi="微软雅黑" w:eastAsia="微软雅黑" w:cs="微软雅黑"/>
                <w:spacing w:val="-1"/>
                <w:sz w:val="18"/>
                <w:szCs w:val="18"/>
              </w:rPr>
              <w:t>（NMPA批准用于非小细胞肺癌）</w:t>
            </w:r>
          </w:p>
        </w:tc>
        <w:tc>
          <w:tcPr>
            <w:tcW w:w="3862" w:type="dxa"/>
            <w:tcBorders>
              <w:tl2br w:val="nil"/>
              <w:tr2bl w:val="nil"/>
            </w:tcBorders>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非小细胞肺癌中，高水平的MET扩增对克唑替尼、Capmatinib敏感，MET外显子14跳跃突变对Capmatinib、赛沃替尼</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克唑替尼、Tepotinib敏感；并且MET扩增与EGFR突变的非小细胞肺癌患者的EGFR抑制剂（吉非替尼、厄洛替尼、埃克替尼、阿法替尼、达</w:t>
            </w:r>
            <w:r>
              <w:rPr>
                <w:rFonts w:hint="eastAsia" w:ascii="微软雅黑" w:hAnsi="微软雅黑" w:eastAsia="微软雅黑" w:cs="微软雅黑"/>
                <w:spacing w:val="-1"/>
                <w:sz w:val="18"/>
                <w:szCs w:val="18"/>
                <w:lang w:val="en-US" w:eastAsia="zh-CN"/>
              </w:rPr>
              <w:t>克</w:t>
            </w:r>
            <w:r>
              <w:rPr>
                <w:rFonts w:hint="eastAsia" w:ascii="微软雅黑" w:hAnsi="微软雅黑" w:eastAsia="微软雅黑" w:cs="微软雅黑"/>
                <w:spacing w:val="-1"/>
                <w:sz w:val="18"/>
                <w:szCs w:val="18"/>
                <w:lang w:eastAsia="zh-CN"/>
              </w:rPr>
              <w:t>替尼、奥希替尼）耐药相关。</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196" w:hRule="exact"/>
          <w:tblHeader/>
          <w:jc w:val="center"/>
        </w:trPr>
        <w:tc>
          <w:tcPr>
            <w:tcW w:w="929" w:type="dxa"/>
            <w:tcBorders>
              <w:tl2br w:val="nil"/>
              <w:tr2bl w:val="nil"/>
            </w:tcBorders>
            <w:shd w:val="clear" w:color="auto" w:fill="auto"/>
            <w:vAlign w:val="center"/>
          </w:tcPr>
          <w:p>
            <w:pPr>
              <w:keepNext w:val="0"/>
              <w:keepLines w:val="0"/>
              <w:suppressLineNumbers w:val="0"/>
              <w:spacing w:before="0" w:beforeAutospacing="0" w:after="0" w:afterAutospacing="0" w:line="206" w:lineRule="exact"/>
              <w:ind w:left="1" w:leftChars="-4" w:right="0" w:hanging="9" w:hangingChars="5"/>
              <w:jc w:val="center"/>
              <w:rPr>
                <w:rFonts w:hint="default" w:ascii="微软雅黑" w:hAnsi="微软雅黑" w:eastAsia="微软雅黑" w:cs="微软雅黑"/>
                <w:b/>
                <w:bCs/>
                <w:color w:val="32325A"/>
                <w:sz w:val="18"/>
                <w:szCs w:val="18"/>
                <w:lang w:val="en-US" w:eastAsia="zh-CN"/>
              </w:rPr>
            </w:pPr>
            <w:r>
              <w:rPr>
                <w:rFonts w:hint="eastAsia" w:ascii="微软雅黑" w:hAnsi="微软雅黑" w:eastAsia="微软雅黑" w:cs="微软雅黑"/>
                <w:b/>
                <w:bCs/>
                <w:color w:val="32325A"/>
                <w:sz w:val="18"/>
                <w:szCs w:val="18"/>
              </w:rPr>
              <w:t>NTRK</w:t>
            </w:r>
            <w:r>
              <w:rPr>
                <w:rFonts w:hint="eastAsia" w:ascii="微软雅黑" w:hAnsi="微软雅黑" w:eastAsia="微软雅黑" w:cs="微软雅黑"/>
                <w:b/>
                <w:bCs/>
                <w:color w:val="32325A"/>
                <w:sz w:val="18"/>
                <w:szCs w:val="18"/>
                <w:lang w:val="en-US" w:eastAsia="zh-CN"/>
              </w:rPr>
              <w:t>1/2/3</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sz w:val="18"/>
                <w:szCs w:val="18"/>
              </w:rPr>
              <w:t>融合</w:t>
            </w:r>
          </w:p>
        </w:tc>
        <w:tc>
          <w:tcPr>
            <w:tcW w:w="4634" w:type="dxa"/>
            <w:tcBorders>
              <w:tl2br w:val="nil"/>
              <w:tr2bl w:val="nil"/>
            </w:tcBorders>
            <w:shd w:val="clear" w:color="auto" w:fill="auto"/>
            <w:vAlign w:val="center"/>
          </w:tcPr>
          <w:p>
            <w:pPr>
              <w:keepNext w:val="0"/>
              <w:keepLines w:val="0"/>
              <w:suppressLineNumbers w:val="0"/>
              <w:spacing w:before="0" w:beforeAutospacing="0" w:after="0" w:afterAutospacing="0"/>
              <w:ind w:left="0" w:right="0"/>
              <w:jc w:val="left"/>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恩曲替尼（Entrectinib）</w:t>
            </w:r>
            <w:r>
              <w:rPr>
                <w:rFonts w:hint="eastAsia" w:ascii="微软雅黑" w:hAnsi="微软雅黑" w:eastAsia="微软雅黑" w:cs="微软雅黑"/>
                <w:spacing w:val="-1"/>
                <w:sz w:val="18"/>
                <w:szCs w:val="18"/>
              </w:rPr>
              <w:t>（FDA批准用于实体瘤、非小细胞肺癌）；</w:t>
            </w:r>
          </w:p>
          <w:p>
            <w:pPr>
              <w:keepNext w:val="0"/>
              <w:keepLines w:val="0"/>
              <w:suppressLineNumbers w:val="0"/>
              <w:spacing w:before="0" w:beforeAutospacing="0" w:after="0" w:afterAutospacing="0"/>
              <w:ind w:left="0" w:right="0"/>
              <w:jc w:val="left"/>
              <w:rPr>
                <w:rFonts w:hint="eastAsia" w:ascii="微软雅黑" w:hAnsi="微软雅黑" w:eastAsia="微软雅黑" w:cs="微软雅黑"/>
                <w:b/>
                <w:bCs/>
                <w:color w:val="32325A"/>
                <w:sz w:val="18"/>
                <w:szCs w:val="18"/>
              </w:rPr>
            </w:pPr>
            <w:r>
              <w:rPr>
                <w:rFonts w:hint="eastAsia" w:ascii="微软雅黑" w:hAnsi="微软雅黑" w:eastAsia="微软雅黑" w:cs="微软雅黑"/>
                <w:b/>
                <w:spacing w:val="-1"/>
                <w:sz w:val="18"/>
                <w:szCs w:val="18"/>
              </w:rPr>
              <w:t>拉罗替尼（Larotrectinib）</w:t>
            </w:r>
            <w:r>
              <w:rPr>
                <w:rFonts w:hint="eastAsia" w:ascii="微软雅黑" w:hAnsi="微软雅黑" w:eastAsia="微软雅黑" w:cs="微软雅黑"/>
                <w:spacing w:val="-1"/>
                <w:sz w:val="18"/>
                <w:szCs w:val="18"/>
              </w:rPr>
              <w:t>（FDA批准用于实体瘤）</w:t>
            </w:r>
          </w:p>
        </w:tc>
        <w:tc>
          <w:tcPr>
            <w:tcW w:w="3862" w:type="dxa"/>
            <w:tcBorders>
              <w:tl2br w:val="nil"/>
              <w:tr2bl w:val="nil"/>
            </w:tcBorders>
            <w:shd w:val="clear" w:color="auto" w:fill="auto"/>
            <w:vAlign w:val="center"/>
          </w:tcPr>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spacing w:val="-1"/>
                <w:sz w:val="18"/>
                <w:szCs w:val="18"/>
                <w:lang w:eastAsia="zh-CN"/>
              </w:rPr>
              <w:t>局部晚期或转移性实体瘤中，NTRK融合的成人或者儿童患者对恩曲替尼和拉罗替尼敏感。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3161"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RET</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rPr>
              <w:t>融合</w:t>
            </w:r>
          </w:p>
        </w:tc>
        <w:tc>
          <w:tcPr>
            <w:tcW w:w="4634" w:type="dxa"/>
            <w:tcBorders>
              <w:tl2br w:val="nil"/>
              <w:tr2bl w:val="nil"/>
            </w:tcBorders>
            <w:vAlign w:val="center"/>
          </w:tcPr>
          <w:p>
            <w:pPr>
              <w:keepNext w:val="0"/>
              <w:keepLines w:val="0"/>
              <w:suppressLineNumbers w:val="0"/>
              <w:spacing w:before="19" w:beforeAutospacing="0" w:after="0" w:afterAutospacing="0"/>
              <w:ind w:left="0" w:right="-8"/>
              <w:jc w:val="both"/>
              <w:rPr>
                <w:rFonts w:hint="eastAsia" w:ascii="微软雅黑" w:hAnsi="微软雅黑" w:eastAsia="微软雅黑" w:cs="微软雅黑"/>
                <w:b/>
                <w:spacing w:val="-1"/>
                <w:sz w:val="18"/>
                <w:szCs w:val="18"/>
                <w:lang w:eastAsia="zh-CN"/>
              </w:rPr>
            </w:pPr>
            <w:r>
              <w:rPr>
                <w:rFonts w:hint="eastAsia" w:ascii="微软雅黑" w:hAnsi="微软雅黑" w:eastAsia="微软雅黑" w:cs="微软雅黑"/>
                <w:b/>
                <w:spacing w:val="-1"/>
                <w:sz w:val="18"/>
                <w:szCs w:val="18"/>
                <w:lang w:eastAsia="zh-CN"/>
              </w:rPr>
              <w:t>普拉替尼（Pralsetinib）</w:t>
            </w:r>
            <w:r>
              <w:rPr>
                <w:rFonts w:hint="eastAsia" w:ascii="微软雅黑" w:hAnsi="微软雅黑" w:eastAsia="微软雅黑" w:cs="微软雅黑"/>
                <w:spacing w:val="-1"/>
                <w:sz w:val="18"/>
                <w:szCs w:val="18"/>
                <w:lang w:eastAsia="zh-CN"/>
              </w:rPr>
              <w:t>（FDA/NMPA批准用于非小细胞肺癌，FDA批准用于甲状腺癌、甲状腺髓样癌）；</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Selpercatinib</w:t>
            </w:r>
            <w:r>
              <w:rPr>
                <w:rFonts w:hint="eastAsia" w:ascii="微软雅黑" w:hAnsi="微软雅黑" w:eastAsia="微软雅黑" w:cs="微软雅黑"/>
                <w:spacing w:val="-1"/>
                <w:sz w:val="18"/>
                <w:szCs w:val="18"/>
              </w:rPr>
              <w:t>（FDA批准用于甲状腺癌、非小细胞肺癌</w:t>
            </w:r>
            <w:r>
              <w:rPr>
                <w:rFonts w:hint="eastAsia" w:ascii="微软雅黑" w:hAnsi="微软雅黑" w:eastAsia="微软雅黑" w:cs="微软雅黑"/>
                <w:spacing w:val="-1"/>
                <w:sz w:val="18"/>
                <w:szCs w:val="18"/>
                <w:lang w:eastAsia="zh-CN"/>
              </w:rPr>
              <w:t>、甲状腺髓样癌</w:t>
            </w:r>
            <w:r>
              <w:rPr>
                <w:rFonts w:hint="eastAsia" w:ascii="微软雅黑" w:hAnsi="微软雅黑" w:eastAsia="微软雅黑" w:cs="微软雅黑"/>
                <w:spacing w:val="-1"/>
                <w:sz w:val="18"/>
                <w:szCs w:val="18"/>
              </w:rPr>
              <w:t>）；</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凡德他尼（Vandetanib）</w:t>
            </w:r>
            <w:r>
              <w:rPr>
                <w:rFonts w:hint="eastAsia" w:ascii="微软雅黑" w:hAnsi="微软雅黑" w:eastAsia="微软雅黑" w:cs="微软雅黑"/>
                <w:spacing w:val="-1"/>
                <w:sz w:val="18"/>
                <w:szCs w:val="18"/>
              </w:rPr>
              <w:t>（FDA批准用于甲状腺髓样癌）；</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卡博替尼（Cabozantinib）</w:t>
            </w:r>
            <w:r>
              <w:rPr>
                <w:rFonts w:hint="eastAsia" w:ascii="微软雅黑" w:hAnsi="微软雅黑" w:eastAsia="微软雅黑" w:cs="微软雅黑"/>
                <w:spacing w:val="-1"/>
                <w:sz w:val="18"/>
                <w:szCs w:val="18"/>
              </w:rPr>
              <w:t>（FDA批准用于甲状腺髓样癌、肾癌、肝细胞癌）；</w:t>
            </w:r>
          </w:p>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仑伐替尼（Lenvatinib）</w:t>
            </w:r>
            <w:r>
              <w:rPr>
                <w:rFonts w:hint="eastAsia" w:ascii="微软雅黑" w:hAnsi="微软雅黑" w:eastAsia="微软雅黑" w:cs="微软雅黑"/>
                <w:spacing w:val="-1"/>
                <w:sz w:val="18"/>
                <w:szCs w:val="18"/>
              </w:rPr>
              <w:t>（FDA/NMPA批准用于肝细胞癌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甲状腺癌）</w:t>
            </w:r>
          </w:p>
        </w:tc>
        <w:tc>
          <w:tcPr>
            <w:tcW w:w="3862" w:type="dxa"/>
            <w:tcBorders>
              <w:tl2br w:val="nil"/>
              <w:tr2bl w:val="nil"/>
            </w:tcBorders>
            <w:vAlign w:val="center"/>
          </w:tcPr>
          <w:p>
            <w:pPr>
              <w:keepNext w:val="0"/>
              <w:keepLines w:val="0"/>
              <w:suppressLineNumbers w:val="0"/>
              <w:spacing w:before="19" w:beforeAutospacing="0" w:after="0" w:afterAutospacing="0"/>
              <w:ind w:left="0" w:right="-8" w:rightChars="0"/>
              <w:jc w:val="left"/>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rPr>
              <w:t>甲状腺癌中，RET融合和突变对Selpercatinib敏感，RET M918T对卡博替尼敏感；</w:t>
            </w:r>
            <w:r>
              <w:rPr>
                <w:rFonts w:hint="eastAsia" w:ascii="微软雅黑" w:hAnsi="微软雅黑" w:eastAsia="微软雅黑" w:cs="微软雅黑"/>
                <w:spacing w:val="-1"/>
                <w:sz w:val="18"/>
                <w:szCs w:val="18"/>
                <w:lang w:eastAsia="zh-CN"/>
              </w:rPr>
              <w:t>肺癌中，RET融合对仑伐替尼敏感；</w:t>
            </w:r>
            <w:r>
              <w:rPr>
                <w:rFonts w:hint="eastAsia" w:ascii="微软雅黑" w:hAnsi="微软雅黑" w:eastAsia="微软雅黑" w:cs="微软雅黑"/>
                <w:spacing w:val="-1"/>
                <w:sz w:val="18"/>
                <w:szCs w:val="18"/>
              </w:rPr>
              <w:t>非小细胞肺癌中，RET融合和突变对Selpercatinib敏感</w:t>
            </w:r>
            <w:r>
              <w:rPr>
                <w:rFonts w:hint="eastAsia" w:ascii="微软雅黑" w:hAnsi="微软雅黑" w:eastAsia="微软雅黑" w:cs="微软雅黑"/>
                <w:spacing w:val="-1"/>
                <w:sz w:val="18"/>
                <w:szCs w:val="18"/>
                <w:lang w:eastAsia="zh-CN"/>
              </w:rPr>
              <w:t>、RET融合对普拉替尼敏感</w:t>
            </w:r>
            <w:r>
              <w:rPr>
                <w:rFonts w:hint="eastAsia" w:ascii="微软雅黑" w:hAnsi="微软雅黑" w:eastAsia="微软雅黑" w:cs="微软雅黑"/>
                <w:spacing w:val="-1"/>
                <w:sz w:val="18"/>
                <w:szCs w:val="18"/>
              </w:rPr>
              <w:t>，临床试验研究表明，RET融合对卡博替尼和凡德他尼敏感；凡德他尼是多靶点激酶抑制剂，RET是靶点之一。</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581" w:hRule="atLeast"/>
          <w:tblHeader/>
          <w:jc w:val="center"/>
        </w:trPr>
        <w:tc>
          <w:tcPr>
            <w:tcW w:w="929" w:type="dxa"/>
            <w:tcBorders>
              <w:tl2br w:val="nil"/>
              <w:tr2bl w:val="nil"/>
            </w:tcBorders>
            <w:vAlign w:val="center"/>
          </w:tcPr>
          <w:p>
            <w:pPr>
              <w:keepNext w:val="0"/>
              <w:keepLines w:val="0"/>
              <w:suppressLineNumbers w:val="0"/>
              <w:spacing w:before="0" w:beforeAutospacing="0" w:after="0" w:afterAutospacing="0" w:line="206" w:lineRule="exact"/>
              <w:ind w:left="1" w:leftChars="-4" w:right="0"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ROS1</w:t>
            </w:r>
          </w:p>
        </w:tc>
        <w:tc>
          <w:tcPr>
            <w:tcW w:w="688" w:type="dxa"/>
            <w:tcBorders>
              <w:tl2br w:val="nil"/>
              <w:tr2bl w:val="nil"/>
            </w:tcBorders>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7"/>
                <w:szCs w:val="17"/>
              </w:rPr>
            </w:pPr>
            <w:r>
              <w:rPr>
                <w:rFonts w:hint="eastAsia" w:ascii="微软雅黑" w:hAnsi="微软雅黑" w:eastAsia="微软雅黑" w:cs="微软雅黑"/>
                <w:sz w:val="18"/>
                <w:szCs w:val="18"/>
              </w:rPr>
              <w:t>融合</w:t>
            </w:r>
          </w:p>
        </w:tc>
        <w:tc>
          <w:tcPr>
            <w:tcW w:w="4634" w:type="dxa"/>
            <w:tcBorders>
              <w:tl2br w:val="nil"/>
              <w:tr2bl w:val="nil"/>
            </w:tcBorders>
            <w:vAlign w:val="center"/>
          </w:tcPr>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val="en-US" w:eastAsia="zh-CN"/>
              </w:rPr>
              <w:t>色</w:t>
            </w:r>
            <w:r>
              <w:rPr>
                <w:rFonts w:hint="eastAsia" w:ascii="微软雅黑" w:hAnsi="微软雅黑" w:eastAsia="微软雅黑" w:cs="微软雅黑"/>
                <w:b/>
                <w:spacing w:val="-1"/>
                <w:sz w:val="18"/>
                <w:szCs w:val="18"/>
              </w:rPr>
              <w:t>瑞替尼（Ceritinib）</w:t>
            </w:r>
            <w:r>
              <w:rPr>
                <w:rFonts w:hint="eastAsia" w:ascii="微软雅黑" w:hAnsi="微软雅黑" w:eastAsia="微软雅黑" w:cs="微软雅黑"/>
                <w:spacing w:val="-1"/>
                <w:sz w:val="18"/>
                <w:szCs w:val="18"/>
              </w:rPr>
              <w:t>（FDA/NMPA批准用于非小细胞肺癌）；</w:t>
            </w:r>
          </w:p>
          <w:p>
            <w:pPr>
              <w:keepNext w:val="0"/>
              <w:keepLines w:val="0"/>
              <w:suppressLineNumbers w:val="0"/>
              <w:spacing w:before="19" w:beforeAutospacing="0" w:after="0" w:afterAutospacing="0"/>
              <w:ind w:left="0" w:right="-8"/>
              <w:jc w:val="left"/>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恩曲替尼（Entrectinib）</w:t>
            </w:r>
            <w:r>
              <w:rPr>
                <w:rFonts w:hint="eastAsia" w:ascii="微软雅黑" w:hAnsi="微软雅黑" w:eastAsia="微软雅黑" w:cs="微软雅黑"/>
                <w:spacing w:val="-1"/>
                <w:sz w:val="18"/>
                <w:szCs w:val="18"/>
              </w:rPr>
              <w:t>（FDA批准用于实体瘤、非小细胞肺癌）；</w:t>
            </w:r>
          </w:p>
          <w:p>
            <w:pPr>
              <w:keepNext w:val="0"/>
              <w:keepLines w:val="0"/>
              <w:suppressLineNumbers w:val="0"/>
              <w:spacing w:before="19" w:beforeAutospacing="0" w:after="0" w:afterAutospacing="0"/>
              <w:ind w:left="0" w:right="-8" w:rightChars="0"/>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劳拉替尼（Lorlatinib）</w:t>
            </w:r>
            <w:r>
              <w:rPr>
                <w:rFonts w:hint="eastAsia" w:ascii="微软雅黑" w:hAnsi="微软雅黑" w:eastAsia="微软雅黑" w:cs="微软雅黑"/>
                <w:spacing w:val="-1"/>
                <w:sz w:val="18"/>
                <w:szCs w:val="18"/>
              </w:rPr>
              <w:t>（FDA批准用于非小细胞肺癌）</w:t>
            </w:r>
          </w:p>
        </w:tc>
        <w:tc>
          <w:tcPr>
            <w:tcW w:w="3862" w:type="dxa"/>
            <w:tcBorders>
              <w:tl2br w:val="nil"/>
              <w:tr2bl w:val="nil"/>
            </w:tcBorders>
            <w:vAlign w:val="center"/>
          </w:tcPr>
          <w:p>
            <w:pPr>
              <w:keepNext w:val="0"/>
              <w:keepLines w:val="0"/>
              <w:suppressLineNumbers w:val="0"/>
              <w:spacing w:before="19" w:beforeAutospacing="0" w:after="0" w:afterAutospacing="0"/>
              <w:ind w:left="0" w:right="-8" w:rightChars="0"/>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rPr>
              <w:t>非小细胞肺癌中，ROS1融合对克唑替尼（ALK/MET/ROS1抑制剂）、塞瑞替尼、</w:t>
            </w:r>
            <w:r>
              <w:rPr>
                <w:rFonts w:hint="eastAsia" w:ascii="微软雅黑" w:hAnsi="微软雅黑" w:eastAsia="微软雅黑" w:cs="微软雅黑"/>
                <w:spacing w:val="-1"/>
                <w:sz w:val="18"/>
                <w:szCs w:val="18"/>
                <w:lang w:eastAsia="zh-CN"/>
              </w:rPr>
              <w:t>恩曲替尼</w:t>
            </w:r>
            <w:r>
              <w:rPr>
                <w:rFonts w:hint="eastAsia" w:ascii="微软雅黑" w:hAnsi="微软雅黑" w:eastAsia="微软雅黑" w:cs="微软雅黑"/>
                <w:spacing w:val="-1"/>
                <w:sz w:val="18"/>
                <w:szCs w:val="18"/>
              </w:rPr>
              <w:t>、劳拉替尼敏感，ROS1融合与EGFR TKI的原发性耐药有关。</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outlineLvl w:val="1"/>
        <w:rPr>
          <w:rFonts w:hint="eastAsia" w:ascii="微软雅黑" w:hAnsi="微软雅黑" w:eastAsia="微软雅黑" w:cs="微软雅黑"/>
          <w:b/>
          <w:color w:val="2E75B6" w:themeColor="accent1" w:themeShade="BF"/>
          <w:sz w:val="32"/>
          <w:lang w:val="en-US" w:eastAsia="zh-CN"/>
        </w:rPr>
      </w:pPr>
      <w:r>
        <w:rPr>
          <w:rFonts w:hint="eastAsia" w:ascii="微软雅黑" w:hAnsi="微软雅黑" w:eastAsia="微软雅黑" w:cs="微软雅黑"/>
          <w:b/>
          <w:color w:val="2E75B6" w:themeColor="accent1" w:themeShade="BF"/>
          <w:sz w:val="32"/>
          <w:lang w:val="en-US" w:eastAsia="zh-CN"/>
        </w:rPr>
        <w:t>肿瘤相关信号通路</w:t>
      </w: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drawing>
          <wp:inline distT="0" distB="0" distL="114300" distR="114300">
            <wp:extent cx="9182735" cy="4392930"/>
            <wp:effectExtent l="0" t="0" r="0" b="0"/>
            <wp:docPr id="2" name="图片 2" descr="R-HSA-566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HSA-5663202"/>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9182735" cy="4392930"/>
                    </a:xfrm>
                    <a:prstGeom prst="rect">
                      <a:avLst/>
                    </a:prstGeom>
                  </pic:spPr>
                </pic:pic>
              </a:graphicData>
            </a:graphic>
          </wp:inline>
        </w:drawing>
      </w:r>
    </w:p>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outlineLvl w:val="1"/>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color w:val="2E75B6" w:themeColor="accent1" w:themeShade="BF"/>
          <w:sz w:val="32"/>
          <w:lang w:val="en-US" w:eastAsia="zh-CN"/>
        </w:rPr>
        <w:t>检测基因列表</w:t>
      </w:r>
    </w:p>
    <w:tbl>
      <w:tblPr>
        <w:tblStyle w:val="11"/>
        <w:tblW w:w="10361"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8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vertAlign w:val="baseline"/>
                <w:lang w:val="en-US" w:eastAsia="zh-CN"/>
              </w:rPr>
              <w:t>靶向治疗相关基因：</w:t>
            </w:r>
          </w:p>
        </w:tc>
        <w:tc>
          <w:tcPr>
            <w:tcW w:w="8239"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2E75B6" w:themeColor="accent1" w:themeShade="BF"/>
                <w:vertAlign w:val="baseline"/>
                <w:lang w:val="en-US" w:eastAsia="zh-CN"/>
              </w:rPr>
            </w:pPr>
            <w:r>
              <w:rPr>
                <w:rFonts w:hint="default" w:ascii="微软雅黑" w:hAnsi="微软雅黑" w:eastAsia="微软雅黑" w:cs="微软雅黑"/>
                <w:color w:val="2E75B6" w:themeColor="accent1" w:themeShade="BF"/>
                <w:vertAlign w:val="baseline"/>
                <w:lang w:val="en-US" w:eastAsia="zh-CN"/>
              </w:rPr>
              <w:t>TERT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ABL1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ABL2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AKT1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AKT2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AKT3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ALK</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APC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ARAF</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ARID1A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ASNS</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ATM</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ATRX</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AURKA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B2M</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BAP1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BARD1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BCL2L11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BRAF</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BRCA1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BRCA2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BRD4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BTK</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CALR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CASP8</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CBL</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CCND1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CCND3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CCNE1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CD274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CD44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CDK12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CDK6</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CDKN1B</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CDKN2A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CDKN2B</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CEBPA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CHEK1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CIC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CREBBP</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CRKL</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CRLF2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CSF1R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CSF3R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CTLA4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CTNNB1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DDR2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DDX43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DNMT1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DNMT3A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DPYD</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EGFR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EPAS1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EPHB4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ERBB2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ERBB3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ERBB4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ERCC1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ERRFI1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ESR1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ETV1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EWSR1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EZH2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FANCC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FBXW7</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FCGR3A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FGF3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FGFR1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FGFR2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FGFR3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FGFR4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FLCN</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FLT3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FLT4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FOXO1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GATA2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GNA11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GNAQ</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GNAS</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GSTP1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HGF</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HRAS</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IDH1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IDH2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IGF1R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IGF2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IRS2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JAK1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JAK2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JAK3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KDM5C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KDR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KIT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KMT2C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KMT2D</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KRAS</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LYN</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MAP2K1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MAP2K2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MAPK1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MDM2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MDM4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MERTK</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MET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MGMT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MITF</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MRE11A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MSH2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MSH6</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MTOR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MYC</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MYCL</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MYCN</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MYD88</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NBN</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NF1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NF2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NOTCH1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NOTCH3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NPM1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NRAS</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NT5C2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NTRK1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NTRK2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NTRK3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PALB2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PARP1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PBRM1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PDCD1LG2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PDGFRA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PDGFRB</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PGR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PIK3CA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PIK3R1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PIK3R2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PMS2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POLD1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POLE</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PREX2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PTCH1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PTEN</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PTPRD</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PTPRT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RAC1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RAD50</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RAF1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RASA1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RB1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RET</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RHEB</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RICTOR</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RIT1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ROS1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RRM1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SF3B1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SGK1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SMAD4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SMARCA4</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SMARCB1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SMO</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SOX10</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STAG2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STK11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SUFU</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TP53</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TSC1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TSC2</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UGT1A1</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VEGFA</w:t>
            </w:r>
            <w:r>
              <w:rPr>
                <w:rFonts w:hint="eastAsia" w:ascii="微软雅黑" w:hAnsi="微软雅黑" w:eastAsia="微软雅黑" w:cs="微软雅黑"/>
                <w:color w:val="2E75B6" w:themeColor="accent1" w:themeShade="BF"/>
                <w:vertAlign w:val="baseline"/>
                <w:lang w:val="en-US" w:eastAsia="zh-CN"/>
              </w:rPr>
              <w:t>,</w:t>
            </w:r>
            <w:r>
              <w:rPr>
                <w:rFonts w:hint="default" w:ascii="微软雅黑" w:hAnsi="微软雅黑" w:eastAsia="微软雅黑" w:cs="微软雅黑"/>
                <w:color w:val="2E75B6" w:themeColor="accent1" w:themeShade="BF"/>
                <w:vertAlign w:val="baseline"/>
                <w:lang w:val="en-US" w:eastAsia="zh-CN"/>
              </w:rPr>
              <w:t>VHL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vertAlign w:val="baseline"/>
                <w:lang w:val="en-US" w:eastAsia="zh-CN"/>
              </w:rPr>
              <w:t>免疫治疗相关基因：</w:t>
            </w:r>
          </w:p>
        </w:tc>
        <w:tc>
          <w:tcPr>
            <w:tcW w:w="8239"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2E75B6" w:themeColor="accent1" w:themeShade="BF"/>
                <w:vertAlign w:val="baseline"/>
                <w:lang w:val="en-US" w:eastAsia="zh-CN"/>
              </w:rPr>
              <w:t>ALK,CCND1,ERCC2,JAK2,MSH6,PDCD1LG2(PD-L2),TERT,ATM,CHEK2,FANCA,MDM2,NOTCH2,POLD1,VEGFA,B2M,CTNNB1,FGF19,MDM4,NOTCH3,POLE,ARID1A,CD274(PD-L1),ERCC4,KRAS,NOTCH1,PMS2,TP53,BRAF,DNMT3A,FGF3,MET,NRAS,PTEN,BRCA1,EGFR,FGF4,MLH1,PALB2,RAD50,BRCA2,EP300,JAK1,MSH2,PBRM1,STK11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vertAlign w:val="baseline"/>
                <w:lang w:val="en-US" w:eastAsia="zh-CN"/>
              </w:rPr>
              <w:t>化疗用药相关基因：</w:t>
            </w:r>
          </w:p>
        </w:tc>
        <w:tc>
          <w:tcPr>
            <w:tcW w:w="8239"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2E75B6" w:themeColor="accent1" w:themeShade="BF"/>
                <w:vertAlign w:val="baseline"/>
                <w:lang w:val="en-US" w:eastAsia="zh-CN"/>
              </w:rPr>
              <w:t>ABCB1,ABCC3,ALK,AR,ARAF,ATM,ATRX,AURKA,BAP1,BIRC7,BRAF,BRCA1,BRCA2,CCND1,CDKN1A,CDKN1B,CHEK1,CXCR4,DNMT1,DNMT3A,DPYD,EGFR,ERBB2,ERCC1,ERCC2,ESR1,FANCA,FANCC,FGFR1,FLT3,GATA2,GNAS,GSTP1,HSPB1,IGF2,JUN,KRAS,LRP1B,MAP2K1,MDM2,MGMT,MLH1,MTAP,MTHFR,MTOR,MYC,MYCN,MYD88,NF2,NOTCH1,NPM1,NQO1,NRAS,NT5C2,PGR,PIK3CA,PTEN,RAD50,RAF1,RB1,RET,RRM1,RSF1,RUNX1,SLCO1B1,SMAD4,SMARCA4,SMO,STK11,SYK,TOP1,TOP2A,TP53,TYMS,VEGFA,WT1,XRCC1,YA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vertAlign w:val="baseline"/>
                <w:lang w:val="en-US" w:eastAsia="zh-CN"/>
              </w:rPr>
              <w:t>遗传风险相关基因：</w:t>
            </w:r>
          </w:p>
        </w:tc>
        <w:tc>
          <w:tcPr>
            <w:tcW w:w="8239"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2E75B6" w:themeColor="accent1" w:themeShade="BF"/>
                <w:vertAlign w:val="baseline"/>
                <w:lang w:val="en-US" w:eastAsia="zh-CN"/>
              </w:rPr>
              <w:t>BRCA1,CHEK1,FANCG,MEN1,AXIN2,BRIP1,EPCAM,FLCN,MITF,BAP1,CDH1,FAM175A,GALNT12,MLH1,BLM,CDK4,FANCC,KIT,MRE11A,BMPR1A,CDKN2A,FANCD2,MAX,MSH2,ATM,BRCA2,CHEK2,FH,MET,BARD1,CDK12,FANCA,GREM1,MLH3,MSH3,NTRK1,RAD51B,SDHAF2,TP53,MSH6,PALB2,RAD51C,SDHB,TSC1,MUTYH,PDGFRA,RAD51D,SDHC,TSC2,NBN,PMS2,RAD54L,SDHD,VHL,NF1,POLD1,RB1,SMAD4,WT1,NF2,POLE,RET,STK11,NTHL1,PTEN,SDHA,TMEM127,A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b/>
                <w:bCs/>
                <w:color w:val="2E75B6" w:themeColor="accent1" w:themeShade="BF"/>
                <w:vertAlign w:val="baseline"/>
                <w:lang w:val="en-US" w:eastAsia="zh-CN"/>
              </w:rPr>
            </w:pPr>
            <w:r>
              <w:rPr>
                <w:rFonts w:hint="eastAsia" w:ascii="微软雅黑" w:hAnsi="微软雅黑" w:eastAsia="微软雅黑" w:cs="微软雅黑"/>
                <w:b/>
                <w:bCs/>
                <w:color w:val="2E75B6" w:themeColor="accent1" w:themeShade="BF"/>
                <w:vertAlign w:val="baseline"/>
                <w:lang w:val="en-US" w:eastAsia="zh-CN"/>
              </w:rPr>
              <w:t>DDR通路相关基因：</w:t>
            </w:r>
          </w:p>
        </w:tc>
        <w:tc>
          <w:tcPr>
            <w:tcW w:w="8239" w:type="dxa"/>
            <w:vAlign w:val="center"/>
          </w:tcPr>
          <w:p>
            <w:pPr>
              <w:keepNext w:val="0"/>
              <w:keepLines w:val="0"/>
              <w:suppressLineNumbers w:val="0"/>
              <w:spacing w:before="0" w:beforeAutospacing="0" w:after="0" w:afterAutospacing="0"/>
              <w:ind w:left="0" w:right="0"/>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2E75B6" w:themeColor="accent1" w:themeShade="BF"/>
                <w:vertAlign w:val="baseline"/>
                <w:lang w:val="en-US" w:eastAsia="zh-CN"/>
              </w:rPr>
              <w:t>APEX1,ATM,ATR,ATRX,BARD1,BLM,BRCA1,BRCA2,BRIP1,CHEK1,CHEK2,ERCC1,ERCC2,ERCC3,ERCC4,ERCC5,FANCA,FANCC,FANCD2,FANCE,FANCF,FANCG,FANCL,FANCM,LIG4,MDC1,MGMT,MLH1,MLH3,MRE11A,MSH2,MSH3,MSH6,MUTYH,NBN,NEIL1,NTHL1,PALB2,PARP1,PARP2,PARP3,PMS1,PMS2,POLD1,POLE,PRKDC,RAD50,RAD51,RAD51B,RAD51C,RAD51D,RAD52,RAD54L,RECQL,RECQL4,SLX4,TDG,TP53,TP53BP1,XPC,XRCC1,XRCC2,XRCC3,IDH1,FAM175A,SMARCA4,CUL3,BMPR1A,PTEN</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2E75B6" w:themeColor="accent1" w:themeShade="BF"/>
          <w:lang w:val="en-US" w:eastAsia="zh-CN"/>
        </w:rPr>
        <w:br w:type="page"/>
      </w:r>
    </w:p>
    <w:p>
      <w:pPr>
        <w:outlineLvl w:val="1"/>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color w:val="2E75B6" w:themeColor="accent1" w:themeShade="BF"/>
          <w:sz w:val="32"/>
          <w:lang w:val="en-US" w:eastAsia="zh-CN"/>
        </w:rPr>
        <w:t>检测流程</w:t>
      </w:r>
    </w:p>
    <w:p>
      <w:pPr>
        <w:spacing w:line="400" w:lineRule="exact"/>
        <w:ind w:left="235" w:leftChars="112" w:right="586" w:rightChars="279" w:firstLine="401" w:firstLineChars="191"/>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本检测实验室有着严格的技术服务流程，从检测前咨询、样品收集、实验室检测，到生物信息分析与报告解读的整个过程都有严格的质量控制和预警反馈机制，能够有效追踪检测流程的每一步，从而保证结果的准确性和可靠性。</w:t>
      </w:r>
    </w:p>
    <w:p>
      <w:pPr>
        <w:rPr>
          <w:rFonts w:hint="eastAsia" w:ascii="微软雅黑" w:hAnsi="微软雅黑" w:eastAsia="微软雅黑" w:cs="微软雅黑"/>
          <w:lang w:eastAsia="zh-CN"/>
        </w:rPr>
      </w:pPr>
      <w:r>
        <w:rPr>
          <w:rFonts w:hint="eastAsia" w:ascii="微软雅黑" w:hAnsi="微软雅黑" w:eastAsia="微软雅黑" w:cs="微软雅黑"/>
          <w:color w:val="32325A"/>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745490</wp:posOffset>
                </wp:positionH>
                <wp:positionV relativeFrom="paragraph">
                  <wp:posOffset>393700</wp:posOffset>
                </wp:positionV>
                <wp:extent cx="0" cy="6440805"/>
                <wp:effectExtent l="38100" t="0" r="38100" b="17145"/>
                <wp:wrapNone/>
                <wp:docPr id="9" name="AutoShape 149"/>
                <wp:cNvGraphicFramePr/>
                <a:graphic xmlns:a="http://schemas.openxmlformats.org/drawingml/2006/main">
                  <a:graphicData uri="http://schemas.microsoft.com/office/word/2010/wordprocessingShape">
                    <wps:wsp>
                      <wps:cNvCnPr>
                        <a:cxnSpLocks noChangeShapeType="1"/>
                      </wps:cNvCnPr>
                      <wps:spPr bwMode="auto">
                        <a:xfrm>
                          <a:off x="0" y="0"/>
                          <a:ext cx="0" cy="6440805"/>
                        </a:xfrm>
                        <a:prstGeom prst="straightConnector1">
                          <a:avLst/>
                        </a:prstGeom>
                        <a:noFill/>
                        <a:ln w="19050">
                          <a:solidFill>
                            <a:srgbClr val="32325A"/>
                          </a:solidFill>
                          <a:round/>
                          <a:tailEnd type="triangle" w="med" len="med"/>
                        </a:ln>
                      </wps:spPr>
                      <wps:bodyPr/>
                    </wps:wsp>
                  </a:graphicData>
                </a:graphic>
              </wp:anchor>
            </w:drawing>
          </mc:Choice>
          <mc:Fallback>
            <w:pict>
              <v:shape id="AutoShape 149" o:spid="_x0000_s1026" o:spt="32" type="#_x0000_t32" style="position:absolute;left:0pt;margin-left:58.7pt;margin-top:31pt;height:507.15pt;width:0pt;z-index:251672576;mso-width-relative:page;mso-height-relative:page;" filled="f" stroked="t" coordsize="21600,21600" o:gfxdata="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ht7h3XAAAACwEAAA8AAAAAAAAAAQAgAAAAIgAAAGRycy9kb3ducmV2LnhtbFBLAQIU&#10;ABQAAAAIAIdO4kAhdZDL9AEAAOMDAAAOAAAAAAAAAAEAIAAAACYBAABkcnMvZTJvRG9jLnhtbFBL&#10;BQYAAAAABgAGAFkBAACMBQAAAAA=&#10;">
                <v:fill on="f" focussize="0,0"/>
                <v:stroke weight="1.5pt" color="#32325A" joinstyle="round" endarrow="block"/>
                <v:imagedata o:title=""/>
                <o:lock v:ext="edit" aspectratio="f"/>
              </v:shape>
            </w:pict>
          </mc:Fallback>
        </mc:AlternateContent>
      </w:r>
    </w:p>
    <w:p>
      <w:pPr>
        <w:ind w:left="3780" w:leftChars="1800" w:firstLine="0" w:firstLineChars="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3600" behindDoc="0" locked="0" layoutInCell="1" allowOverlap="1">
            <wp:simplePos x="0" y="0"/>
            <wp:positionH relativeFrom="column">
              <wp:posOffset>1223645</wp:posOffset>
            </wp:positionH>
            <wp:positionV relativeFrom="paragraph">
              <wp:posOffset>66040</wp:posOffset>
            </wp:positionV>
            <wp:extent cx="783590" cy="774700"/>
            <wp:effectExtent l="0" t="0" r="16510" b="6350"/>
            <wp:wrapNone/>
            <wp:docPr id="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
                    <pic:cNvPicPr>
                      <a:picLocks noChangeAspect="1"/>
                    </pic:cNvPicPr>
                  </pic:nvPicPr>
                  <pic:blipFill>
                    <a:blip r:embed="rId10"/>
                    <a:stretch>
                      <a:fillRect/>
                    </a:stretch>
                  </pic:blipFill>
                  <pic:spPr>
                    <a:xfrm>
                      <a:off x="0" y="0"/>
                      <a:ext cx="783590" cy="774700"/>
                    </a:xfrm>
                    <a:prstGeom prst="rect">
                      <a:avLst/>
                    </a:prstGeom>
                    <a:noFill/>
                    <a:ln>
                      <a:noFill/>
                    </a:ln>
                  </pic:spPr>
                </pic:pic>
              </a:graphicData>
            </a:graphic>
          </wp:anchor>
        </w:drawing>
      </w:r>
      <w:r>
        <w:rPr>
          <w:color w:val="002060"/>
          <w:sz w:val="21"/>
        </w:rPr>
        <mc:AlternateContent>
          <mc:Choice Requires="wps">
            <w:drawing>
              <wp:anchor distT="0" distB="0" distL="114300" distR="114300" simplePos="0" relativeHeight="251681792" behindDoc="0" locked="0" layoutInCell="1" allowOverlap="1">
                <wp:simplePos x="0" y="0"/>
                <wp:positionH relativeFrom="column">
                  <wp:posOffset>2945130</wp:posOffset>
                </wp:positionH>
                <wp:positionV relativeFrom="paragraph">
                  <wp:posOffset>113030</wp:posOffset>
                </wp:positionV>
                <wp:extent cx="2993390" cy="687070"/>
                <wp:effectExtent l="0" t="0" r="0" b="0"/>
                <wp:wrapNone/>
                <wp:docPr id="216" name="文本框 216"/>
                <wp:cNvGraphicFramePr/>
                <a:graphic xmlns:a="http://schemas.openxmlformats.org/drawingml/2006/main">
                  <a:graphicData uri="http://schemas.microsoft.com/office/word/2010/wordprocessingShape">
                    <wps:wsp>
                      <wps:cNvSpPr txBox="1"/>
                      <wps:spPr>
                        <a:xfrm>
                          <a:off x="3368675" y="2765425"/>
                          <a:ext cx="2993390" cy="6870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送检医生与受检者（或其法定监护人）沟通并告知解释检测的重要性、临床意义及潜在风险，指导受检者签署知情同意书和检测申请单。</w:t>
                            </w:r>
                          </w:p>
                          <w:p>
                            <w:pPr>
                              <w:rPr>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8.9pt;height:54.1pt;width:235.7pt;z-index:251681792;mso-width-relative:page;mso-height-relative:page;" filled="f" stroked="f" coordsize="21600,21600" o:gfxdata="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&#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Uciu41wAAAAoBAAAPAAAAAAAAAAEAIAAAACIAAABk&#10;cnMvZG93bnJldi54bWxQSwECFAAUAAAACACHTuJA6Gp3knkCAADIBAAADgAAAAAAAAABACAAAAAm&#10;AQAAZHJzL2Uyb0RvYy54bWxQSwUGAAAAAAYABgBZAQAAEQYAAAAA&#10;">
                <v:fill on="f" focussize="0,0"/>
                <v:stroke on="f" weight="1pt" miterlimit="8" joinstyle="miter"/>
                <v:imagedata o:title=""/>
                <o:lock v:ext="edit" aspectratio="f"/>
                <v:textbo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送检医生与受检者（或其法定监护人）沟通并告知解释检测的重要性、临床意义及潜在风险，指导受检者签署知情同意书和检测申请单。</w:t>
                      </w:r>
                    </w:p>
                    <w:p>
                      <w:pPr>
                        <w:rPr>
                          <w14:textOutline w14:w="9525">
                            <w14:solidFill>
                              <w14:srgbClr w14:val="000000"/>
                            </w14:solidFill>
                            <w14:round/>
                          </w14:textOutline>
                        </w:rPr>
                      </w:pPr>
                    </w:p>
                  </w:txbxContent>
                </v:textbox>
              </v:shape>
            </w:pict>
          </mc:Fallback>
        </mc:AlternateContent>
      </w:r>
      <w:r>
        <w:rPr>
          <w:rFonts w:hint="eastAsia" w:ascii="微软雅黑" w:hAnsi="微软雅黑" w:eastAsia="微软雅黑" w:cs="微软雅黑"/>
          <w:color w:val="002060"/>
          <w:sz w:val="72"/>
          <w:szCs w:val="72"/>
          <w:lang w:eastAsia="zh-CN"/>
        </w:rPr>
        <w:t>1</w:t>
      </w:r>
    </w:p>
    <w:p>
      <w:pPr>
        <w:ind w:left="3780" w:leftChars="1800" w:firstLine="0" w:firstLineChars="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4624" behindDoc="0" locked="0" layoutInCell="1" allowOverlap="1">
            <wp:simplePos x="0" y="0"/>
            <wp:positionH relativeFrom="column">
              <wp:posOffset>1189990</wp:posOffset>
            </wp:positionH>
            <wp:positionV relativeFrom="paragraph">
              <wp:posOffset>318770</wp:posOffset>
            </wp:positionV>
            <wp:extent cx="817245" cy="1118235"/>
            <wp:effectExtent l="0" t="0" r="1905" b="5715"/>
            <wp:wrapNone/>
            <wp:docPr id="2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
                    <pic:cNvPicPr>
                      <a:picLocks noChangeAspect="1"/>
                    </pic:cNvPicPr>
                  </pic:nvPicPr>
                  <pic:blipFill>
                    <a:blip r:embed="rId11"/>
                    <a:stretch>
                      <a:fillRect/>
                    </a:stretch>
                  </pic:blipFill>
                  <pic:spPr>
                    <a:xfrm>
                      <a:off x="0" y="0"/>
                      <a:ext cx="817245" cy="1118235"/>
                    </a:xfrm>
                    <a:prstGeom prst="rect">
                      <a:avLst/>
                    </a:prstGeom>
                    <a:noFill/>
                    <a:ln>
                      <a:noFill/>
                    </a:ln>
                  </pic:spPr>
                </pic:pic>
              </a:graphicData>
            </a:graphic>
          </wp:anchor>
        </w:drawing>
      </w:r>
    </w:p>
    <w:p>
      <w:pPr>
        <w:ind w:left="3780" w:leftChars="1800" w:firstLine="0" w:firstLineChars="0"/>
        <w:rPr>
          <w:rFonts w:hint="eastAsia" w:ascii="微软雅黑" w:hAnsi="微软雅黑" w:eastAsia="微软雅黑" w:cs="微软雅黑"/>
          <w:color w:val="002060"/>
          <w:sz w:val="72"/>
          <w:szCs w:val="72"/>
          <w:lang w:eastAsia="zh-CN"/>
        </w:rPr>
      </w:pPr>
      <w:bookmarkStart w:id="91" w:name="_Toc19277_WPSOffice_Level2"/>
      <w:bookmarkStart w:id="92" w:name="_Toc3149_WPSOffice_Level2"/>
      <w:r>
        <w:rPr>
          <w:color w:val="002060"/>
          <w:sz w:val="21"/>
        </w:rPr>
        <mc:AlternateContent>
          <mc:Choice Requires="wps">
            <w:drawing>
              <wp:anchor distT="0" distB="0" distL="114300" distR="114300" simplePos="0" relativeHeight="251682816" behindDoc="0" locked="0" layoutInCell="1" allowOverlap="1">
                <wp:simplePos x="0" y="0"/>
                <wp:positionH relativeFrom="column">
                  <wp:posOffset>3009265</wp:posOffset>
                </wp:positionH>
                <wp:positionV relativeFrom="paragraph">
                  <wp:posOffset>76200</wp:posOffset>
                </wp:positionV>
                <wp:extent cx="2993390" cy="714375"/>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医疗机构专业人员按照标准流程采集样本，由专人负责样本的保存与寄送，检测周期自检测实验室收到合格样本起计。</w:t>
                            </w:r>
                          </w:p>
                          <w:p>
                            <w:pPr>
                              <w:rPr>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95pt;margin-top:6pt;height:56.25pt;width:235.7pt;z-index:251682816;mso-width-relative:page;mso-height-relative:page;" filled="f" stroked="f" coordsize="21600,21600" o:gfxdata="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lTiTjXAAAACgEAAA8AAAAAAAAAAQAgAAAAIgAAAGRycy9kb3ducmV2Lnht&#10;bFBLAQIUABQAAAAIAIdO4kACh2LkbAIAALwEAAAOAAAAAAAAAAEAIAAAACYBAABkcnMvZTJvRG9j&#10;LnhtbFBLBQYAAAAABgAGAFkBAAAEBgAAAAA=&#10;">
                <v:fill on="f" focussize="0,0"/>
                <v:stroke on="f" weight="1pt" miterlimit="8" joinstyle="miter"/>
                <v:imagedata o:title=""/>
                <o:lock v:ext="edit" aspectratio="f"/>
                <v:textbo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医疗机构专业人员按照标准流程采集样本，由专人负责样本的保存与寄送，检测周期自检测实验室收到合格样本起计。</w:t>
                      </w:r>
                    </w:p>
                    <w:p>
                      <w:pPr>
                        <w:rPr>
                          <w14:textOutline w14:w="9525">
                            <w14:solidFill>
                              <w14:srgbClr w14:val="000000"/>
                            </w14:solidFill>
                            <w14:round/>
                          </w14:textOutline>
                        </w:rPr>
                      </w:pPr>
                    </w:p>
                  </w:txbxContent>
                </v:textbox>
              </v:shape>
            </w:pict>
          </mc:Fallback>
        </mc:AlternateContent>
      </w:r>
      <w:r>
        <w:rPr>
          <w:rFonts w:hint="eastAsia" w:ascii="微软雅黑" w:hAnsi="微软雅黑" w:eastAsia="微软雅黑" w:cs="微软雅黑"/>
          <w:color w:val="002060"/>
          <w:sz w:val="72"/>
          <w:szCs w:val="72"/>
          <w:lang w:eastAsia="zh-CN"/>
        </w:rPr>
        <w:t>2</w:t>
      </w:r>
      <w:bookmarkEnd w:id="91"/>
      <w:bookmarkEnd w:id="92"/>
    </w:p>
    <w:p>
      <w:pPr>
        <w:ind w:left="378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6672" behindDoc="0" locked="0" layoutInCell="1" allowOverlap="1">
            <wp:simplePos x="0" y="0"/>
            <wp:positionH relativeFrom="column">
              <wp:posOffset>1415415</wp:posOffset>
            </wp:positionH>
            <wp:positionV relativeFrom="paragraph">
              <wp:posOffset>303530</wp:posOffset>
            </wp:positionV>
            <wp:extent cx="391795" cy="258445"/>
            <wp:effectExtent l="0" t="0" r="8255" b="8255"/>
            <wp:wrapNone/>
            <wp:docPr id="2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6"/>
                    <pic:cNvPicPr>
                      <a:picLocks noChangeAspect="1"/>
                    </pic:cNvPicPr>
                  </pic:nvPicPr>
                  <pic:blipFill>
                    <a:blip r:embed="rId12"/>
                    <a:stretch>
                      <a:fillRect/>
                    </a:stretch>
                  </pic:blipFill>
                  <pic:spPr>
                    <a:xfrm>
                      <a:off x="0" y="0"/>
                      <a:ext cx="391795" cy="258445"/>
                    </a:xfrm>
                    <a:prstGeom prst="rect">
                      <a:avLst/>
                    </a:prstGeom>
                    <a:noFill/>
                    <a:ln>
                      <a:noFill/>
                    </a:ln>
                  </pic:spPr>
                </pic:pic>
              </a:graphicData>
            </a:graphic>
          </wp:anchor>
        </w:drawing>
      </w:r>
    </w:p>
    <w:p>
      <w:pPr>
        <w:ind w:left="3780" w:leftChars="1800" w:firstLine="0" w:firstLineChars="0"/>
        <w:rPr>
          <w:rFonts w:hint="eastAsia" w:ascii="微软雅黑" w:hAnsi="微软雅黑" w:eastAsia="微软雅黑" w:cs="微软雅黑"/>
          <w:color w:val="002060"/>
          <w:sz w:val="72"/>
          <w:szCs w:val="72"/>
          <w:lang w:eastAsia="zh-CN"/>
        </w:rPr>
      </w:pPr>
      <w:bookmarkStart w:id="93" w:name="_Toc206_WPSOffice_Level2"/>
      <w:bookmarkStart w:id="94" w:name="_Toc17014_WPSOffice_Level2"/>
      <w:r>
        <w:rPr>
          <w:color w:val="002060"/>
          <w:sz w:val="21"/>
        </w:rPr>
        <mc:AlternateContent>
          <mc:Choice Requires="wps">
            <w:drawing>
              <wp:anchor distT="0" distB="0" distL="114300" distR="114300" simplePos="0" relativeHeight="251683840" behindDoc="0" locked="0" layoutInCell="1" allowOverlap="1">
                <wp:simplePos x="0" y="0"/>
                <wp:positionH relativeFrom="column">
                  <wp:posOffset>3039110</wp:posOffset>
                </wp:positionH>
                <wp:positionV relativeFrom="paragraph">
                  <wp:posOffset>202565</wp:posOffset>
                </wp:positionV>
                <wp:extent cx="2993390" cy="714375"/>
                <wp:effectExtent l="0" t="0" r="0" b="0"/>
                <wp:wrapNone/>
                <wp:docPr id="218" name="文本框 218"/>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按照标准操作流程，提取基因组DNA，进行高通量测序。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pt;margin-top:15.95pt;height:56.25pt;width:235.7pt;z-index:251683840;mso-width-relative:page;mso-height-relative:page;" filled="f" stroked="f" coordsize="21600,21600" o:gfxdata="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3D+X2AAAAAoBAAAPAAAAAAAAAAEAIAAAACIAAABkcnMvZG93bnJldi54&#10;bWxQSwECFAAUAAAACACHTuJA99vbmmwCAAC8BAAADgAAAAAAAAABACAAAAAnAQAAZHJzL2Uyb0Rv&#10;Yy54bWxQSwUGAAAAAAYABgBZAQAABQYAAAAA&#10;">
                <v:fill on="f" focussize="0,0"/>
                <v:stroke on="f" weight="1pt" miterlimit="8" joinstyle="miter"/>
                <v:imagedata o:title=""/>
                <o:lock v:ext="edit" aspectratio="f"/>
                <v:textbo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按照标准操作流程，提取基因组DNA，进行高通量测序。</w:t>
                      </w:r>
                    </w:p>
                  </w:txbxContent>
                </v:textbox>
              </v:shape>
            </w:pict>
          </mc:Fallback>
        </mc:AlternateContent>
      </w:r>
      <w:r>
        <w:rPr>
          <w:color w:val="002060"/>
        </w:rPr>
        <w:drawing>
          <wp:anchor distT="0" distB="0" distL="114300" distR="114300" simplePos="0" relativeHeight="251675648" behindDoc="0" locked="0" layoutInCell="1" allowOverlap="1">
            <wp:simplePos x="0" y="0"/>
            <wp:positionH relativeFrom="column">
              <wp:posOffset>1203960</wp:posOffset>
            </wp:positionH>
            <wp:positionV relativeFrom="paragraph">
              <wp:posOffset>19050</wp:posOffset>
            </wp:positionV>
            <wp:extent cx="836930" cy="836930"/>
            <wp:effectExtent l="0" t="0" r="1270" b="1270"/>
            <wp:wrapNone/>
            <wp:docPr id="2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
                    <pic:cNvPicPr>
                      <a:picLocks noChangeAspect="1"/>
                    </pic:cNvPicPr>
                  </pic:nvPicPr>
                  <pic:blipFill>
                    <a:blip r:embed="rId13"/>
                    <a:stretch>
                      <a:fillRect/>
                    </a:stretch>
                  </pic:blipFill>
                  <pic:spPr>
                    <a:xfrm>
                      <a:off x="0" y="0"/>
                      <a:ext cx="836930" cy="836930"/>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3</w:t>
      </w:r>
      <w:bookmarkEnd w:id="93"/>
      <w:bookmarkEnd w:id="94"/>
    </w:p>
    <w:p>
      <w:pPr>
        <w:ind w:left="378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8720" behindDoc="0" locked="0" layoutInCell="1" allowOverlap="1">
            <wp:simplePos x="0" y="0"/>
            <wp:positionH relativeFrom="column">
              <wp:posOffset>1458595</wp:posOffset>
            </wp:positionH>
            <wp:positionV relativeFrom="paragraph">
              <wp:posOffset>314960</wp:posOffset>
            </wp:positionV>
            <wp:extent cx="391795" cy="258445"/>
            <wp:effectExtent l="0" t="0" r="8255" b="8255"/>
            <wp:wrapNone/>
            <wp:docPr id="2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6"/>
                    <pic:cNvPicPr>
                      <a:picLocks noChangeAspect="1"/>
                    </pic:cNvPicPr>
                  </pic:nvPicPr>
                  <pic:blipFill>
                    <a:blip r:embed="rId12"/>
                    <a:stretch>
                      <a:fillRect/>
                    </a:stretch>
                  </pic:blipFill>
                  <pic:spPr>
                    <a:xfrm>
                      <a:off x="0" y="0"/>
                      <a:ext cx="391795" cy="258445"/>
                    </a:xfrm>
                    <a:prstGeom prst="rect">
                      <a:avLst/>
                    </a:prstGeom>
                    <a:noFill/>
                    <a:ln>
                      <a:noFill/>
                    </a:ln>
                  </pic:spPr>
                </pic:pic>
              </a:graphicData>
            </a:graphic>
          </wp:anchor>
        </w:drawing>
      </w:r>
    </w:p>
    <w:p>
      <w:pPr>
        <w:ind w:left="3780" w:leftChars="1800" w:firstLine="0" w:firstLineChars="0"/>
        <w:rPr>
          <w:rFonts w:hint="eastAsia" w:ascii="微软雅黑" w:hAnsi="微软雅黑" w:eastAsia="微软雅黑" w:cs="微软雅黑"/>
          <w:color w:val="002060"/>
          <w:sz w:val="72"/>
          <w:szCs w:val="72"/>
          <w:lang w:eastAsia="zh-CN"/>
        </w:rPr>
      </w:pPr>
      <w:bookmarkStart w:id="95" w:name="_Toc50_WPSOffice_Level2"/>
      <w:bookmarkStart w:id="96" w:name="_Toc17792_WPSOffice_Level2"/>
      <w:r>
        <w:rPr>
          <w:color w:val="002060"/>
          <w:sz w:val="21"/>
        </w:rPr>
        <mc:AlternateContent>
          <mc:Choice Requires="wps">
            <w:drawing>
              <wp:anchor distT="0" distB="0" distL="114300" distR="114300" simplePos="0" relativeHeight="251684864" behindDoc="0" locked="0" layoutInCell="1" allowOverlap="1">
                <wp:simplePos x="0" y="0"/>
                <wp:positionH relativeFrom="column">
                  <wp:posOffset>3052445</wp:posOffset>
                </wp:positionH>
                <wp:positionV relativeFrom="paragraph">
                  <wp:posOffset>142240</wp:posOffset>
                </wp:positionV>
                <wp:extent cx="2993390" cy="714375"/>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由专业的生物信息分析师和分子遗传学家进行数据分析并出具检测报告</w:t>
                            </w:r>
                            <w:r>
                              <w:rPr>
                                <w:rFonts w:hint="eastAsia" w:ascii="微软雅黑" w:hAnsi="微软雅黑" w:eastAsia="微软雅黑" w:cs="微软雅黑"/>
                                <w:kern w:val="0"/>
                                <w:sz w:val="18"/>
                                <w:szCs w:val="22"/>
                                <w:lang w:val="ca"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35pt;margin-top:11.2pt;height:56.25pt;width:235.7pt;z-index:251684864;mso-width-relative:page;mso-height-relative:page;" filled="f" stroked="f" coordsize="21600,21600" o:gfxdata="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yHs2AAAAAoBAAAPAAAAAAAAAAEAIAAAACIAAABkcnMvZG93bnJldi54&#10;bWxQSwECFAAUAAAACACHTuJA1NcsAGwCAAC8BAAADgAAAAAAAAABACAAAAAnAQAAZHJzL2Uyb0Rv&#10;Yy54bWxQSwUGAAAAAAYABgBZAQAABQYAAAAA&#10;">
                <v:fill on="f" focussize="0,0"/>
                <v:stroke on="f" weight="1pt" miterlimit="8" joinstyle="miter"/>
                <v:imagedata o:title=""/>
                <o:lock v:ext="edit" aspectratio="f"/>
                <v:textbo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由专业的生物信息分析师和分子遗传学家进行数据分析并出具检测报告</w:t>
                      </w:r>
                      <w:r>
                        <w:rPr>
                          <w:rFonts w:hint="eastAsia" w:ascii="微软雅黑" w:hAnsi="微软雅黑" w:eastAsia="微软雅黑" w:cs="微软雅黑"/>
                          <w:kern w:val="0"/>
                          <w:sz w:val="18"/>
                          <w:szCs w:val="22"/>
                          <w:lang w:val="ca" w:eastAsia="zh-CN" w:bidi="ar"/>
                        </w:rPr>
                        <w:t>。</w:t>
                      </w:r>
                    </w:p>
                  </w:txbxContent>
                </v:textbox>
              </v:shape>
            </w:pict>
          </mc:Fallback>
        </mc:AlternateContent>
      </w:r>
      <w:r>
        <w:rPr>
          <w:color w:val="002060"/>
        </w:rPr>
        <w:drawing>
          <wp:anchor distT="0" distB="0" distL="114300" distR="114300" simplePos="0" relativeHeight="251677696" behindDoc="0" locked="0" layoutInCell="1" allowOverlap="1">
            <wp:simplePos x="0" y="0"/>
            <wp:positionH relativeFrom="column">
              <wp:posOffset>1236345</wp:posOffset>
            </wp:positionH>
            <wp:positionV relativeFrom="paragraph">
              <wp:posOffset>6985</wp:posOffset>
            </wp:positionV>
            <wp:extent cx="843280" cy="843280"/>
            <wp:effectExtent l="0" t="0" r="13970" b="13970"/>
            <wp:wrapNone/>
            <wp:docPr id="2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7"/>
                    <pic:cNvPicPr>
                      <a:picLocks noChangeAspect="1"/>
                    </pic:cNvPicPr>
                  </pic:nvPicPr>
                  <pic:blipFill>
                    <a:blip r:embed="rId14"/>
                    <a:stretch>
                      <a:fillRect/>
                    </a:stretch>
                  </pic:blipFill>
                  <pic:spPr>
                    <a:xfrm>
                      <a:off x="0" y="0"/>
                      <a:ext cx="843280" cy="843280"/>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4</w:t>
      </w:r>
      <w:bookmarkEnd w:id="95"/>
      <w:bookmarkEnd w:id="96"/>
    </w:p>
    <w:p>
      <w:pPr>
        <w:ind w:left="378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80768" behindDoc="0" locked="0" layoutInCell="1" allowOverlap="1">
            <wp:simplePos x="0" y="0"/>
            <wp:positionH relativeFrom="column">
              <wp:posOffset>1502410</wp:posOffset>
            </wp:positionH>
            <wp:positionV relativeFrom="paragraph">
              <wp:posOffset>325755</wp:posOffset>
            </wp:positionV>
            <wp:extent cx="391795" cy="258445"/>
            <wp:effectExtent l="0" t="0" r="8255" b="8255"/>
            <wp:wrapNone/>
            <wp:docPr id="2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6"/>
                    <pic:cNvPicPr>
                      <a:picLocks noChangeAspect="1"/>
                    </pic:cNvPicPr>
                  </pic:nvPicPr>
                  <pic:blipFill>
                    <a:blip r:embed="rId12"/>
                    <a:stretch>
                      <a:fillRect/>
                    </a:stretch>
                  </pic:blipFill>
                  <pic:spPr>
                    <a:xfrm>
                      <a:off x="0" y="0"/>
                      <a:ext cx="391795" cy="258445"/>
                    </a:xfrm>
                    <a:prstGeom prst="rect">
                      <a:avLst/>
                    </a:prstGeom>
                    <a:noFill/>
                    <a:ln>
                      <a:noFill/>
                    </a:ln>
                  </pic:spPr>
                </pic:pic>
              </a:graphicData>
            </a:graphic>
          </wp:anchor>
        </w:drawing>
      </w:r>
    </w:p>
    <w:p>
      <w:pPr>
        <w:ind w:left="3780" w:leftChars="1800" w:firstLine="0" w:firstLineChars="0"/>
        <w:rPr>
          <w:rFonts w:hint="eastAsia" w:ascii="微软雅黑" w:hAnsi="微软雅黑" w:eastAsia="微软雅黑" w:cs="微软雅黑"/>
          <w:color w:val="002060"/>
          <w:sz w:val="72"/>
          <w:szCs w:val="72"/>
          <w:lang w:eastAsia="zh-CN"/>
        </w:rPr>
      </w:pPr>
      <w:r>
        <w:rPr>
          <w:color w:val="002060"/>
          <w:sz w:val="21"/>
        </w:rPr>
        <mc:AlternateContent>
          <mc:Choice Requires="wps">
            <w:drawing>
              <wp:anchor distT="0" distB="0" distL="114300" distR="114300" simplePos="0" relativeHeight="251685888" behindDoc="0" locked="0" layoutInCell="1" allowOverlap="1">
                <wp:simplePos x="0" y="0"/>
                <wp:positionH relativeFrom="column">
                  <wp:posOffset>3052445</wp:posOffset>
                </wp:positionH>
                <wp:positionV relativeFrom="paragraph">
                  <wp:posOffset>82550</wp:posOffset>
                </wp:positionV>
                <wp:extent cx="2993390" cy="714375"/>
                <wp:effectExtent l="0" t="0" r="0" b="0"/>
                <wp:wrapNone/>
                <wp:docPr id="220" name="文本框 220"/>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14:textOutline w14:w="9525">
                                  <w14:solidFill>
                                    <w14:srgbClr w14:val="000000"/>
                                  </w14:solidFill>
                                  <w14:round/>
                                </w14:textOutline>
                              </w:rPr>
                            </w:pPr>
                            <w:r>
                              <w:rPr>
                                <w:rFonts w:hint="eastAsia" w:ascii="微软雅黑" w:hAnsi="微软雅黑" w:eastAsia="微软雅黑" w:cs="微软雅黑"/>
                                <w:sz w:val="18"/>
                                <w:szCs w:val="22"/>
                                <w:lang w:val="ca" w:eastAsia="ca" w:bidi="ca"/>
                              </w:rPr>
                              <w:t>由专业的分子遗传学家和遗传咨询人员向受检者和送检医生提供报告解读和咨询服务</w:t>
                            </w:r>
                            <w:r>
                              <w:rPr>
                                <w:rFonts w:hint="eastAsia" w:ascii="微软雅黑" w:hAnsi="微软雅黑" w:eastAsia="微软雅黑" w:cs="微软雅黑"/>
                                <w:sz w:val="18"/>
                                <w:szCs w:val="22"/>
                                <w:lang w:val="ca" w:eastAsia="zh-CN" w:bidi="c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35pt;margin-top:6.5pt;height:56.25pt;width:235.7pt;z-index:251685888;mso-width-relative:page;mso-height-relative:page;" filled="f" stroked="f" coordsize="21600,21600" o:gfxdata="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65BXG2AAAAAoBAAAPAAAAAAAAAAEAIAAAACIAAABkcnMvZG93bnJldi54&#10;bWxQSwECFAAUAAAACACHTuJAqiMyqmwCAAC8BAAADgAAAAAAAAABACAAAAAnAQAAZHJzL2Uyb0Rv&#10;Yy54bWxQSwUGAAAAAAYABgBZAQAABQYAAAAA&#10;">
                <v:fill on="f" focussize="0,0"/>
                <v:stroke on="f" weight="1pt" miterlimit="8" joinstyle="miter"/>
                <v:imagedata o:title=""/>
                <o:lock v:ext="edit" aspectratio="f"/>
                <v:textbox>
                  <w:txbxContent>
                    <w:p>
                      <w:pPr>
                        <w:autoSpaceDE w:val="0"/>
                        <w:autoSpaceDN w:val="0"/>
                        <w:spacing w:line="184" w:lineRule="auto"/>
                        <w:ind w:left="3" w:right="-4" w:hanging="3"/>
                        <w:jc w:val="left"/>
                        <w:rPr>
                          <w14:textOutline w14:w="9525">
                            <w14:solidFill>
                              <w14:srgbClr w14:val="000000"/>
                            </w14:solidFill>
                            <w14:round/>
                          </w14:textOutline>
                        </w:rPr>
                      </w:pPr>
                      <w:r>
                        <w:rPr>
                          <w:rFonts w:hint="eastAsia" w:ascii="微软雅黑" w:hAnsi="微软雅黑" w:eastAsia="微软雅黑" w:cs="微软雅黑"/>
                          <w:sz w:val="18"/>
                          <w:szCs w:val="22"/>
                          <w:lang w:val="ca" w:eastAsia="ca" w:bidi="ca"/>
                        </w:rPr>
                        <w:t>由专业的分子遗传学家和遗传咨询人员向受检者和送检医生提供报告解读和咨询服务</w:t>
                      </w:r>
                      <w:r>
                        <w:rPr>
                          <w:rFonts w:hint="eastAsia" w:ascii="微软雅黑" w:hAnsi="微软雅黑" w:eastAsia="微软雅黑" w:cs="微软雅黑"/>
                          <w:sz w:val="18"/>
                          <w:szCs w:val="22"/>
                          <w:lang w:val="ca" w:eastAsia="zh-CN" w:bidi="ca"/>
                        </w:rPr>
                        <w:t>。</w:t>
                      </w:r>
                    </w:p>
                  </w:txbxContent>
                </v:textbox>
              </v:shape>
            </w:pict>
          </mc:Fallback>
        </mc:AlternateContent>
      </w:r>
      <w:r>
        <w:rPr>
          <w:color w:val="002060"/>
        </w:rPr>
        <w:drawing>
          <wp:anchor distT="0" distB="0" distL="114300" distR="114300" simplePos="0" relativeHeight="251679744" behindDoc="0" locked="0" layoutInCell="1" allowOverlap="1">
            <wp:simplePos x="0" y="0"/>
            <wp:positionH relativeFrom="column">
              <wp:posOffset>1290955</wp:posOffset>
            </wp:positionH>
            <wp:positionV relativeFrom="paragraph">
              <wp:posOffset>6350</wp:posOffset>
            </wp:positionV>
            <wp:extent cx="803275" cy="803275"/>
            <wp:effectExtent l="0" t="0" r="15875" b="15875"/>
            <wp:wrapNone/>
            <wp:docPr id="2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8"/>
                    <pic:cNvPicPr>
                      <a:picLocks noChangeAspect="1"/>
                    </pic:cNvPicPr>
                  </pic:nvPicPr>
                  <pic:blipFill>
                    <a:blip r:embed="rId15"/>
                    <a:stretch>
                      <a:fillRect/>
                    </a:stretch>
                  </pic:blipFill>
                  <pic:spPr>
                    <a:xfrm>
                      <a:off x="0" y="0"/>
                      <a:ext cx="803275" cy="803275"/>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5</w:t>
      </w:r>
    </w:p>
    <w:p>
      <w:pPr>
        <w:rPr>
          <w:rFonts w:hint="eastAsia" w:ascii="微软雅黑" w:hAnsi="微软雅黑" w:eastAsia="微软雅黑" w:cs="微软雅黑"/>
          <w:lang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br w:type="page"/>
      </w:r>
    </w:p>
    <w:p>
      <w:pPr>
        <w:outlineLvl w:val="1"/>
        <w:rPr>
          <w:rFonts w:hint="default" w:ascii="微软雅黑" w:hAnsi="微软雅黑" w:eastAsia="微软雅黑" w:cs="微软雅黑"/>
          <w:sz w:val="18"/>
          <w:szCs w:val="18"/>
          <w:lang w:val="en-US" w:eastAsia="zh-CN"/>
        </w:rPr>
      </w:pPr>
      <w:r>
        <w:rPr>
          <w:rFonts w:hint="eastAsia" w:ascii="微软雅黑" w:hAnsi="微软雅黑" w:eastAsia="微软雅黑" w:cs="微软雅黑"/>
          <w:b/>
          <w:color w:val="2E75B6" w:themeColor="accent1" w:themeShade="BF"/>
          <w:sz w:val="32"/>
          <w:lang w:val="en-US" w:eastAsia="zh-CN"/>
        </w:rPr>
        <w:t>参考文献</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 Yamamoto N, Seto T, et al. Erlotinib plus bevacizumab vs erlotinib monotherapy as frst-line treatment for advanced EGFR mutation-positive non-squamous non-small-cell lung cancer: Survival follow-up results of the randomized JO25567 study. Lung Cancer. 2021 Jan. 151:20-24.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 Saito H, Fukuhara T, et al. Erlotinib plus bevacizumab versus erlotinib alone in patients with EGFRpositive advanced non-squamous non-small-cell lung cancer (NEJ026): interim analysis of an open-label, randomised, multicentre, phase 3 trial. Lancet Oncol. 2019 May. 20(5):625-635.</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 Dahabreh IJ, Linardou H, et al. EGFR gene copy number as a predictive biomarker for patients receiving tyrosine kinase inhibitor treatment: a systematic review and meta-analysis in non-small-cell lung cancer. Ann Oncol. 2011 Mar;22(3):545-52.</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[4] Fiala O, Pesek M, et al. Epidermal Growth Factor Receptor Gene Amplifcation in Patients with Advanced-stage NSCLC. Anticancer Res. 2016 Jan;36(1):455-60.</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[5] Nukaga S, Yasuda H, et al. Amplifcation of EGFR Wild-Type Alleles in Non-Small Cell Lung Cancer Cells Confers Acquired</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Resistance to Mutation-Selective EGFR Tyrosine Kinase Inhibitors. Cancer Res. 2017 Apr 15;77(8):2078-2089.</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[6] Tsao MS, Sakurada A, et al. Erlotinib in lung cancer molecular and clinical predictors of outcome. N Engl J Med. 2005 Jul 14;353(2):133-44.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[7] Pugh TJ, Bebb G, et al. Correlations of EGFR mutations and increases in EGFR and HER2 copy number to geftinib response in a retrospective analysis of lung cancer patients. BMC Cancer. 2007 Jul 13;7:128.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[8] Jiang Z, Li C, et al. EGFR gene copy number as a prognostic marker in colorectal cancer patients treated with cetuximab or panitumumab: a systematic review and meta analysis. PLoS One. 2013;8(2):e56205.</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[9] Yang ZY, Shen WX, et al. EGFR gene copy number as a predictive biomarker for the treatment of metastatic colorectal cancer with anti-EGFR monoclonal antibodies: a meta-analysis. J Hematol Oncol. 2012 Aug 16;5:52.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[10] Erjala K, Sundvall M, et al. Signaling via ErbB2 and ErbB3 associates with resistance and epidermal growth factor receptor (EGFR) amplifcation with sensitivity to EGFR inhibitor geftinib in head and neck squamous cell carcinoma cells. Clin Cancer Res. 2006 Jul 1;12(13):4103-11.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[11] Aggarwal C, Thompson JC, et al. Baseline Plasma Tumor Mutation Burden Predicts Response to Pembrolizumab-based Therapy in Patients with Metastatic Non-Small Cell Lung Cancer. Clin Cancer Res. 2020 May 15. 26(10):2354-2361.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[12] Carbone DP, Reck M, et al. First-Line Nivolumab in Stage IV or Recurrent Non-Small-Cell Lung Cancer. N Engl J Med. 2017;376:2415-2426.</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[13] Yarchoan M, Hopkins A, et al. Tumor Mutational Burden and Response Rate to PD-1 Inhibition. N Engl J Med. 2017;377:2500-2501.</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[14] Hellmann MD, Ciuleanu TE, et al. Nivolumab plus Ipilimumab in Lung Cancer with a High Tumor Mutational Burden. N Engl J Med. 2018;378:2093-2104.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[15] Hellmann MD, Callahan MK, et al. Tumor Mutational Burden and Efcacy of Nivolumab Monotherapy and in Combination with Ipilimumab in Small-Cell Lung Cancer. Cancer Cell. 2018;14;33:853-861.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[16] Gandara DR, Paul SM, et al. Blood-based tumor mutational burden as a predictor of clinical beneft in non-small-cell lung cancer patients treated with atezolizumab. Nat Med. 2018 Sep;24(9):1441-1448.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[17] Kim ES, Velcheti V, et al. Primary effcacy results from B-F1RST, a prospective phase II trial evaluating blood-based tumour mutational burden(bTMB) as a predictive biomarker for atezolizumab (atezo) in 1L non-small cell lung cancer (NSCLC). Ann Oncol. 2018;29(suppl_8):mdy424.067.</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[18] Dong ZY, Zhong WZ, et al. Potential Predictive Value of TP53 and KRAS Mutation Status for Response to PD-1 Blockade Immunotherapy in Lung Adenocarcinoma. Clin Cancer Res 2017;23:3012-3024.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[19] Biton J, Mansuet-Lupo A, et al. TP53, STK11, and EGFR Mutations Predict Tumor Immune Profle and the Response to Anti-PD-1 in Lung Adenocarcinoma. Clin Cancer Res 2018.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[20] Kato S, Goodman A, et al. Hyperprogressors after Immunotherapy: Analysis of Genomic Alterations Associated with Accelerated Growth Rate. Clin Cancer Res 2017;23:4242-4250.</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[21] Gainor JF, Shaw AT, et al. EGFR Mutations and ALK Rearrangements Are Associated with Low Response Rates to PD-1 Pathway Blockade in Non-Small Cell Lung Cancer: A Retrospective Analysis. Clin Cancer Res 2016;22:4585-4593.</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[22] Lee CK, Man J, et al. Checkpoint Inhibitors in Metastatic EGFR-Mutated Non-Small Cell Lung Cancer-A Meta-Analysis. J Thorac Oncol 2017;12:403-407.</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[23] Socinski MA, Jotte RM, et al. Atezolizumab for First-Line Treatment of Metastatic Nonsquamous NSCLC. N Engl J Med 2018;378:2288-2301.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[24] Rizvi H, Sanchez-Vega F, et al. Molecular Determinants of Response to Anti-Programmed Cell Death (PD)-1 and Anti-Programmed Death-Ligand 1 (PD-L1) Blockade in Patients With NonSmall-Cell Lung Cancer Profled With Targeted Next-Generation Sequencing. J Clin Oncol 2018;36:633-641.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 Garassino MC, Cho BC, et al. Durvalumab as third-line or later treatment for advanced non-small-cell lung cancer (ATLANTIC): an open-label, single-arm, phase 2 study. Lancet Oncol 2018;19:521-536.</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[26] Hastings K, Yu H, et al. EGFR mutation subtypes and response to immune checkpoint blockade treatmen small cell lung cancer. Annals of oncology : ofcial journal of the European Society for Medical Oncology. 2019.</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[27] Taneja, Samir S. Re: DNA-Repair Defects and Olaparib in Metastatic Prostate Cancer[J]. The Journal of Urology, 2016,</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195(4):925-928.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[28] Teo M Y, Seier K, et al. Alterations in DNA Damage Response and Repair Genes as Potential Marker of Clinical Beneft From PD-1/PD-L1 Blockade in Advanced Urothelial Cancers[J]. Journal of Clinical Oncology, 2018, 36(17):JCO2017757740.</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[29] Teo M Y, Bambury R M, et al. DNA Damage Response and Repair Gene Alterations Are Associated with Improved Survival in Patients with Platinum-Treated Advanced Urothelial Carcinoma[J]. Clinical Cancer Research, 2017:1078-0432.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[30] NCCN Guidelines：Non-Small Cell Lung Cancer (2021.V2).</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[31] NCCN Guidelines：Colon Cancer (2020.V4).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[32] NCCN Guidelines：Rectal Cancer (2020.V6).</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br w:type="page"/>
      </w:r>
    </w:p>
    <w:p>
      <w:pPr>
        <w:outlineLvl w:val="1"/>
        <w:rPr>
          <w:rFonts w:hint="default" w:ascii="微软雅黑" w:hAnsi="微软雅黑" w:eastAsia="微软雅黑" w:cs="微软雅黑"/>
          <w:sz w:val="18"/>
          <w:szCs w:val="18"/>
          <w:lang w:val="en-US" w:eastAsia="zh-CN"/>
        </w:rPr>
      </w:pPr>
      <w:r>
        <w:rPr>
          <w:rFonts w:hint="eastAsia" w:ascii="微软雅黑" w:hAnsi="微软雅黑" w:eastAsia="微软雅黑" w:cs="微软雅黑"/>
          <w:b/>
          <w:color w:val="2E75B6" w:themeColor="accent1" w:themeShade="BF"/>
          <w:sz w:val="32"/>
          <w:lang w:val="en-US" w:eastAsia="zh-CN"/>
        </w:rPr>
        <w:t>报告声明</w:t>
      </w:r>
    </w:p>
    <w:p>
      <w:pPr>
        <w:ind w:left="218" w:leftChars="104" w:right="586" w:rightChars="279" w:firstLine="0" w:firstLineChars="0"/>
        <w:rPr>
          <w:rFonts w:hint="eastAsia" w:ascii="微软雅黑" w:hAnsi="微软雅黑" w:eastAsia="微软雅黑" w:cs="微软雅黑"/>
          <w:b/>
          <w:bCs/>
          <w:color w:val="auto"/>
          <w:sz w:val="24"/>
          <w:lang w:val="en-US" w:eastAsia="zh-CN"/>
        </w:rPr>
      </w:pPr>
      <w:r>
        <w:rPr>
          <w:rFonts w:hint="eastAsia" w:ascii="微软雅黑" w:hAnsi="微软雅黑" w:eastAsia="微软雅黑" w:cs="微软雅黑"/>
          <w:b/>
          <w:bCs/>
          <w:color w:val="2E75B6" w:themeColor="accent1" w:themeShade="BF"/>
          <w:sz w:val="24"/>
          <w:szCs w:val="24"/>
          <w:lang w:val="en-US" w:eastAsia="zh-CN"/>
        </w:rPr>
        <w:t>请您对下列事项予以授权确认：</w:t>
      </w:r>
    </w:p>
    <w:p>
      <w:pPr>
        <w:ind w:left="218" w:leftChars="104" w:right="586" w:rightChars="279" w:firstLine="0" w:firstLineChars="0"/>
        <w:rPr>
          <w:rFonts w:hint="eastAsia" w:ascii="微软雅黑" w:hAnsi="微软雅黑" w:eastAsia="微软雅黑" w:cs="微软雅黑"/>
          <w:color w:val="auto"/>
          <w:sz w:val="18"/>
          <w:szCs w:val="18"/>
          <w:lang w:val="en-US" w:eastAsia="zh-CN"/>
        </w:rPr>
      </w:pPr>
    </w:p>
    <w:p>
      <w:pPr>
        <w:ind w:left="218" w:leftChars="104" w:right="586" w:rightChars="279" w:firstLine="0" w:firstLineChars="0"/>
        <w:rPr>
          <w:rFonts w:hint="eastAsia" w:ascii="微软雅黑" w:hAnsi="微软雅黑" w:eastAsia="微软雅黑" w:cs="微软雅黑"/>
          <w:b/>
          <w:bCs/>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关于送检样本</w:t>
      </w:r>
    </w:p>
    <w:p>
      <w:pPr>
        <w:ind w:left="218" w:leftChars="104" w:right="586" w:rightChars="279"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您同意我公司获得、保存、处理和分析您提供的体液样品、样品衍生物和经分析产生的相关信息并向您提供相关报告。同意我公司将您的个人数据用于基因相关的数据挖掘，用于您的基因报告的更新和推送。您需要知道一旦您将样本寄回至我公司，样本是不可返回的。根据后续服务和相关研究的需要，我公司将有选择地保存和处理用户的体液样品、样品衍生物和经分析产生的相关遗传信息。</w:t>
      </w:r>
    </w:p>
    <w:p>
      <w:pPr>
        <w:ind w:left="218" w:leftChars="104" w:right="586" w:rightChars="279" w:firstLine="0" w:firstLineChars="0"/>
        <w:rPr>
          <w:rFonts w:hint="eastAsia" w:ascii="微软雅黑" w:hAnsi="微软雅黑" w:eastAsia="微软雅黑" w:cs="微软雅黑"/>
          <w:sz w:val="18"/>
          <w:szCs w:val="18"/>
          <w:lang w:val="en-US" w:eastAsia="zh-CN"/>
        </w:rPr>
      </w:pPr>
    </w:p>
    <w:p>
      <w:pPr>
        <w:ind w:left="218" w:leftChars="104" w:right="586" w:rightChars="279" w:firstLine="0" w:firstLineChars="0"/>
        <w:rPr>
          <w:rFonts w:hint="eastAsia" w:ascii="微软雅黑" w:hAnsi="微软雅黑" w:eastAsia="微软雅黑" w:cs="微软雅黑"/>
          <w:b/>
          <w:bCs/>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关于检测结果</w:t>
      </w:r>
    </w:p>
    <w:p>
      <w:pPr>
        <w:ind w:left="218" w:leftChars="104" w:right="586" w:rightChars="279"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您明白该产品的用途，是用于为大众提供基于遗传科学和生物信息计算的服务产品，并可能将这些数据用于支持科学研究、医疗研发、相关科技产品的开发等。而其结果以及当前的基因解读报告，只是代表一个可能性，并不等同于临床诊断结果。</w:t>
      </w:r>
    </w:p>
    <w:p>
      <w:pPr>
        <w:ind w:left="218" w:leftChars="104" w:right="586" w:rightChars="279" w:firstLine="0" w:firstLineChars="0"/>
        <w:rPr>
          <w:rFonts w:hint="eastAsia" w:ascii="微软雅黑" w:hAnsi="微软雅黑" w:eastAsia="微软雅黑" w:cs="微软雅黑"/>
          <w:sz w:val="18"/>
          <w:szCs w:val="18"/>
          <w:lang w:val="en-US" w:eastAsia="zh-CN"/>
        </w:rPr>
      </w:pPr>
    </w:p>
    <w:p>
      <w:pPr>
        <w:ind w:left="218" w:leftChars="104" w:right="586" w:rightChars="279" w:firstLine="0" w:firstLineChars="0"/>
        <w:rPr>
          <w:rFonts w:hint="eastAsia" w:ascii="微软雅黑" w:hAnsi="微软雅黑" w:eastAsia="微软雅黑" w:cs="微软雅黑"/>
          <w:b/>
          <w:bCs/>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关于报告解读</w:t>
      </w:r>
    </w:p>
    <w:p>
      <w:pPr>
        <w:ind w:left="218" w:leftChars="104" w:right="586" w:rightChars="279"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不能保证提供全部完整的信息，随着科研的进步和发展，更多信息您需要通过我们服务产品的更新，或是相关医生、遗传咨询师或其他健康护理机构获得。我们建议您与相关医生或遗传咨询师进行交流，可以帮助您更好地理解相关结果，以及判断结果对于个人的准确性和适合度。所有的报告解读和咨询均基于您提供的临床症状和家族史，分析与您临床表型相关的基因变异。随着研究的深入，可能得到与目前基因研究不同甚至冲突的结果。</w:t>
      </w:r>
    </w:p>
    <w:p>
      <w:pPr>
        <w:ind w:left="218" w:leftChars="104" w:right="586" w:rightChars="279" w:firstLine="0" w:firstLineChars="0"/>
        <w:rPr>
          <w:rFonts w:hint="eastAsia" w:ascii="微软雅黑" w:hAnsi="微软雅黑" w:eastAsia="微软雅黑" w:cs="微软雅黑"/>
          <w:sz w:val="18"/>
          <w:szCs w:val="18"/>
          <w:lang w:val="en-US" w:eastAsia="zh-CN"/>
        </w:rPr>
      </w:pPr>
    </w:p>
    <w:p>
      <w:pPr>
        <w:ind w:left="218" w:leftChars="104" w:right="586" w:rightChars="279" w:firstLine="0" w:firstLineChars="0"/>
        <w:rPr>
          <w:rFonts w:hint="eastAsia" w:ascii="微软雅黑" w:hAnsi="微软雅黑" w:eastAsia="微软雅黑" w:cs="微软雅黑"/>
          <w:b/>
          <w:bCs/>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关于隐私保护</w:t>
      </w:r>
    </w:p>
    <w:p>
      <w:pPr>
        <w:ind w:left="218" w:leftChars="104" w:right="586" w:rightChars="279"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提醒您注意保护自己的基因信息，这可能会在保险或是职业雇佣方面影响您的利益。由于用户提供联系方式（包括但不限于电话号码，通信地址，电子邮件）的错误或因变更没有及时更改个人信息导致的服务障碍，我公司不承担任何责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sectPr>
      <w:pgSz w:w="11906" w:h="16838"/>
      <w:pgMar w:top="720" w:right="720" w:bottom="720" w:left="720"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微软雅黑" w:hAnsi="微软雅黑" w:eastAsia="微软雅黑" w:cs="微软雅黑"/>
        <w:lang w:val="en-US" w:eastAsia="zh-CN"/>
      </w:rPr>
    </w:pPr>
    <w:r>
      <w:rPr>
        <w:rFonts w:hint="eastAsia" w:ascii="微软雅黑" w:hAnsi="微软雅黑" w:eastAsia="微软雅黑" w:cs="微软雅黑"/>
        <w:sz w:val="18"/>
      </w:rPr>
      <mc:AlternateContent>
        <mc:Choice Requires="wps">
          <w:drawing>
            <wp:anchor distT="0" distB="0" distL="114300" distR="114300" simplePos="0" relativeHeight="251660288" behindDoc="0" locked="0" layoutInCell="1" allowOverlap="1">
              <wp:simplePos x="0" y="0"/>
              <wp:positionH relativeFrom="margin">
                <wp:posOffset>6559550</wp:posOffset>
              </wp:positionH>
              <wp:positionV relativeFrom="paragraph">
                <wp:posOffset>6985</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6.5pt;margin-top:0.55pt;height:144pt;width:144pt;mso-position-horizontal-relative:margin;mso-wrap-style:none;z-index:251660288;mso-width-relative:page;mso-height-relative:page;" filled="f" stroked="f" coordsize="21600,21600" o:gfxdata="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e1/sjXAAAACwEAAA8AAAAAAAAAAQAgAAAAIgAAAGRycy9kb3ducmV2Lnht&#10;bFBLAQIUABQAAAAIAIdO4kAIxY6ZMwIAAGMEAAAOAAAAAAAAAAEAIAAAACYBAABkcnMvZTJvRG9j&#10;LnhtbFBLBQYAAAAABgAGAFkBAADLBQAAAAA=&#10;">
              <v:fill on="f" focussize="0,0"/>
              <v:stroke on="f" weight="0.5pt"/>
              <v:imagedata o:title=""/>
              <o:lock v:ext="edit" aspectratio="f"/>
              <v:textbox inset="0mm,0mm,0mm,0mm" style="mso-fit-shape-to-text:t;">
                <w:txbxContent>
                  <w:p>
                    <w:pPr>
                      <w:pStyle w:val="6"/>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p>
                </w:txbxContent>
              </v:textbox>
            </v:shape>
          </w:pict>
        </mc:Fallback>
      </mc:AlternateContent>
    </w:r>
    <w:r>
      <w:rPr>
        <w:rFonts w:hint="eastAsia" w:ascii="微软雅黑" w:hAnsi="微软雅黑" w:eastAsia="微软雅黑" w:cs="微软雅黑"/>
        <w:lang w:val="en-US" w:eastAsia="zh-CN"/>
      </w:rPr>
      <w:t>报告编号 / {{report_id}}   姓名 / {{name}}                                                                 页码/</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default"/>
        <w:lang w:val="en-US" w:eastAsia="zh-CN"/>
      </w:rPr>
    </w:pPr>
    <w:r>
      <w:drawing>
        <wp:inline distT="0" distB="0" distL="0" distR="0">
          <wp:extent cx="1833245" cy="441960"/>
          <wp:effectExtent l="0" t="0" r="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a:extLst>
                      <a:ext uri="{28A0092B-C50C-407E-A947-70E740481C1C}">
                        <a14:useLocalDpi xmlns:a14="http://schemas.microsoft.com/office/drawing/2010/main" val="0"/>
                      </a:ext>
                    </a:extLst>
                  </a:blip>
                  <a:srcRect t="24929" b="12726"/>
                  <a:stretch>
                    <a:fillRect/>
                  </a:stretch>
                </pic:blipFill>
                <pic:spPr>
                  <a:xfrm>
                    <a:off x="0" y="0"/>
                    <a:ext cx="1846391" cy="445599"/>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3E147B"/>
    <w:multiLevelType w:val="singleLevel"/>
    <w:tmpl w:val="D63E147B"/>
    <w:lvl w:ilvl="0" w:tentative="0">
      <w:start w:val="1"/>
      <w:numFmt w:val="decimal"/>
      <w:suff w:val="space"/>
      <w:lvlText w:val="%1."/>
      <w:lvlJc w:val="left"/>
    </w:lvl>
  </w:abstractNum>
  <w:abstractNum w:abstractNumId="1">
    <w:nsid w:val="F69D6E83"/>
    <w:multiLevelType w:val="singleLevel"/>
    <w:tmpl w:val="F69D6E83"/>
    <w:lvl w:ilvl="0" w:tentative="0">
      <w:start w:val="1"/>
      <w:numFmt w:val="decimal"/>
      <w:suff w:val="space"/>
      <w:lvlText w:val="%1."/>
      <w:lvlJc w:val="left"/>
    </w:lvl>
  </w:abstractNum>
  <w:abstractNum w:abstractNumId="2">
    <w:nsid w:val="5AF26CAC"/>
    <w:multiLevelType w:val="singleLevel"/>
    <w:tmpl w:val="5AF26CAC"/>
    <w:lvl w:ilvl="0" w:tentative="0">
      <w:start w:val="5"/>
      <w:numFmt w:val="decimal"/>
      <w:suff w:val="space"/>
      <w:lvlText w:val="%1."/>
      <w:lvlJc w:val="left"/>
    </w:lvl>
  </w:abstractNum>
  <w:abstractNum w:abstractNumId="3">
    <w:nsid w:val="7992F9B0"/>
    <w:multiLevelType w:val="singleLevel"/>
    <w:tmpl w:val="7992F9B0"/>
    <w:lvl w:ilvl="0" w:tentative="0">
      <w:start w:val="2"/>
      <w:numFmt w:val="decimal"/>
      <w:suff w:val="space"/>
      <w:lvlText w:val="%1."/>
      <w:lvlJc w:val="left"/>
      <w:rPr>
        <w:rFonts w:hint="default"/>
        <w:b/>
        <w:bCs/>
        <w:sz w:val="18"/>
        <w:szCs w:val="18"/>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MWFmM2ZlY2JlZDAxODYxZDA3OTEyZWNjY2FmZWUifQ=="/>
  </w:docVars>
  <w:rsids>
    <w:rsidRoot w:val="5DDD474B"/>
    <w:rsid w:val="01675739"/>
    <w:rsid w:val="021B6523"/>
    <w:rsid w:val="02E515EB"/>
    <w:rsid w:val="08BE564F"/>
    <w:rsid w:val="09BE712A"/>
    <w:rsid w:val="0B8A3069"/>
    <w:rsid w:val="0DDF5F62"/>
    <w:rsid w:val="11632A08"/>
    <w:rsid w:val="13FA0089"/>
    <w:rsid w:val="144F5AD9"/>
    <w:rsid w:val="158942F7"/>
    <w:rsid w:val="1B2951B9"/>
    <w:rsid w:val="1C2E5416"/>
    <w:rsid w:val="1DE26CE7"/>
    <w:rsid w:val="20EF4A49"/>
    <w:rsid w:val="246C52D4"/>
    <w:rsid w:val="27BE4EAE"/>
    <w:rsid w:val="29A0147D"/>
    <w:rsid w:val="3426618C"/>
    <w:rsid w:val="34B24ABC"/>
    <w:rsid w:val="363962B4"/>
    <w:rsid w:val="37F007A1"/>
    <w:rsid w:val="39493F56"/>
    <w:rsid w:val="3AF6152D"/>
    <w:rsid w:val="3E8104B3"/>
    <w:rsid w:val="440009CE"/>
    <w:rsid w:val="491D3A95"/>
    <w:rsid w:val="4B8261B2"/>
    <w:rsid w:val="51F744F7"/>
    <w:rsid w:val="525C25C8"/>
    <w:rsid w:val="526E66BB"/>
    <w:rsid w:val="553D1D4A"/>
    <w:rsid w:val="5785782F"/>
    <w:rsid w:val="59E60EDB"/>
    <w:rsid w:val="5AA14816"/>
    <w:rsid w:val="5B577767"/>
    <w:rsid w:val="5CA650AB"/>
    <w:rsid w:val="5CC31466"/>
    <w:rsid w:val="5DB61D64"/>
    <w:rsid w:val="5DDD474B"/>
    <w:rsid w:val="672A7CED"/>
    <w:rsid w:val="6A7A7B6C"/>
    <w:rsid w:val="6BD97E3E"/>
    <w:rsid w:val="6DBD6084"/>
    <w:rsid w:val="6DF743E8"/>
    <w:rsid w:val="70D20FE9"/>
    <w:rsid w:val="749A0B71"/>
    <w:rsid w:val="76A050B9"/>
    <w:rsid w:val="77DD4396"/>
    <w:rsid w:val="7C4240DA"/>
    <w:rsid w:val="7C4A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17400</Words>
  <Characters>32906</Characters>
  <Lines>0</Lines>
  <Paragraphs>0</Paragraphs>
  <TotalTime>12</TotalTime>
  <ScaleCrop>false</ScaleCrop>
  <LinksUpToDate>false</LinksUpToDate>
  <CharactersWithSpaces>34564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2022-02-07T03:38:00Z</dcterms:created>
  <dc:creator>ghw</dc:creator>
  <cp:lastModifiedBy>王月星</cp:lastModifiedBy>
  <dcterms:modified xsi:type="dcterms:W3CDTF">2022-06-13T07:26:07Z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9F76FE059CAC420792CDC595D7F94DB6</vt:lpwstr>
  </property>
</Properties>
</file>