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16 RCD modalities (bona fide cell death mechanisms with distinct molecular machinery, admitted through the G0-G6 hard gates), 7 subtypes (mechanistic subdivisions of parent modalities), 2 triggers (events that initiate cell death without themselves being death mechanisms), 13 functional/contextual categories (contextual programs, morphological outcomes, cell-type and differentiation programs), and 15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16 RCD modalities, 7 subtypes, 2 triggers, 13 functional/contextual categories, and 15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(16, gold), L2 subtypes (7, blue), L3 triggers (2, green), L4 Functional/contextual (13, purple), and L5 Generic/umbrella/taxon (15,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(64.7%) while the Functional/contextual categories (L4) are the most dilute (23.9%), with the Generic/umbrella/taxon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