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16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16 RCDome L1 entities, 9 carry NCCD-verbatim definitions (ferroptosis, necroptosis, pyroptosis, entosis, NETosis, parthanatos, MPT-driven necrosis, autophagy-dependent cell death, and lysosome-dependent cell death). Seven L1 entities fall outside the NCCD 2018 list: apoptosis (which the NCCD splits into extrinsic and intrinsic subtypes, both retained at L2 in RCDome) and six modalities not included in the NCCD 2018 list — cuproptosis, disulfidptosis, methuosis, oxeiptosis, paraptosis, and alkaliptosis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"Entotic-cell-death" to "Entosis").</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16 of the 53 entities satisfy the G0–G6 hard-gate criteria for classification as bona fide RCD modalities. The 53 entities are organized into: 18 RCD modalities (bona fide cell death mechanisms with distinct molecular machinery, admitted through the G0-G6 hard gates), 7 subtypes (mechanistic subdivisions of parent modalities), 2 triggers (events that initiate cell death without themselves being death mechanisms), 13 functional/contextual categories (contextual programs, morphological outcomes, cell-type and differentiation programs), and 13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18 RCD modalities, 7 subtypes, 2 triggers, 13 functional/contextual categories, and 13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(18, gold), L2 subtypes (7, blue), L3 triggers (2, green), L4 Functional/contextual (13, purple), and L5 Generic/umbrella/taxon (13, orange) — over a constellation of the 9,265 HGNC-validated genes. This color-coding makes the ontology’s core claim visible at a glance: only 16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(64.7%) while the Functional/contextual categories (L4) are the most dilute (23.9%), with the Generic/umbrella/taxon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