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and is executed or </w:t>
      </w:r>
      <w:r w:rsidRPr="00015F1D">
        <w:rPr>
          <w:rFonts w:asciiTheme="majorHAnsi" w:hAnsiTheme="majorHAnsi" w:cstheme="majorHAnsi"/>
          <w:szCs w:val="24"/>
          <w:highlight w:val="yellow"/>
        </w:rPr>
        <w:t>regulate</w:t>
      </w:r>
      <w:r w:rsidRPr="002D15AA">
        <w:rPr>
          <w:rFonts w:asciiTheme="majorHAnsi" w:hAnsiTheme="majorHAnsi" w:cstheme="majorHAnsi"/>
          <w:szCs w:val="24"/>
        </w:rPr>
        <w:t xml:space="preserve">d by specific genes. Yet for the researcher asking which genes execute or regulate a given </w:t>
      </w:r>
      <w:r w:rsidR="00763D17" w:rsidRPr="00763D17">
        <w:rPr>
          <w:rFonts w:asciiTheme="majorHAnsi" w:hAnsiTheme="majorHAnsi" w:cstheme="majorHAnsi"/>
          <w:szCs w:val="24"/>
          <w:highlight w:val="yellow"/>
        </w:rPr>
        <w:t xml:space="preserve">RCD </w:t>
      </w:r>
      <w:r w:rsidR="00763D17">
        <w:rPr>
          <w:rFonts w:asciiTheme="majorHAnsi" w:hAnsiTheme="majorHAnsi" w:cstheme="majorHAnsi"/>
          <w:szCs w:val="24"/>
        </w:rPr>
        <w:t>form</w:t>
      </w:r>
      <w:r w:rsidRPr="002D15AA">
        <w:rPr>
          <w:rFonts w:asciiTheme="majorHAnsi" w:hAnsiTheme="majorHAnsi" w:cstheme="majorHAnsi"/>
          <w:szCs w:val="24"/>
        </w:rPr>
        <w:t xml:space="preserve">,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w:t>
      </w:r>
      <w:r w:rsidR="00763D17">
        <w:rPr>
          <w:rFonts w:asciiTheme="majorHAnsi" w:hAnsiTheme="majorHAnsi" w:cstheme="majorHAnsi"/>
          <w:szCs w:val="24"/>
        </w:rPr>
        <w:t xml:space="preserve">o </w:t>
      </w:r>
      <w:r w:rsidR="00763D17" w:rsidRPr="00763D17">
        <w:rPr>
          <w:rFonts w:asciiTheme="majorHAnsi" w:hAnsiTheme="majorHAnsi" w:cstheme="majorHAnsi"/>
          <w:szCs w:val="24"/>
          <w:highlight w:val="yellow"/>
        </w:rPr>
        <w:t>meaning</w:t>
      </w:r>
      <w:r w:rsidR="00763D17">
        <w:rPr>
          <w:rFonts w:asciiTheme="majorHAnsi" w:hAnsiTheme="majorHAnsi" w:cstheme="majorHAnsi"/>
          <w:szCs w:val="24"/>
        </w:rPr>
        <w:t xml:space="preserve"> </w:t>
      </w:r>
      <w:r w:rsidRPr="002D15AA">
        <w:rPr>
          <w:rFonts w:asciiTheme="majorHAnsi" w:hAnsiTheme="majorHAnsi" w:cstheme="majorHAnsi"/>
          <w:szCs w:val="24"/>
        </w:rPr>
        <w:t xml:space="preserve">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The remaining 86.3% of validated </w:t>
      </w:r>
      <w:r w:rsidR="00763D17" w:rsidRPr="00763D17">
        <w:rPr>
          <w:rFonts w:asciiTheme="majorHAnsi" w:hAnsiTheme="majorHAnsi" w:cstheme="majorHAnsi"/>
          <w:szCs w:val="24"/>
          <w:highlight w:val="yellow"/>
        </w:rPr>
        <w:t>gene-RCD pairs</w:t>
      </w:r>
      <w:r w:rsidRPr="002D15AA">
        <w:rPr>
          <w:rFonts w:asciiTheme="majorHAnsi" w:hAnsiTheme="majorHAnsi" w:cstheme="majorHAnsi"/>
          <w:szCs w:val="24"/>
        </w:rPr>
        <w:t xml:space="preserve"> lack mechanistic confirmation, and 442 pairs (2.0%) are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t>) was used for semantic searches across 200M+ papers, returning claim-level extractions with citation context.</w:t>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four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11 synonym merges. All 53 RCD-related entities carry gene-level evidence in the unified matrix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D36884">
        <w:rPr>
          <w:rFonts w:asciiTheme="majorHAnsi" w:hAnsiTheme="majorHAnsi" w:cstheme="majorHAnsi"/>
          <w:szCs w:val="24"/>
          <w:highlight w:val="green"/>
        </w:rPr>
        <w:t>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C02067">
        <w:rPr>
          <w:rFonts w:asciiTheme="majorHAnsi" w:hAnsiTheme="majorHAnsi" w:cstheme="majorHAnsi"/>
          <w:szCs w:val="24"/>
          <w:highlight w:val="green"/>
        </w:rPr>
        <w:t>Supplementary Note S3</w:t>
      </w:r>
      <w:r w:rsidRPr="002D15AA">
        <w:rPr>
          <w:rFonts w:asciiTheme="majorHAnsi" w:hAnsiTheme="majorHAnsi" w:cstheme="majorHAnsi"/>
          <w:szCs w:val="24"/>
        </w:rPr>
        <w:t xml:space="preserve">; Figure 2C). The full extraction </w:t>
      </w:r>
      <w:r w:rsidRPr="002D15AA">
        <w:rPr>
          <w:rFonts w:asciiTheme="majorHAnsi" w:hAnsiTheme="majorHAnsi" w:cstheme="majorHAnsi"/>
          <w:szCs w:val="24"/>
        </w:rPr>
        <w:lastRenderedPageBreak/>
        <w:t>runs over all 21,568 unique pairs with a checkpoint file for resumption, subject to a monthly call ceiling.</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w:t>
      </w:r>
      <w:r w:rsidRPr="002D15AA">
        <w:rPr>
          <w:rFonts w:asciiTheme="majorHAnsi" w:hAnsiTheme="majorHAnsi" w:cstheme="majorHAnsi"/>
          <w:szCs w:val="24"/>
        </w:rPr>
        <w:lastRenderedPageBreak/>
        <w:t>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w:t>
      </w:r>
      <w:r w:rsidRPr="002D15AA">
        <w:rPr>
          <w:rFonts w:asciiTheme="majorHAnsi" w:hAnsiTheme="majorHAnsi" w:cstheme="majorHAnsi"/>
          <w:szCs w:val="24"/>
        </w:rPr>
        <w:lastRenderedPageBreak/>
        <w:t>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w:t>
      </w:r>
      <w:r w:rsidRPr="002D15AA">
        <w:rPr>
          <w:rFonts w:asciiTheme="majorHAnsi" w:hAnsiTheme="majorHAnsi" w:cstheme="majorHAnsi"/>
          <w:szCs w:val="24"/>
        </w:rPr>
        <w:lastRenderedPageBreak/>
        <w:t>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