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Building on this framework, 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w:t>
      </w:r>
      <w:r w:rsidRPr="002D15AA">
        <w:rPr>
          <w:rFonts w:asciiTheme="majorHAnsi" w:hAnsiTheme="majorHAnsi" w:cstheme="majorHAnsi"/>
          <w:szCs w:val="24"/>
        </w:rPr>
        <w:lastRenderedPageBreak/>
        <w:t xml:space="preserve">(NECSO), mitoxyperilysis, triaptosis, spectosis, floatptosis, lysozincrosis, and metalloptosis </w:t>
      </w:r>
      <w:r w:rsidRPr="00426C1E">
        <w:rPr>
          <w:rFonts w:asciiTheme="majorHAnsi" w:hAnsiTheme="majorHAnsi" w:cstheme="majorHAnsi"/>
          <w:szCs w:val="24"/>
          <w:highlight w:val="magenta"/>
        </w:rPr>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w:t>
      </w:r>
      <w:r w:rsidRPr="002D15AA">
        <w:rPr>
          <w:rFonts w:asciiTheme="majorHAnsi" w:hAnsiTheme="majorHAnsi" w:cstheme="majorHAnsi"/>
          <w:szCs w:val="24"/>
        </w:rPr>
        <w:lastRenderedPageBreak/>
        <w:t>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Throughout RCDome, “canonicalized” refers exclusively to vocabulary normalization: heterogeneous source terms are mapped to a preferred RCDome identifier while their </w:t>
      </w:r>
      <w:r w:rsidRPr="002D15AA">
        <w:rPr>
          <w:rFonts w:asciiTheme="majorHAnsi" w:hAnsiTheme="majorHAnsi" w:cstheme="majorHAnsi"/>
          <w:szCs w:val="24"/>
        </w:rPr>
        <w:lastRenderedPageBreak/>
        <w:t>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(two-call review and the Knock Test). The RCDome controlled vocabulary comprises 53 canonicalized RCD-related entities, where “</w:t>
      </w:r>
      <w:r w:rsidRPr="00664F02">
        <w:rPr>
          <w:rFonts w:asciiTheme="majorHAnsi" w:hAnsiTheme="majorHAnsi" w:cstheme="majorHAnsi"/>
          <w:szCs w:val="24"/>
          <w:highlight w:val="yellow"/>
        </w:rPr>
        <w:t>canonicalized” denotes normalization to a preferred RCDome vocabulary identifier rather than recognition as a canonical or established RCD modality;</w:t>
      </w:r>
      <w:r w:rsidRPr="002D15AA">
        <w:rPr>
          <w:rFonts w:asciiTheme="majorHAnsi" w:hAnsiTheme="majorHAnsi" w:cstheme="majorHAnsi"/>
          <w:szCs w:val="24"/>
        </w:rPr>
        <w:t xml:space="preserve"> it is derived from the unified gene-RCD evidence matrix (Database S1; 22,473 rows; 21,568 gene-RCD pairs). The controlled vocabulary is fixed and is not modified by downstream definition work</w:t>
      </w:r>
      <w:r w:rsidR="00664F02">
        <w:rPr>
          <w:rFonts w:asciiTheme="majorHAnsi" w:hAnsiTheme="majorHAnsi" w:cstheme="majorHAnsi"/>
          <w:szCs w:val="24"/>
        </w:rPr>
        <w:t xml:space="preserve">, </w:t>
      </w:r>
      <w:r w:rsidR="00664F02" w:rsidRPr="00664F02">
        <w:rPr>
          <w:rFonts w:asciiTheme="majorHAnsi" w:hAnsiTheme="majorHAnsi" w:cstheme="majorHAnsi"/>
          <w:szCs w:val="24"/>
          <w:highlight w:val="green"/>
        </w:rPr>
        <w:t>except manual curation</w:t>
      </w:r>
      <w:r w:rsidRPr="00664F02">
        <w:rPr>
          <w:rFonts w:asciiTheme="majorHAnsi" w:hAnsiTheme="majorHAnsi" w:cstheme="majorHAnsi"/>
          <w:szCs w:val="24"/>
          <w:highlight w:val="green"/>
        </w:rPr>
        <w:t>.</w:t>
      </w:r>
      <w:r w:rsidRPr="002D15AA">
        <w:rPr>
          <w:rFonts w:asciiTheme="majorHAnsi" w:hAnsiTheme="majorHAnsi" w:cstheme="majorHAnsi"/>
          <w:szCs w:val="24"/>
        </w:rPr>
        <w:t xml:space="preserve"> Each entity's operational definition was assigned from the highest-priority source available, in the order: (i) the verbatim operational definitions of the Nomenclature Committee on Cell Death (NCCD; </w:t>
      </w:r>
      <w:r w:rsidR="00664F02" w:rsidRPr="00664F02">
        <w:rPr>
          <w:rFonts w:asciiTheme="majorHAnsi" w:hAnsiTheme="majorHAnsi" w:cstheme="majorHAnsi"/>
          <w:szCs w:val="24"/>
          <w:highlight w:val="yellow"/>
        </w:rPr>
        <w:t>{Galluzzi, 2018 #782025}</w:t>
      </w:r>
      <w:r w:rsidRPr="002D15AA">
        <w:rPr>
          <w:rFonts w:asciiTheme="majorHAnsi" w:hAnsiTheme="majorHAnsi" w:cstheme="majorHAnsi"/>
          <w:szCs w:val="24"/>
        </w:rPr>
        <w:t>), treated as invariant (content and meaning never altered); (ii) the expanded operational definitions of our prior study (</w:t>
      </w:r>
      <w:r w:rsidR="00664F02" w:rsidRPr="00664F02">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hereafter the multi-optosis dataset), preserved verbatim; and (iii) for entities lacking a committee definition, a de novo definition </w:t>
      </w:r>
      <w:r w:rsidRPr="002D15AA">
        <w:rPr>
          <w:rFonts w:asciiTheme="majorHAnsi" w:hAnsiTheme="majorHAnsi" w:cstheme="majorHAnsi"/>
          <w:szCs w:val="24"/>
        </w:rPr>
        <w:lastRenderedPageBreak/>
        <w:t xml:space="preserve">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w:t>
      </w:r>
      <w:r w:rsidRPr="00664F02">
        <w:rPr>
          <w:rFonts w:asciiTheme="majorHAnsi" w:hAnsiTheme="majorHAnsi" w:cstheme="majorHAnsi"/>
          <w:szCs w:val="24"/>
          <w:highlight w:val="magenta"/>
        </w:rPr>
        <w:t>(plus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w:t>
      </w:r>
      <w:r w:rsidR="00C2239D" w:rsidRPr="00C2239D">
        <w:rPr>
          <w:rFonts w:asciiTheme="majorHAnsi" w:hAnsiTheme="majorHAnsi" w:cstheme="majorHAnsi"/>
          <w:szCs w:val="24"/>
        </w:rPr>
        <w:t>.</w:t>
      </w:r>
      <w:r w:rsidR="00C2239D">
        <w:rPr>
          <w:rFonts w:asciiTheme="majorHAnsi" w:hAnsiTheme="majorHAnsi" w:cstheme="majorHAnsi"/>
          <w:szCs w:val="24"/>
        </w:rPr>
        <w:t xml:space="preserve"> </w:t>
      </w:r>
      <w:r w:rsidRPr="002D15AA">
        <w:rPr>
          <w:rFonts w:asciiTheme="majorHAnsi" w:hAnsiTheme="majorHAnsi" w:cstheme="majorHAnsi"/>
          <w:szCs w:val="24"/>
        </w:rPr>
        <w:t xml:space="preserve">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t>
      </w:r>
      <w:r w:rsidRPr="002D15AA">
        <w:rPr>
          <w:rFonts w:asciiTheme="majorHAnsi" w:hAnsiTheme="majorHAnsi" w:cstheme="majorHAnsi"/>
          <w:szCs w:val="24"/>
        </w:rPr>
        <w:lastRenderedPageBreak/>
        <w:t>without a committee definition the RS1–RS6 values were drafted from a rubric informed by matrix objective inputs (gene count, mechanistic classification ratio, evidence-tier distribution, and discovery year) and then subjected to two-call human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w:t>
      </w:r>
      <w:r w:rsidRPr="002D15AA">
        <w:rPr>
          <w:rFonts w:asciiTheme="majorHAnsi" w:hAnsiTheme="majorHAnsi" w:cstheme="majorHAnsi"/>
          <w:szCs w:val="24"/>
        </w:rPr>
        <w:lastRenderedPageBreak/>
        <w:t>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w:t>
      </w:r>
      <w:r w:rsidR="00152364">
        <w:rPr>
          <w:rFonts w:asciiTheme="majorHAnsi" w:hAnsiTheme="majorHAnsi" w:cstheme="majorHAnsi"/>
          <w:szCs w:val="24"/>
        </w:rPr>
        <w:t xml:space="preserve"> </w:t>
      </w:r>
      <w:r w:rsidR="00152364" w:rsidRPr="00152364">
        <w:rPr>
          <w:rFonts w:asciiTheme="majorHAnsi" w:hAnsiTheme="majorHAnsi" w:cstheme="majorHAnsi"/>
          <w:szCs w:val="24"/>
          <w:highlight w:val="yellow"/>
        </w:rPr>
        <w:t>{Rodrigues de Souza, 2025 #782030}</w:t>
      </w:r>
      <w:r w:rsidRPr="002D15AA">
        <w:rPr>
          <w:rFonts w:asciiTheme="majorHAnsi" w:hAnsiTheme="majorHAnsi" w:cstheme="majorHAnsi"/>
          <w:szCs w:val="24"/>
        </w:rPr>
        <w:t>,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w:t>
      </w:r>
      <w:r w:rsidRPr="002D15AA">
        <w:rPr>
          <w:rFonts w:asciiTheme="majorHAnsi" w:hAnsiTheme="majorHAnsi" w:cstheme="majorHAnsi"/>
          <w:szCs w:val="24"/>
        </w:rPr>
        <w:lastRenderedPageBreak/>
        <w:t>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approval of all 336 drafted fields, and each decision is logged; inter-rater agreement between the drafted and human-reviewed values is reported as Cohen's κ where the review includes independent edits.</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 xml:space="preserve">{Martens, </w:t>
      </w:r>
      <w:r w:rsidR="00E07BAB" w:rsidRPr="00677061">
        <w:rPr>
          <w:rFonts w:asciiTheme="majorHAnsi" w:hAnsiTheme="majorHAnsi" w:cstheme="majorHAnsi"/>
          <w:szCs w:val="24"/>
          <w:highlight w:val="yellow"/>
        </w:rPr>
        <w:lastRenderedPageBreak/>
        <w:t>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w:t>
      </w:r>
      <w:r w:rsidRPr="002D15AA">
        <w:rPr>
          <w:rFonts w:asciiTheme="majorHAnsi" w:hAnsiTheme="majorHAnsi" w:cstheme="majorHAnsi"/>
          <w:szCs w:val="24"/>
        </w:rPr>
        <w:lastRenderedPageBreak/>
        <w:t xml:space="preserve">studies to predict overall survival and immune checkpoint inhibitor response. RCDscore was 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individual entity-by-entity review and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independently validate every gene-RCD association in the compilation matrix, we implemented a two-call independent LLM-based verification pipeline. The validation </w:t>
      </w:r>
      <w:r w:rsidRPr="002D15AA">
        <w:rPr>
          <w:rFonts w:asciiTheme="majorHAnsi" w:hAnsiTheme="majorHAnsi" w:cstheme="majorHAnsi"/>
          <w:szCs w:val="24"/>
        </w:rPr>
        <w:lastRenderedPageBreak/>
        <w:t>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w:t>
      </w:r>
      <w:r w:rsidRPr="002D15AA">
        <w:rPr>
          <w:rFonts w:asciiTheme="majorHAnsi" w:hAnsiTheme="majorHAnsi" w:cstheme="majorHAnsi"/>
          <w:szCs w:val="24"/>
        </w:rPr>
        <w:lastRenderedPageBreak/>
        <w:t>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w:t>
      </w:r>
      <w:r w:rsidRPr="006B4852">
        <w:rPr>
          <w:rFonts w:asciiTheme="majorHAnsi" w:hAnsiTheme="majorHAnsi" w:cstheme="majorHAnsi"/>
          <w:szCs w:val="24"/>
        </w:rPr>
        <w:lastRenderedPageBreak/>
        <w:t>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w:t>
      </w:r>
      <w:r w:rsidRPr="002D15AA">
        <w:rPr>
          <w:rFonts w:asciiTheme="majorHAnsi" w:hAnsiTheme="majorHAnsi" w:cstheme="majorHAnsi"/>
          <w:szCs w:val="24"/>
        </w:rPr>
        <w:lastRenderedPageBreak/>
        <w:t>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w:t>
      </w:r>
      <w:r w:rsidRPr="002D15AA">
        <w:rPr>
          <w:rFonts w:asciiTheme="majorHAnsi" w:hAnsiTheme="majorHAnsi" w:cstheme="majorHAnsi"/>
          <w:szCs w:val="24"/>
        </w:rPr>
        <w:lastRenderedPageBreak/>
        <w:t>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xml:space="preserve">).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w:t>
      </w:r>
      <w:r w:rsidRPr="002D15AA">
        <w:rPr>
          <w:rFonts w:asciiTheme="majorHAnsi" w:hAnsiTheme="majorHAnsi" w:cstheme="majorHAnsi"/>
          <w:szCs w:val="24"/>
        </w:rPr>
        <w:lastRenderedPageBreak/>
        <w:t>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w:t>
      </w:r>
      <w:r w:rsidRPr="002D15AA">
        <w:rPr>
          <w:rFonts w:asciiTheme="majorHAnsi" w:hAnsiTheme="majorHAnsi" w:cstheme="majorHAnsi"/>
          <w:b/>
          <w:szCs w:val="24"/>
        </w:rPr>
        <w:lastRenderedPageBreak/>
        <w:t>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AB7F8" w14:textId="77777777" w:rsidR="00920088" w:rsidRDefault="00920088" w:rsidP="007B760F">
      <w:pPr>
        <w:spacing w:after="0" w:line="240" w:lineRule="auto"/>
      </w:pPr>
      <w:r>
        <w:separator/>
      </w:r>
    </w:p>
  </w:endnote>
  <w:endnote w:type="continuationSeparator" w:id="0">
    <w:p w14:paraId="23C803D5" w14:textId="77777777" w:rsidR="00920088" w:rsidRDefault="00920088"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8B0A1" w14:textId="77777777" w:rsidR="00920088" w:rsidRDefault="00920088" w:rsidP="007B760F">
      <w:pPr>
        <w:spacing w:after="0" w:line="240" w:lineRule="auto"/>
      </w:pPr>
      <w:r>
        <w:separator/>
      </w:r>
    </w:p>
  </w:footnote>
  <w:footnote w:type="continuationSeparator" w:id="0">
    <w:p w14:paraId="0885C367" w14:textId="77777777" w:rsidR="00920088" w:rsidRDefault="00920088"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sawFALC4bG8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19844</Words>
  <Characters>109144</Characters>
  <Application>Microsoft Office Word</Application>
  <DocSecurity>0</DocSecurity>
  <Lines>909</Lines>
  <Paragraphs>257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206</cp:revision>
  <dcterms:created xsi:type="dcterms:W3CDTF">2013-12-23T23:15:00Z</dcterms:created>
  <dcterms:modified xsi:type="dcterms:W3CDTF">2026-09-24T14:39:00Z</dcterms:modified>
  <cp:category/>
</cp:coreProperties>
</file>