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artificial intelligence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HUGO Gene Nomenclature Committee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 xml:space="preserve">The NCCD’s operational-definition list totals 20 entities: these 15 plus </w:t>
      </w:r>
      <w:proofErr w:type="spellStart"/>
      <w:r w:rsidRPr="00426C1E">
        <w:rPr>
          <w:rFonts w:asciiTheme="majorHAnsi" w:hAnsiTheme="majorHAnsi" w:cstheme="majorHAnsi"/>
          <w:szCs w:val="24"/>
          <w:highlight w:val="magenta"/>
        </w:rPr>
        <w:t>anoikis</w:t>
      </w:r>
      <w:proofErr w:type="spellEnd"/>
      <w:r w:rsidRPr="00426C1E">
        <w:rPr>
          <w:rFonts w:asciiTheme="majorHAnsi" w:hAnsiTheme="majorHAnsi" w:cstheme="majorHAnsi"/>
          <w:szCs w:val="24"/>
          <w:highlight w:val="magenta"/>
        </w:rPr>
        <w:t xml:space="preserve">, </w:t>
      </w:r>
      <w:proofErr w:type="spellStart"/>
      <w:r w:rsidRPr="00426C1E">
        <w:rPr>
          <w:rFonts w:asciiTheme="majorHAnsi" w:hAnsiTheme="majorHAnsi" w:cstheme="majorHAnsi"/>
          <w:szCs w:val="24"/>
          <w:highlight w:val="magenta"/>
        </w:rPr>
        <w:t>autosis</w:t>
      </w:r>
      <w:proofErr w:type="spellEnd"/>
      <w:r w:rsidRPr="00426C1E">
        <w:rPr>
          <w:rFonts w:asciiTheme="majorHAnsi" w:hAnsiTheme="majorHAnsi" w:cstheme="majorHAnsi"/>
          <w:szCs w:val="24"/>
          <w:highlight w:val="magenta"/>
        </w:rPr>
        <w:t>,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w:t>
      </w:r>
      <w:proofErr w:type="gramStart"/>
      <w:r w:rsidRPr="00426C1E">
        <w:rPr>
          <w:rFonts w:asciiTheme="majorHAnsi" w:hAnsiTheme="majorHAnsi" w:cstheme="majorHAnsi"/>
          <w:szCs w:val="24"/>
          <w:highlight w:val="yellow"/>
        </w:rPr>
        <w:t>782030;Rodrigues</w:t>
      </w:r>
      <w:proofErr w:type="gramEnd"/>
      <w:r w:rsidRPr="00426C1E">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