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46160B" w14:textId="77777777" w:rsidR="00925876" w:rsidRPr="009B500E" w:rsidRDefault="00921C18" w:rsidP="009B500E">
      <w:pPr>
        <w:pStyle w:val="Ttulo1"/>
        <w:spacing w:before="0" w:line="240" w:lineRule="auto"/>
        <w:rPr>
          <w:rFonts w:cstheme="majorHAnsi"/>
          <w:sz w:val="24"/>
          <w:szCs w:val="24"/>
        </w:rPr>
      </w:pPr>
      <w:r w:rsidRPr="009B500E">
        <w:rPr>
          <w:rFonts w:cstheme="majorHAnsi"/>
          <w:color w:val="000000"/>
          <w:sz w:val="24"/>
          <w:szCs w:val="24"/>
        </w:rPr>
        <w:t xml:space="preserve">RCDome: A Multi-Database </w:t>
      </w:r>
      <w:r w:rsidRPr="00777BD4">
        <w:rPr>
          <w:rFonts w:cstheme="majorHAnsi"/>
          <w:color w:val="EE0000"/>
          <w:sz w:val="24"/>
          <w:szCs w:val="24"/>
        </w:rPr>
        <w:t xml:space="preserve">Human Gene </w:t>
      </w:r>
      <w:r w:rsidRPr="009B500E">
        <w:rPr>
          <w:rFonts w:cstheme="majorHAnsi"/>
          <w:color w:val="000000"/>
          <w:sz w:val="24"/>
          <w:szCs w:val="24"/>
        </w:rPr>
        <w:t>Atlas of Regulated Cell Death</w:t>
      </w:r>
    </w:p>
    <w:p w14:paraId="40C88986" w14:textId="77777777" w:rsidR="00521B54" w:rsidRPr="009B500E" w:rsidRDefault="00521B54" w:rsidP="009B500E">
      <w:pPr>
        <w:spacing w:after="0" w:line="240" w:lineRule="auto"/>
        <w:rPr>
          <w:rFonts w:asciiTheme="majorHAnsi" w:hAnsiTheme="majorHAnsi" w:cstheme="majorHAnsi"/>
          <w:b/>
          <w:bCs/>
          <w:szCs w:val="24"/>
        </w:rPr>
      </w:pPr>
    </w:p>
    <w:p w14:paraId="6850B83D" w14:textId="031E9FDA"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Running title:</w:t>
      </w:r>
      <w:r w:rsidRPr="009B500E">
        <w:rPr>
          <w:rFonts w:asciiTheme="majorHAnsi" w:hAnsiTheme="majorHAnsi" w:cstheme="majorHAnsi"/>
          <w:szCs w:val="24"/>
        </w:rPr>
        <w:t xml:space="preserve"> RCDome:</w:t>
      </w:r>
      <w:r w:rsidR="002E2E0A">
        <w:rPr>
          <w:rFonts w:asciiTheme="majorHAnsi" w:hAnsiTheme="majorHAnsi" w:cstheme="majorHAnsi"/>
          <w:szCs w:val="24"/>
        </w:rPr>
        <w:t xml:space="preserve"> </w:t>
      </w:r>
      <w:r w:rsidRPr="009B500E">
        <w:rPr>
          <w:rFonts w:asciiTheme="majorHAnsi" w:hAnsiTheme="majorHAnsi" w:cstheme="majorHAnsi"/>
          <w:szCs w:val="24"/>
        </w:rPr>
        <w:t>Human RCD Gene Atlas</w:t>
      </w:r>
    </w:p>
    <w:p w14:paraId="7BB8DED6"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Keywords</w:t>
      </w:r>
      <w:r w:rsidRPr="009B500E">
        <w:rPr>
          <w:rFonts w:asciiTheme="majorHAnsi" w:hAnsiTheme="majorHAnsi" w:cstheme="majorHAnsi"/>
          <w:szCs w:val="24"/>
        </w:rPr>
        <w:t>: regulated cell death, human gene atlas, knowledge platform, multi-database integration, operational definitions, traceability</w:t>
      </w:r>
    </w:p>
    <w:p w14:paraId="7E49C068" w14:textId="77777777" w:rsidR="00637146" w:rsidRPr="009B500E" w:rsidRDefault="00637146" w:rsidP="009B500E">
      <w:pPr>
        <w:spacing w:after="0" w:line="240" w:lineRule="auto"/>
        <w:rPr>
          <w:rFonts w:asciiTheme="majorHAnsi" w:hAnsiTheme="majorHAnsi" w:cstheme="majorHAnsi"/>
          <w:szCs w:val="24"/>
        </w:rPr>
      </w:pPr>
    </w:p>
    <w:p w14:paraId="6E6761F8" w14:textId="77777777" w:rsidR="00925876" w:rsidRPr="009B500E" w:rsidRDefault="00637146" w:rsidP="009B500E">
      <w:pPr>
        <w:spacing w:after="0" w:line="240" w:lineRule="auto"/>
        <w:rPr>
          <w:rFonts w:asciiTheme="majorHAnsi" w:hAnsiTheme="majorHAnsi" w:cstheme="majorHAnsi"/>
          <w:szCs w:val="24"/>
          <w:lang w:val="pt-BR"/>
        </w:rPr>
      </w:pPr>
      <w:r w:rsidRPr="004A5E2F">
        <w:rPr>
          <w:lang w:val="pt-BR"/>
        </w:rPr>
        <w:t>Emanuell Rodrigues de Souza</w:t>
      </w:r>
      <w:r w:rsidRPr="00447C46">
        <w:rPr>
          <w:b/>
          <w:bCs/>
          <w:vertAlign w:val="superscript"/>
          <w:lang w:val="pt-BR"/>
        </w:rPr>
        <w:t>#</w:t>
      </w:r>
      <w:r w:rsidRPr="004A5E2F">
        <w:rPr>
          <w:lang w:val="pt-BR"/>
        </w:rPr>
        <w:t>, Victor dos Santos Lopes</w:t>
      </w:r>
      <w:r w:rsidRPr="00447C46">
        <w:rPr>
          <w:b/>
          <w:bCs/>
          <w:vertAlign w:val="superscript"/>
          <w:lang w:val="pt-BR"/>
        </w:rPr>
        <w:t>#</w:t>
      </w:r>
      <w:r w:rsidRPr="004A5E2F">
        <w:rPr>
          <w:lang w:val="pt-BR"/>
        </w:rPr>
        <w:t>, Higor Almeida Cordeiro Nogueira, and Enrique Medina-Acosta</w:t>
      </w:r>
      <w:r w:rsidRPr="00D116F4">
        <w:rPr>
          <w:b/>
          <w:bCs/>
          <w:vertAlign w:val="superscript"/>
          <w:lang w:val="pt-BR"/>
        </w:rPr>
        <w:t>*</w:t>
      </w:r>
    </w:p>
    <w:p w14:paraId="0F26619B" w14:textId="77777777" w:rsidR="00637146" w:rsidRPr="009B500E" w:rsidRDefault="00637146" w:rsidP="009B500E">
      <w:pPr>
        <w:spacing w:after="0" w:line="240" w:lineRule="auto"/>
        <w:rPr>
          <w:rFonts w:asciiTheme="majorHAnsi" w:hAnsiTheme="majorHAnsi" w:cstheme="majorHAnsi"/>
          <w:szCs w:val="24"/>
          <w:lang w:val="pt-BR"/>
        </w:rPr>
      </w:pPr>
    </w:p>
    <w:p w14:paraId="4E7B2A2F"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Laborat</w:t>
      </w:r>
      <w:r w:rsidR="00670D3F" w:rsidRPr="009B500E">
        <w:rPr>
          <w:rFonts w:asciiTheme="majorHAnsi" w:hAnsiTheme="majorHAnsi" w:cstheme="majorHAnsi"/>
          <w:szCs w:val="24"/>
          <w:lang w:val="pt-BR"/>
        </w:rPr>
        <w:t>ó</w:t>
      </w:r>
      <w:r w:rsidRPr="009B500E">
        <w:rPr>
          <w:rFonts w:asciiTheme="majorHAnsi" w:hAnsiTheme="majorHAnsi" w:cstheme="majorHAnsi"/>
          <w:szCs w:val="24"/>
          <w:lang w:val="pt-BR"/>
        </w:rPr>
        <w:t>rio de Biotecnologia, Centro de Bioci</w:t>
      </w:r>
      <w:r w:rsidR="00637146" w:rsidRPr="009B500E">
        <w:rPr>
          <w:rFonts w:asciiTheme="majorHAnsi" w:hAnsiTheme="majorHAnsi" w:cstheme="majorHAnsi"/>
          <w:szCs w:val="24"/>
          <w:lang w:val="pt-BR"/>
        </w:rPr>
        <w:t>ên</w:t>
      </w:r>
      <w:r w:rsidRPr="009B500E">
        <w:rPr>
          <w:rFonts w:asciiTheme="majorHAnsi" w:hAnsiTheme="majorHAnsi" w:cstheme="majorHAnsi"/>
          <w:szCs w:val="24"/>
          <w:lang w:val="pt-BR"/>
        </w:rPr>
        <w:t>cias e Biotecnologia, Universidade Estadual do Norte Fluminense, Avenida Alberto Lamego 2000, Parque California, Campos dos Goytacazes, RJ, CEP 28015-602, Brazil.</w:t>
      </w:r>
    </w:p>
    <w:p w14:paraId="660E33B9" w14:textId="77777777" w:rsidR="00381A47" w:rsidRPr="009B500E" w:rsidRDefault="00381A47" w:rsidP="009B500E">
      <w:pPr>
        <w:spacing w:after="0" w:line="240" w:lineRule="auto"/>
        <w:rPr>
          <w:rFonts w:asciiTheme="majorHAnsi" w:hAnsiTheme="majorHAnsi" w:cstheme="majorHAnsi"/>
          <w:szCs w:val="24"/>
          <w:lang w:val="pt-BR"/>
        </w:rPr>
      </w:pPr>
    </w:p>
    <w:p w14:paraId="49E33A91" w14:textId="77777777" w:rsidR="00925876" w:rsidRPr="009B500E" w:rsidRDefault="00921C18" w:rsidP="009B500E">
      <w:pPr>
        <w:spacing w:after="0" w:line="240" w:lineRule="auto"/>
        <w:rPr>
          <w:rFonts w:asciiTheme="majorHAnsi" w:hAnsiTheme="majorHAnsi" w:cstheme="majorHAnsi"/>
          <w:szCs w:val="24"/>
          <w:lang w:val="pt-BR"/>
        </w:rPr>
      </w:pPr>
      <w:r w:rsidRPr="00B82BB0">
        <w:rPr>
          <w:lang w:val="pt-BR"/>
        </w:rPr>
        <w:t xml:space="preserve">*Corresponding author: Enrique Medina-Acosta: </w:t>
      </w:r>
    </w:p>
    <w:p w14:paraId="2D4A97E8" w14:textId="77777777" w:rsidR="007B760F" w:rsidRPr="009B500E" w:rsidRDefault="007B760F" w:rsidP="009B500E">
      <w:pPr>
        <w:spacing w:after="0" w:line="240" w:lineRule="auto"/>
        <w:rPr>
          <w:rFonts w:asciiTheme="majorHAnsi" w:hAnsiTheme="majorHAnsi" w:cstheme="majorHAnsi"/>
          <w:szCs w:val="24"/>
          <w:lang w:val="pt-BR"/>
        </w:rPr>
      </w:pPr>
    </w:p>
    <w:p w14:paraId="21B260D8"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b/>
          <w:bCs/>
          <w:szCs w:val="24"/>
          <w:lang w:val="pt-BR"/>
        </w:rPr>
        <w:t>Author e-mails</w:t>
      </w:r>
      <w:r w:rsidRPr="009B500E">
        <w:rPr>
          <w:rFonts w:asciiTheme="majorHAnsi" w:hAnsiTheme="majorHAnsi" w:cstheme="majorHAnsi"/>
          <w:szCs w:val="24"/>
          <w:lang w:val="pt-BR"/>
        </w:rPr>
        <w:t>:</w:t>
      </w:r>
    </w:p>
    <w:p w14:paraId="533A15D6"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Emanuell Rodrigues de Souza: </w:t>
      </w:r>
      <w:hyperlink r:id="rId8" w:history="1">
        <w:r w:rsidR="007B760F" w:rsidRPr="009B500E">
          <w:rPr>
            <w:rStyle w:val="Hyperlink"/>
            <w:rFonts w:asciiTheme="majorHAnsi" w:hAnsiTheme="majorHAnsi" w:cstheme="majorHAnsi"/>
            <w:szCs w:val="24"/>
            <w:lang w:val="pt-BR"/>
          </w:rPr>
          <w:t>souza.ers00@gmail.com</w:t>
        </w:r>
      </w:hyperlink>
    </w:p>
    <w:p w14:paraId="766484A3" w14:textId="77777777" w:rsidR="00925876"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Victor dos Santos Lopes: </w:t>
      </w:r>
      <w:hyperlink r:id="rId9" w:history="1">
        <w:r w:rsidR="007B760F" w:rsidRPr="009B500E">
          <w:rPr>
            <w:rStyle w:val="Hyperlink"/>
            <w:rFonts w:asciiTheme="majorHAnsi" w:hAnsiTheme="majorHAnsi" w:cstheme="majorHAnsi"/>
            <w:szCs w:val="24"/>
            <w:lang w:val="pt-BR"/>
          </w:rPr>
          <w:t>victor94santos.lopes@gmail.com</w:t>
        </w:r>
      </w:hyperlink>
    </w:p>
    <w:p w14:paraId="09414F83" w14:textId="77777777" w:rsidR="007B760F" w:rsidRPr="009B500E" w:rsidRDefault="00921C18" w:rsidP="009B500E">
      <w:pPr>
        <w:spacing w:after="0" w:line="240" w:lineRule="auto"/>
        <w:rPr>
          <w:rFonts w:asciiTheme="majorHAnsi" w:hAnsiTheme="majorHAnsi" w:cstheme="majorHAnsi"/>
          <w:szCs w:val="24"/>
          <w:lang w:val="pt-BR"/>
        </w:rPr>
      </w:pPr>
      <w:r w:rsidRPr="009B500E">
        <w:rPr>
          <w:rFonts w:asciiTheme="majorHAnsi" w:hAnsiTheme="majorHAnsi" w:cstheme="majorHAnsi"/>
          <w:szCs w:val="24"/>
          <w:lang w:val="pt-BR"/>
        </w:rPr>
        <w:t xml:space="preserve">Higor Almeida Cordeiro Nogueira: </w:t>
      </w:r>
      <w:hyperlink r:id="rId10" w:history="1">
        <w:r w:rsidR="007B760F" w:rsidRPr="009B500E">
          <w:rPr>
            <w:rStyle w:val="Hyperlink"/>
            <w:rFonts w:asciiTheme="majorHAnsi" w:hAnsiTheme="majorHAnsi" w:cstheme="majorHAnsi"/>
            <w:szCs w:val="24"/>
            <w:lang w:val="pt-BR"/>
          </w:rPr>
          <w:t>higoralmeida1995@gmail.com</w:t>
        </w:r>
      </w:hyperlink>
    </w:p>
    <w:p w14:paraId="2994167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Enrique Medina-Acosta: </w:t>
      </w:r>
      <w:hyperlink r:id="rId11" w:history="1">
        <w:r w:rsidR="007B760F" w:rsidRPr="009B500E">
          <w:rPr>
            <w:rStyle w:val="Hyperlink"/>
            <w:rFonts w:asciiTheme="majorHAnsi" w:hAnsiTheme="majorHAnsi" w:cstheme="majorHAnsi"/>
            <w:szCs w:val="24"/>
          </w:rPr>
          <w:t>quique@uenf.br</w:t>
        </w:r>
      </w:hyperlink>
    </w:p>
    <w:p w14:paraId="312E2D05" w14:textId="77777777" w:rsidR="00334F5E" w:rsidRPr="009B500E" w:rsidRDefault="00334F5E" w:rsidP="009B500E">
      <w:pPr>
        <w:spacing w:after="0" w:line="240" w:lineRule="auto"/>
        <w:rPr>
          <w:rFonts w:asciiTheme="majorHAnsi" w:hAnsiTheme="majorHAnsi" w:cstheme="majorHAnsi"/>
          <w:szCs w:val="24"/>
        </w:rPr>
      </w:pPr>
    </w:p>
    <w:p w14:paraId="5381DA3A" w14:textId="77777777" w:rsidR="00381A47" w:rsidRPr="009B500E" w:rsidRDefault="00381A47" w:rsidP="009B500E">
      <w:pPr>
        <w:spacing w:after="0" w:line="240" w:lineRule="auto"/>
        <w:rPr>
          <w:rFonts w:asciiTheme="majorHAnsi" w:hAnsiTheme="majorHAnsi" w:cstheme="majorHAnsi"/>
          <w:szCs w:val="24"/>
          <w:vertAlign w:val="superscript"/>
        </w:rPr>
        <w:sectPr w:rsidR="00381A47" w:rsidRPr="009B500E" w:rsidSect="00034616">
          <w:headerReference w:type="default" r:id="rId12"/>
          <w:pgSz w:w="11906" w:h="16838"/>
          <w:pgMar w:top="1417" w:right="1417" w:bottom="1417" w:left="1417" w:header="720" w:footer="720" w:gutter="0"/>
          <w:cols w:space="720"/>
          <w:docGrid w:linePitch="360"/>
        </w:sectPr>
      </w:pPr>
      <w:r w:rsidRPr="00447C46">
        <w:rPr>
          <w:rFonts w:asciiTheme="majorHAnsi" w:hAnsiTheme="majorHAnsi" w:cstheme="majorHAnsi"/>
          <w:b/>
          <w:bCs/>
          <w:szCs w:val="24"/>
          <w:vertAlign w:val="superscript"/>
        </w:rPr>
        <w:t xml:space="preserve"># </w:t>
      </w:r>
      <w:r w:rsidRPr="009B500E">
        <w:rPr>
          <w:rFonts w:asciiTheme="majorHAnsi" w:hAnsiTheme="majorHAnsi" w:cstheme="majorHAnsi"/>
          <w:szCs w:val="24"/>
        </w:rPr>
        <w:t>Authors share fi</w:t>
      </w:r>
      <w:r w:rsidR="00CC3CB8" w:rsidRPr="009B500E">
        <w:rPr>
          <w:rFonts w:asciiTheme="majorHAnsi" w:hAnsiTheme="majorHAnsi" w:cstheme="majorHAnsi"/>
          <w:szCs w:val="24"/>
        </w:rPr>
        <w:t>r</w:t>
      </w:r>
      <w:r w:rsidRPr="009B500E">
        <w:rPr>
          <w:rFonts w:asciiTheme="majorHAnsi" w:hAnsiTheme="majorHAnsi" w:cstheme="majorHAnsi"/>
          <w:szCs w:val="24"/>
        </w:rPr>
        <w:t>st authorship</w:t>
      </w:r>
    </w:p>
    <w:p w14:paraId="379DD2DD" w14:textId="77777777" w:rsidR="00925876" w:rsidRPr="009B500E" w:rsidRDefault="00637146" w:rsidP="009B500E">
      <w:pPr>
        <w:pStyle w:val="Ttulo1"/>
        <w:spacing w:before="0" w:line="240" w:lineRule="auto"/>
        <w:rPr>
          <w:rFonts w:cstheme="majorHAnsi"/>
          <w:sz w:val="24"/>
          <w:szCs w:val="24"/>
        </w:rPr>
      </w:pPr>
      <w:r w:rsidRPr="009B500E">
        <w:rPr>
          <w:rFonts w:cstheme="majorHAnsi"/>
          <w:sz w:val="24"/>
          <w:szCs w:val="24"/>
        </w:rPr>
        <w:lastRenderedPageBreak/>
        <w:t>INTRODUCTION</w:t>
      </w:r>
    </w:p>
    <w:p w14:paraId="3CAF4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Regulated cell death (RCD) governs tissue homeostasis, development, and disease pathogenesis through genetically encoded entities that eliminate superfluous, damaged, or dangerous cells {Galluzzi, 2018 #782025}.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{Galluzzi, 2018 #782025}. The NCCD’s operational-definition list totals 20 entities — these 15 plus anoikis, autosis, efferocytosis, mitotic death, and programmed cell death — all retained verbatim in RCDome. Building on this framework, our group compiled gene-level associations for 25 forms and provided tentative operational definitions for forms not covered in the NCCD consensus {Rodrigues de Souza, 2025 #782030;Rodrigues de Souza, 2026 #784804}.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r w:rsidRPr="0022059B">
        <w:rPr>
          <w:rFonts w:asciiTheme="majorHAnsi" w:hAnsiTheme="majorHAnsi" w:cstheme="majorHAnsi"/>
          <w:szCs w:val="24"/>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rPr>
      </w:r>
      <w:r w:rsidRPr="0022059B">
        <w:rPr>
          <w:rFonts w:asciiTheme="majorHAnsi" w:hAnsiTheme="majorHAnsi" w:cstheme="majorHAnsi"/>
          <w:szCs w:val="24"/>
          <w:highlight w:val="yellow"/>
        </w:rPr>
      </w:r>
      <w:r w:rsidRPr="0022059B">
        <w:rPr>
          <w:rFonts w:asciiTheme="majorHAnsi" w:hAnsiTheme="majorHAnsi" w:cstheme="majorHAnsi"/>
          <w:szCs w:val="24"/>
        </w:rPr>
      </w:r>
      <w:r w:rsidR="0022059B">
        <w:rPr>
          <w:rFonts w:asciiTheme="majorHAnsi" w:hAnsiTheme="majorHAnsi" w:cstheme="majorHAnsi"/>
          <w:szCs w:val="24"/>
        </w:rPr>
      </w:r>
      <w:r w:rsidRPr="0022059B">
        <w:rPr>
          <w:rFonts w:asciiTheme="majorHAnsi" w:hAnsiTheme="majorHAnsi" w:cstheme="majorHAnsi"/>
          <w:szCs w:val="24"/>
        </w:rPr>
      </w:r>
    </w:p>
    <w:p w14:paraId="2A9416C8" w14:textId="77777777" w:rsidR="00EC5F2D" w:rsidRPr="009B500E" w:rsidRDefault="00EC5F2D" w:rsidP="009B500E">
      <w:pPr>
        <w:spacing w:after="0" w:line="240" w:lineRule="auto"/>
        <w:rPr>
          <w:rFonts w:asciiTheme="majorHAnsi" w:hAnsiTheme="majorHAnsi" w:cstheme="majorHAnsi"/>
          <w:szCs w:val="24"/>
        </w:rPr>
      </w:pPr>
    </w:p>
    <w:p w14:paraId="0E3ABF91" w14:textId="77777777" w:rsidR="00925876" w:rsidRPr="009B500E" w:rsidRDefault="00921C18" w:rsidP="009B500E">
      <w:pPr>
        <w:spacing w:after="0" w:line="240" w:lineRule="auto"/>
        <w:rPr>
          <w:rFonts w:asciiTheme="majorHAnsi" w:hAnsiTheme="majorHAnsi" w:cstheme="majorHAnsi"/>
          <w:szCs w:val="24"/>
          <w:highlight w:val="yellow"/>
        </w:rPr>
      </w:pPr>
      <w:r w:rsidRPr="009B500E">
        <w:rPr>
          <w:rFonts w:asciiTheme="majorHAnsi" w:hAnsiTheme="majorHAnsi" w:cstheme="majorHAnsi"/>
          <w:szCs w:val="24"/>
        </w:rPr>
        <w:t>Specialized databases such as FerrDB v3 (22 RCD forms, 3,481 genes) {Zhou, 2026 #782033} and RCDdb {Wang, 2024 #782694}, together with our prior compilation (25 RCD forms, 5,913 genes) {Rodrigues de Souza, 2025 #782030},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"Entotic-cell-death," LncRCD uses "Entotic cell death," while RCDdb and iPCD use "Entosis"; our prior compilation similarly used "Autophagy"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r w:rsidR="00980C69" w:rsidRPr="009B500E">
        <w:rPr>
          <w:rFonts w:asciiTheme="majorHAnsi" w:hAnsiTheme="majorHAnsi" w:cstheme="majorHAnsi"/>
          <w:szCs w:val="24"/>
          <w:highlight w:val="yellow"/>
        </w:rPr>
      </w:r>
      <w:r w:rsidR="00980C69" w:rsidRPr="009B500E">
        <w:rPr>
          <w:rFonts w:asciiTheme="majorHAnsi" w:hAnsiTheme="majorHAnsi" w:cstheme="majorHAnsi"/>
          <w:szCs w:val="24"/>
        </w:rPr>
      </w:r>
      <w:r w:rsidRPr="009B500E">
        <w:rPr>
          <w:rFonts w:asciiTheme="majorHAnsi" w:hAnsiTheme="majorHAnsi" w:cstheme="majorHAnsi"/>
          <w:szCs w:val="24"/>
        </w:rPr>
      </w:r>
      <w:r w:rsidR="000F5DEE" w:rsidRPr="009B500E">
        <w:rPr>
          <w:rFonts w:asciiTheme="majorHAnsi" w:hAnsiTheme="majorHAnsi" w:cstheme="majorHAnsi"/>
          <w:szCs w:val="24"/>
        </w:rPr>
      </w:r>
      <w:r w:rsidR="000F5DEE"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187DB0" w:rsidRPr="009B500E">
        <w:rPr>
          <w:rFonts w:asciiTheme="majorHAnsi" w:hAnsiTheme="majorHAnsi" w:cstheme="majorHAnsi"/>
          <w:szCs w:val="24"/>
          <w:highlight w:val="yellow"/>
        </w:rPr>
      </w:r>
      <w:r w:rsidRPr="009B500E">
        <w:rPr>
          <w:rFonts w:asciiTheme="majorHAnsi" w:hAnsiTheme="majorHAnsi" w:cstheme="majorHAnsi"/>
          <w:szCs w:val="24"/>
          <w:highlight w:val="yellow"/>
        </w:rPr>
      </w:r>
      <w:r w:rsidRPr="009B500E">
        <w:rPr>
          <w:rFonts w:asciiTheme="majorHAnsi" w:hAnsiTheme="majorHAnsi" w:cstheme="majorHAnsi"/>
          <w:szCs w:val="24"/>
        </w:rPr>
      </w:r>
      <w:r w:rsidR="005E4420">
        <w:rPr>
          <w:rFonts w:asciiTheme="majorHAnsi" w:hAnsiTheme="majorHAnsi" w:cstheme="majorHAnsi"/>
          <w:szCs w:val="24"/>
        </w:rPr>
      </w:r>
      <w:r w:rsidR="005E4420" w:rsidRPr="009B500E">
        <w:rPr>
          <w:rFonts w:asciiTheme="majorHAnsi" w:hAnsiTheme="majorHAnsi" w:cstheme="majorHAnsi"/>
          <w:szCs w:val="24"/>
        </w:rPr>
      </w:r>
      <w:r w:rsidRPr="009B500E">
        <w:rPr>
          <w:rFonts w:asciiTheme="majorHAnsi" w:hAnsiTheme="majorHAnsi" w:cstheme="majorHAnsi"/>
          <w:szCs w:val="24"/>
        </w:rPr>
      </w:r>
      <w:r w:rsidR="005E4420">
        <w:rPr>
          <w:rFonts w:asciiTheme="majorHAnsi" w:hAnsiTheme="majorHAnsi" w:cstheme="majorHAnsi"/>
          <w:szCs w:val="24"/>
        </w:rPr>
      </w:r>
      <w:r w:rsidRPr="009B500E">
        <w:rPr>
          <w:rFonts w:asciiTheme="majorHAnsi" w:hAnsiTheme="majorHAnsi" w:cstheme="majorHAnsi"/>
          <w:szCs w:val="24"/>
        </w:rPr>
      </w:r>
    </w:p>
    <w:p w14:paraId="7ED3C708" w14:textId="77777777" w:rsidR="00EC5F2D" w:rsidRPr="009B500E" w:rsidRDefault="00EC5F2D" w:rsidP="009B500E">
      <w:pPr>
        <w:spacing w:after="0" w:line="240" w:lineRule="auto"/>
        <w:rPr>
          <w:rFonts w:asciiTheme="majorHAnsi" w:hAnsiTheme="majorHAnsi" w:cstheme="majorHAnsi"/>
          <w:szCs w:val="24"/>
        </w:rPr>
      </w:pPr>
    </w:p>
    <w:p w14:paraId="1D87884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underutilization of published biological data is a well-documented structural problem: a large-scale survey of 454,200 public omics datasets found that only 2.7% had undergone documented reanalysis </w:t>
      </w:r>
      <w:r w:rsidR="00B9076D" w:rsidRPr="009B500E">
        <w:rPr>
          <w:rFonts w:asciiTheme="majorHAnsi" w:hAnsiTheme="majorHAnsi" w:cstheme="majorHAnsi"/>
          <w:szCs w:val="24"/>
          <w:highlight w:val="yellow"/>
        </w:rPr>
        <w:t>{Perez-Riverol, 2019 #783940}</w:t>
      </w:r>
      <w:r w:rsidRPr="009B500E">
        <w:rPr>
          <w:rFonts w:asciiTheme="majorHAnsi" w:hAnsiTheme="majorHAnsi" w:cstheme="majorHAnsi"/>
          <w:szCs w:val="24"/>
        </w:rPr>
        <w:t>. This pattern extends to curated gene-</w:t>
      </w:r>
      <w:r w:rsidRPr="009B500E">
        <w:rPr>
          <w:rFonts w:asciiTheme="majorHAnsi" w:hAnsiTheme="majorHAnsi" w:cstheme="majorHAnsi"/>
          <w:szCs w:val="24"/>
        </w:rPr>
        <w:lastRenderedPageBreak/>
        <w:t xml:space="preserve">function databases, where the vast majority of recorded associations remain unvalidated against primary literature. Combined with recent calls for rigorous standards, validation, and human oversight in AI-assisted data reanalysis </w:t>
      </w:r>
      <w:r w:rsidR="00B9076D" w:rsidRPr="009B500E">
        <w:rPr>
          <w:rFonts w:asciiTheme="majorHAnsi" w:hAnsiTheme="majorHAnsi" w:cstheme="majorHAnsi"/>
          <w:szCs w:val="24"/>
          <w:highlight w:val="yellow"/>
        </w:rPr>
        <w:t>{Ghaderi, 2026 #783939}</w:t>
      </w:r>
      <w:r w:rsidRPr="009B500E">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84B854" w14:textId="77777777" w:rsidR="00EC5F2D" w:rsidRPr="009B500E" w:rsidRDefault="00EC5F2D" w:rsidP="009B500E">
      <w:pPr>
        <w:spacing w:after="0" w:line="240" w:lineRule="auto"/>
        <w:rPr>
          <w:rFonts w:asciiTheme="majorHAnsi" w:hAnsiTheme="majorHAnsi" w:cstheme="majorHAnsi"/>
          <w:szCs w:val="24"/>
        </w:rPr>
      </w:pPr>
    </w:p>
    <w:p w14:paraId="45A05D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PMID or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w:t>
      </w:r>
      <w:r w:rsidR="00074187" w:rsidRPr="009B500E">
        <w:rPr>
          <w:rFonts w:asciiTheme="majorHAnsi" w:hAnsiTheme="majorHAnsi" w:cstheme="majorHAnsi"/>
          <w:szCs w:val="24"/>
        </w:rPr>
        <w:t xml:space="preserve"> in RCD biology</w:t>
      </w:r>
      <w:r w:rsidRPr="009B500E">
        <w:rPr>
          <w:rFonts w:asciiTheme="majorHAnsi" w:hAnsiTheme="majorHAnsi" w:cstheme="majorHAnsi"/>
          <w:szCs w:val="24"/>
        </w:rPr>
        <w:t>: “</w:t>
      </w:r>
      <w:r w:rsidRPr="009B500E">
        <w:rPr>
          <w:rFonts w:asciiTheme="majorHAnsi" w:hAnsiTheme="majorHAnsi" w:cstheme="majorHAnsi"/>
          <w:i/>
          <w:iCs/>
          <w:szCs w:val="24"/>
        </w:rPr>
        <w:t>Where did this gene-RCD association come from, and what is the evidence?</w:t>
      </w:r>
      <w:r w:rsidRPr="009B500E">
        <w:rPr>
          <w:rFonts w:asciiTheme="majorHAnsi" w:hAnsiTheme="majorHAnsi" w:cstheme="majorHAnsi"/>
          <w:szCs w:val="24"/>
        </w:rPr>
        <w:t>”</w:t>
      </w:r>
    </w:p>
    <w:p w14:paraId="343D97C4" w14:textId="77777777" w:rsidR="00EC5F2D" w:rsidRPr="009B500E" w:rsidRDefault="00EC5F2D" w:rsidP="009B500E">
      <w:pPr>
        <w:spacing w:after="0" w:line="240" w:lineRule="auto"/>
        <w:rPr>
          <w:rFonts w:asciiTheme="majorHAnsi" w:hAnsiTheme="majorHAnsi" w:cstheme="majorHAnsi"/>
          <w:szCs w:val="24"/>
        </w:rPr>
      </w:pPr>
    </w:p>
    <w:p w14:paraId="39F401AF" w14:textId="77777777" w:rsidR="00925876" w:rsidRPr="009B500E" w:rsidRDefault="00921C18" w:rsidP="009B500E">
      <w:pPr>
        <w:spacing w:after="0" w:line="240" w:lineRule="auto"/>
        <w:rPr>
          <w:rFonts w:asciiTheme="majorHAnsi" w:hAnsiTheme="majorHAnsi" w:cstheme="majorHAnsi"/>
          <w:szCs w:val="24"/>
        </w:rPr>
      </w:pPr>
      <w: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60F17B5A" w14:textId="77777777" w:rsidR="00EC5F2D" w:rsidRPr="009B500E" w:rsidRDefault="00EC5F2D" w:rsidP="009B500E">
      <w:pPr>
        <w:spacing w:after="0" w:line="240" w:lineRule="auto"/>
        <w:rPr>
          <w:rFonts w:asciiTheme="majorHAnsi" w:hAnsiTheme="majorHAnsi" w:cstheme="majorHAnsi"/>
          <w:szCs w:val="24"/>
        </w:rPr>
      </w:pPr>
    </w:p>
    <w:p w14:paraId="2B16114D" w14:textId="77777777" w:rsidR="007B760F" w:rsidRPr="009B500E" w:rsidRDefault="00A840DC" w:rsidP="009B500E">
      <w:pPr>
        <w:spacing w:after="0" w:line="240" w:lineRule="auto"/>
        <w:rPr>
          <w:rFonts w:asciiTheme="majorHAnsi" w:hAnsiTheme="majorHAnsi" w:cstheme="majorHAnsi"/>
          <w:szCs w:val="24"/>
        </w:rPr>
      </w:pPr>
      <w:r w:rsidRPr="009B500E">
        <w:rPr>
          <w:rFonts w:asciiTheme="majorHAnsi" w:hAnsiTheme="majorHAnsi" w:cstheme="majorHAnsi"/>
          <w:szCs w:val="24"/>
        </w:rPr>
        <w:t>Every gene-RCD association in RCDome carries full source provenance and is verifiable against the published record. The compendium, extraction pipeline, and web platform are publicly available.</w:t>
      </w:r>
    </w:p>
    <w:p w14:paraId="08A27624" w14:textId="77777777" w:rsidR="00C11CC9" w:rsidRPr="009B500E" w:rsidRDefault="00C11CC9" w:rsidP="009B500E">
      <w:pPr>
        <w:pStyle w:val="Ttulo2"/>
        <w:spacing w:before="0" w:line="240" w:lineRule="auto"/>
        <w:rPr>
          <w:rFonts w:cstheme="majorHAnsi"/>
          <w:sz w:val="24"/>
          <w:szCs w:val="24"/>
        </w:rPr>
      </w:pPr>
    </w:p>
    <w:p w14:paraId="5B9AFB46"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MATERIAL AND METHODS</w:t>
      </w:r>
    </w:p>
    <w:p w14:paraId="63A68F1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Study Design and Strategy Overview</w:t>
      </w:r>
    </w:p>
    <w:p w14:paraId="07CD077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conceived as a comprehensive, gene-centric, multi-source knowledge platform encompassing all described forms of RCD (Figure 1). The platform follows a layered, database-centered strategy in which each successive validation layer builds upon the database compilation foundation without overwriting earlier results: Layer 0 (Database Compilation), Layer 1 (NCBI + DeepSeek Abstract Validation), Layer 2 (Europe PMC + DeepSeek Full-Text Recovery), Layer 3 (Europe PMC XML Deep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independent resources organized into four evidence channels; (iii) integration into a unified, traceability-compliant gene-RCD association matrix; and (iv) deployment as a publicly available interactive web platform.</w:t>
      </w:r>
    </w:p>
    <w:p w14:paraId="5FA4B925" w14:textId="77777777" w:rsidR="00EC5F2D" w:rsidRPr="009B500E" w:rsidRDefault="00EC5F2D" w:rsidP="009B500E">
      <w:pPr>
        <w:spacing w:after="0" w:line="240" w:lineRule="auto"/>
        <w:rPr>
          <w:rFonts w:asciiTheme="majorHAnsi" w:hAnsiTheme="majorHAnsi" w:cstheme="majorHAnsi"/>
          <w:szCs w:val="24"/>
        </w:rPr>
      </w:pPr>
    </w:p>
    <w:p w14:paraId="4D5FBAE0" w14:textId="77777777" w:rsidR="00EC5F2D" w:rsidRPr="009B500E" w:rsidRDefault="00EC5F2D" w:rsidP="009B500E">
      <w:pPr>
        <w:spacing w:after="0" w:line="240" w:lineRule="auto"/>
        <w:rPr>
          <w:rFonts w:asciiTheme="majorHAnsi" w:hAnsiTheme="majorHAnsi" w:cstheme="majorHAnsi"/>
          <w:b/>
          <w:bCs/>
          <w:szCs w:val="24"/>
        </w:rPr>
      </w:pPr>
    </w:p>
    <w:p w14:paraId="6C90F592" w14:textId="77777777" w:rsidR="005E2A6F"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Establishment of the Canonicalized RCD-Related Entity Vocabulary</w:t>
      </w:r>
    </w:p>
    <w:p w14:paraId="1029C5D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(Galluzzi et al., 2018, PMID:29362479) and extended through AI-curated definitions {Rodrigues de Souza, 2025 #782030;Rodrigues de Souza, 2026 #784804}. These 25 forms comprised 20 executioner entities, 2 trigger events, and 3 functional categories (Supplementary Table S1). </w:t>
      </w:r>
      <w:r w:rsidRPr="00E4335B">
        <w:rPr>
          <w:rFonts w:asciiTheme="majorHAnsi" w:hAnsiTheme="majorHAnsi" w:cstheme="majorHAnsi"/>
          <w:szCs w:val="24"/>
          <w:highlight w:val="magenta"/>
        </w:rPr>
      </w:r>
      <w:r w:rsidRPr="009B500E">
        <w:rPr>
          <w:rFonts w:asciiTheme="majorHAnsi" w:hAnsiTheme="majorHAnsi" w:cstheme="majorHAnsi"/>
          <w:szCs w:val="24"/>
        </w:rPr>
      </w:r>
      <w:r w:rsidRPr="00E4335B">
        <w:rPr>
          <w:rFonts w:asciiTheme="majorHAnsi" w:hAnsiTheme="majorHAnsi" w:cstheme="majorHAnsi"/>
          <w:color w:val="EE0000"/>
          <w:szCs w:val="24"/>
        </w:rPr>
      </w:r>
      <w:r w:rsidRPr="00E4335B">
        <w:rPr>
          <w:rFonts w:asciiTheme="majorHAnsi" w:hAnsiTheme="majorHAnsi" w:cstheme="majorHAnsi"/>
          <w:color w:val="EE0000"/>
          <w:szCs w:val="24"/>
          <w:highlight w:val="cyan"/>
        </w:rPr>
      </w:r>
      <w:r w:rsidRPr="00E4335B">
        <w:rPr>
          <w:rFonts w:asciiTheme="majorHAnsi" w:hAnsiTheme="majorHAnsi" w:cstheme="majorHAnsi"/>
          <w:color w:val="EE0000"/>
          <w:szCs w:val="24"/>
        </w:rPr>
      </w:r>
      <w:r w:rsidRPr="009B500E">
        <w:rPr>
          <w:rFonts w:asciiTheme="majorHAnsi" w:hAnsiTheme="majorHAnsi" w:cstheme="majorHAnsi"/>
          <w:szCs w:val="24"/>
        </w:rPr>
      </w:r>
      <w:r w:rsidRPr="009B500E">
        <w:rPr>
          <w:rFonts w:asciiTheme="majorHAnsi" w:hAnsiTheme="majorHAnsi" w:cstheme="majorHAnsi"/>
          <w:szCs w:val="24"/>
          <w:highlight w:val="yellow"/>
        </w:rPr>
      </w:r>
      <w:r w:rsidR="009B500E" w:rsidRPr="009B500E">
        <w:rPr>
          <w:rFonts w:asciiTheme="majorHAnsi" w:hAnsiTheme="majorHAnsi" w:cstheme="majorHAnsi"/>
          <w:szCs w:val="24"/>
        </w:rPr>
      </w:r>
    </w:p>
    <w:p w14:paraId="2D97C736" w14:textId="77777777" w:rsidR="00FF2AFC" w:rsidRPr="009B500E" w:rsidRDefault="00FF2AFC" w:rsidP="009B500E">
      <w:pPr>
        <w:spacing w:after="0" w:line="240" w:lineRule="auto"/>
        <w:rPr>
          <w:rFonts w:asciiTheme="majorHAnsi" w:hAnsiTheme="majorHAnsi" w:cstheme="majorHAnsi"/>
          <w:b/>
          <w:bCs/>
          <w:szCs w:val="24"/>
        </w:rPr>
      </w:pPr>
    </w:p>
    <w:p>
      <w:pPr/>
      <w: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32C230F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During database discovery, newly emerging RCD forms were encountered, demanding systematic expansion. We executed a multi-layered literature and database surveillance strategy: (a) forward-citation tracking of NCCD 2018 article </w:t>
      </w:r>
      <w:r w:rsidRPr="00705A6F">
        <w:rPr>
          <w:rFonts w:asciiTheme="majorHAnsi" w:hAnsiTheme="majorHAnsi" w:cstheme="majorHAnsi"/>
          <w:szCs w:val="24"/>
          <w:highlight w:val="magenta"/>
        </w:rPr>
        <w:t>(Galluzzi et al., 2018)</w:t>
      </w:r>
      <w:r w:rsidRPr="009B500E">
        <w:rPr>
          <w:rFonts w:asciiTheme="majorHAnsi" w:hAnsiTheme="majorHAnsi" w:cstheme="majorHAnsi"/>
          <w:szCs w:val="24"/>
        </w:rPr>
        <w:t xml:space="preserve">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w:t>
      </w:r>
      <w:r w:rsidRPr="009B500E">
        <w:rPr>
          <w:rFonts w:asciiTheme="majorHAnsi" w:hAnsiTheme="majorHAnsi" w:cstheme="majorHAnsi"/>
          <w:szCs w:val="24"/>
          <w:highlight w:val="yellow"/>
        </w:rPr>
        <w:t>Supplementary Table S2).</w:t>
      </w:r>
    </w:p>
    <w:p w14:paraId="5EDE59F6" w14:textId="77777777" w:rsidR="00EC5F2D" w:rsidRPr="009B500E" w:rsidRDefault="00EC5F2D" w:rsidP="009B500E">
      <w:pPr>
        <w:spacing w:after="0" w:line="240" w:lineRule="auto"/>
        <w:rPr>
          <w:rFonts w:asciiTheme="majorHAnsi" w:hAnsiTheme="majorHAnsi" w:cstheme="majorHAnsi"/>
          <w:szCs w:val="24"/>
        </w:rPr>
      </w:pPr>
    </w:p>
    <w:p w14:paraId="132E1C7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Candidate RCD forms were validated against five criteria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preserving the external multi-optosis classification (rodr_category) untouched (Supplementary Table S3; Supplementary Table S4). The adjudication framework and its governance are documented in Supplementary Note S1; the complete evaluation architecture — RCD entity classification, gene–RCD association evidence, and pipeline quality gates — is summarized in Supplementary Figure S1.</w:t>
      </w:r>
      <w:r w:rsidRPr="0022059B">
        <w:rPr>
          <w:rFonts w:asciiTheme="majorHAnsi" w:hAnsiTheme="majorHAnsi" w:cstheme="majorHAnsi"/>
          <w:szCs w:val="24"/>
          <w:highlight w:val="yellow"/>
        </w:rPr>
      </w:r>
      <w:r w:rsidRPr="009B500E">
        <w:rPr>
          <w:rFonts w:asciiTheme="majorHAnsi" w:hAnsiTheme="majorHAnsi" w:cstheme="majorHAnsi"/>
          <w:szCs w:val="24"/>
        </w:rPr>
      </w:r>
      <w:r w:rsidRPr="0022059B">
        <w:rPr>
          <w:rFonts w:asciiTheme="majorHAnsi" w:hAnsiTheme="majorHAnsi" w:cstheme="majorHAnsi"/>
          <w:szCs w:val="24"/>
          <w:highlight w:val="yellow"/>
        </w:rPr>
      </w:r>
      <w:r w:rsidRPr="009B500E">
        <w:rPr>
          <w:rFonts w:asciiTheme="majorHAnsi" w:hAnsiTheme="majorHAnsi" w:cstheme="majorHAnsi"/>
          <w:szCs w:val="24"/>
        </w:rPr>
      </w:r>
      <w:r w:rsidRPr="003F3DE6">
        <w:rPr>
          <w:rFonts w:asciiTheme="majorHAnsi" w:hAnsiTheme="majorHAnsi" w:cstheme="majorHAnsi"/>
          <w:color w:val="auto"/>
          <w:szCs w:val="24"/>
        </w:rPr>
      </w:r>
    </w:p>
    <w:p w14:paraId="6B06E2DC" w14:textId="77777777" w:rsidR="005E2A6F" w:rsidRPr="009B500E" w:rsidRDefault="005E2A6F" w:rsidP="009B500E">
      <w:pPr>
        <w:spacing w:after="0" w:line="240" w:lineRule="auto"/>
        <w:rPr>
          <w:rFonts w:asciiTheme="majorHAnsi" w:hAnsiTheme="majorHAnsi" w:cstheme="majorHAnsi"/>
          <w:szCs w:val="24"/>
        </w:rPr>
      </w:pPr>
    </w:p>
    <w:p w14:paraId="023A05C4"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Operational definitions of RCD entities</w:t>
      </w:r>
    </w:p>
    <w:p w14:paraId="06FBDCCA" w14:textId="77777777" w:rsidR="00A82E1A" w:rsidRPr="009B500E" w:rsidRDefault="00000000" w:rsidP="009B500E">
      <w:pPr>
        <w:spacing w:after="0" w:line="240" w:lineRule="auto"/>
        <w:rPr>
          <w:rFonts w:asciiTheme="majorHAnsi" w:hAnsiTheme="majorHAnsi" w:cstheme="majorHAnsi"/>
          <w:szCs w:val="24"/>
        </w:rPr>
      </w:pPr>
      <w:r>
        <w:t>The operational definitions were developed through AI-assisted analysis under human supervision, using dedicated code and systematic human validation (two-call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(Database S1; 22,473 rows; 21,568 gene-RCD pairs). The controlled vocabulary is fixed and is not modified by downstream definition work. Each entity's operational definition was assigned from the highest-priority source available, in the order: (i) the verbatim operational definitions of the Nomenclature Committee on Cell Death (NCCD; Galluzzi et al. 2018, PMID 29362479), treated as invariant (content and meaning never altered); (ii) the expanded operational definitions of our prior study (Rodrigues de Souza et al. 2025,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r/>
    </w:p>
    <w:p>
      <w:r>
        <w:t>Human review granularity. 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28 RCDome-drafted operational definitions, the primary curator read and validated each definition against its founding evidence before marking it as approved, whereas the 25 committee definitions (NCCD and multi-optosis) remained byte-identical (LOCKED-VERBATIM). Field-level evidence was established through the systematic two-call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adjudicated by the curators, with the resulting consensus classification recorded as the final ontological assignment.</w:t>
      </w:r>
    </w:p>
    <w:p w14:paraId="0751E7C9" w14:textId="77777777" w:rsidR="004A5E2F" w:rsidRDefault="004A5E2F" w:rsidP="009B500E">
      <w:pPr>
        <w:spacing w:after="0" w:line="240" w:lineRule="auto"/>
      </w:pPr>
    </w:p>
    <w:p w14:paraId="6C35CF8B" w14:textId="77777777" w:rsidR="00A82E1A" w:rsidRDefault="00000000" w:rsidP="009B500E">
      <w:pPr>
        <w:spacing w:after="0" w:line="240" w:lineRule="auto"/>
      </w:pPr>
      <w:r>
        <w:t>Each RCD entity is represented by a 38-field record comprising three evidence layers: (i) definition — the operational definition (prose), key molecules, inflammatory status, description of overlaps, category, and year of discovery; (ii) quantified ranking — the six criteria RS1–RS6 and the overall score S; and (iii) provenance — the founding PMID, reference PMID and citation, primary and secondary evidence PMIDs, the authoring source, the contributing source databases and channels, the provenance note, the definition status, the source-of-definition flag (NCCD-verbatim, multi-optosis-dataset, or RCDome-drafted), and seven orthogonal ontological dimensions (species_scope, evidence_maturity, relationship_type, parent_entity, ontology_curator_verified, independent_replication, primary_discovery_reference).</w:t>
      </w:r>
    </w:p>
    <w:p w14:paraId="6767E7A8" w14:textId="77777777" w:rsidR="001E0E68" w:rsidRPr="009B500E" w:rsidRDefault="001E0E68" w:rsidP="009B500E">
      <w:pPr>
        <w:spacing w:after="0" w:line="240" w:lineRule="auto"/>
        <w:rPr>
          <w:rFonts w:asciiTheme="majorHAnsi" w:hAnsiTheme="majorHAnsi" w:cstheme="majorHAnsi"/>
          <w:szCs w:val="24"/>
        </w:rPr>
      </w:pPr>
    </w:p>
    <w:p w14:paraId="182EFB04" w14:textId="77777777" w:rsidR="0065188A" w:rsidRPr="009B500E" w:rsidRDefault="00000000" w:rsidP="009B500E">
      <w:pPr>
        <w:spacing w:after="0" w:line="240" w:lineRule="auto"/>
        <w:rPr>
          <w:rFonts w:asciiTheme="majorHAnsi" w:hAnsiTheme="majorHAnsi" w:cstheme="majorHAnsi"/>
          <w:szCs w:val="24"/>
        </w:rPr>
      </w:pPr>
      <w:r w:rsidRPr="001E0E68">
        <w:rPr>
          <w:rFonts w:asciiTheme="majorHAnsi" w:hAnsiTheme="majorHAnsi" w:cstheme="majorHAnsi"/>
          <w:i/>
          <w:iCs/>
          <w:szCs w:val="24"/>
        </w:rPr>
        <w:t>The evidence_maturity</w:t>
      </w:r>
      <w:r w:rsidRPr="009B500E">
        <w:rPr>
          <w:rFonts w:asciiTheme="majorHAnsi" w:hAnsiTheme="majorHAnsi" w:cstheme="majorHAnsi"/>
          <w:szCs w:val="24"/>
        </w:rPr>
        <w:t xml:space="preserve"> dimension records the consensus status of each entity as established, supported, emerging, legacy, or provisional.</w:t>
      </w:r>
    </w:p>
    <w:p w14:paraId="5D6079E8" w14:textId="77777777" w:rsidR="00A82E1A" w:rsidRPr="009B500E" w:rsidRDefault="00000000" w:rsidP="009B500E">
      <w:pPr>
        <w:spacing w:after="0" w:line="240" w:lineRule="auto"/>
        <w:rPr>
          <w:rFonts w:asciiTheme="majorHAnsi" w:hAnsiTheme="majorHAnsi" w:cstheme="majorHAnsi"/>
          <w:szCs w:val="24"/>
        </w:rPr>
      </w:pPr>
      <w:r>
        <w:t>Quantified scoring. The six multi-optosis criteria were retained — RS1 extent of research (25%), RS2 direct involvement (25%), RS3 impact on cell/tissue homeostasis (20%), RS4 emerging potential (15%), RS5 biological significance (10%), and RS6 pathophysiological relevance (5%) —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two-call human review.</w:t>
      </w:r>
    </w:p>
    <w:p w14:paraId="59318EA0" w14:textId="77777777" w:rsidR="009B500E" w:rsidRDefault="009B500E" w:rsidP="009B500E">
      <w:pPr>
        <w:spacing w:after="0" w:line="240" w:lineRule="auto"/>
        <w:rPr>
          <w:rFonts w:asciiTheme="majorHAnsi" w:hAnsiTheme="majorHAnsi" w:cstheme="majorHAnsi"/>
          <w:szCs w:val="24"/>
        </w:rPr>
      </w:pPr>
    </w:p>
    <w:p w14:paraId="5D3965B1" w14:textId="77777777" w:rsidR="0065188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(defines maturity), and BG6 species scope. These gates operationalize the NCCD MC1-MC5 criteria (BG1 ~ MC1 machinery; BG2 ~ MC5 modulation; BG3 ~ MC2/MC3 trigger and morphology; BG4 ~ MC4 naming). Entities passing BG1 and BG2 were classified hard_gate_status = L1-ELIGIBLE (19/53); the remainder were NOT-L1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r>
        <w:t>Relationship to the NCCD “canonical” ontology. The 19 L1 modalities are deliberately a subset of a larger reference set, not a relabeling of it. The Nomenclature Committee on Cell Death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 cuproptosis, disulfidptosis, methuosis, oxeiptosis, paraptosis, alkaliptosis, NECSO, mitoxyperilysis, and triaptosis — admitted on the strength of their distinct machinery and functional necessity. Conversely, 11 NCCD-verbatim entities are not L1 because they are subtypes (anoikis, extrinsic and intrinsic apoptosis, autosis, lysosomal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7DFF21C5" w14:textId="77777777" w:rsidR="009B500E" w:rsidRPr="009B500E" w:rsidRDefault="009B500E" w:rsidP="009B500E">
      <w:pPr>
        <w:spacing w:after="0" w:line="240" w:lineRule="auto"/>
        <w:rPr>
          <w:rFonts w:asciiTheme="majorHAnsi" w:hAnsiTheme="majorHAnsi" w:cstheme="majorHAnsi"/>
          <w:szCs w:val="24"/>
        </w:rPr>
      </w:pPr>
    </w:p>
    <w:p w14:paraId="3FBF870A" w14:textId="77777777" w:rsidR="00A82E1A" w:rsidRDefault="00000000" w:rsidP="009B500E">
      <w:pPr>
        <w:spacing w:after="0" w:line="240" w:lineRule="auto"/>
        <w:rPr>
          <w:rFonts w:asciiTheme="majorHAnsi" w:hAnsiTheme="majorHAnsi" w:cstheme="majorHAnsi"/>
          <w:szCs w:val="24"/>
        </w:rPr>
      </w:pPr>
      <w: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Two-call human verification: each drafted field was produced by an assistant (call A) and is approved, edited, or rejected by a human (call B), with every decision logged to its source for traceability.</w:t>
      </w:r>
    </w:p>
    <w:p w14:paraId="31AC69DE" w14:textId="77777777" w:rsidR="009B500E" w:rsidRPr="009B500E" w:rsidRDefault="009B500E" w:rsidP="009B500E">
      <w:pPr>
        <w:spacing w:after="0" w:line="240" w:lineRule="auto"/>
        <w:rPr>
          <w:rFonts w:asciiTheme="majorHAnsi" w:hAnsiTheme="majorHAnsi" w:cstheme="majorHAnsi"/>
          <w:szCs w:val="24"/>
        </w:rPr>
      </w:pPr>
    </w:p>
    <w:p w14:paraId="3E663E51" w14:textId="77777777" w:rsidR="00A82E1A" w:rsidRPr="009B500E" w:rsidRDefault="00000000" w:rsidP="009B500E">
      <w:pPr>
        <w:spacing w:after="0" w:line="240" w:lineRule="auto"/>
        <w:rPr>
          <w:rFonts w:asciiTheme="majorHAnsi" w:hAnsiTheme="majorHAnsi" w:cstheme="majorHAnsi"/>
          <w:szCs w:val="24"/>
        </w:rPr>
      </w:pPr>
      <w:r>
        <w:t>Every operational definition is anchored to a reference PMID: the NCCD verbatim definitions to Galluzzi et al. (PMID 29362479),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 coinage (a coining verb proximal to the entity name in the founding abstract), mechanism (the drafted key molecules appearing in the founding abstract), and PubMed consensus (a fresh search returning the founding PMID). Where a founding article was open-access, the full text (PMC) was used for claim-level validation; where no PMC full text was available, full-text recovery was additionally attempted via Europe PMC, and where the article remained paywalled the Consensus academic search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r>
        <w:rPr>
          <w:i/>
        </w:rPr>
      </w:r>
      <w:r/>
      <w:r>
        <w:rPr>
          <w:i/>
        </w:rPr>
      </w:r>
      <w:r/>
      <w:r>
        <w:rPr>
          <w:i/>
        </w:rPr>
      </w:r>
      <w:r/>
    </w:p>
    <w:p w14:paraId="73718D01" w14:textId="77777777" w:rsidR="009B500E" w:rsidRDefault="009B500E" w:rsidP="009B500E">
      <w:pPr>
        <w:spacing w:after="0" w:line="240" w:lineRule="auto"/>
        <w:rPr>
          <w:rFonts w:asciiTheme="majorHAnsi" w:hAnsiTheme="majorHAnsi" w:cstheme="majorHAnsi"/>
          <w:szCs w:val="24"/>
        </w:rPr>
      </w:pPr>
    </w:p>
    <w:p w14:paraId="663B4890" w14:textId="77777777" w:rsidR="00A82E1A" w:rsidRPr="009B500E" w:rsidRDefault="00000000" w:rsidP="009B500E">
      <w:pPr>
        <w:spacing w:after="0" w:line="240" w:lineRule="auto"/>
        <w:rPr>
          <w:rFonts w:asciiTheme="majorHAnsi" w:hAnsiTheme="majorHAnsi" w:cstheme="majorHAnsi"/>
          <w:szCs w:val="24"/>
        </w:rPr>
      </w:pPr>
      <w:r>
        <w:t>Consistent with the two-call principle of our prior multi-optosis study — in which the operational definitions of the five RCD forms not described by the NCCD were extracted by generative AI (GPT-4o, via the PDF Ai Drive tool, over a corpus of 6,603 free-access PDFs) and subsequently validated by manual review — the RCDome employed a distinct AI instrument set. Definitions lacking a committee definition were drafted by an assistant and substantiated by a three-stream validation: (i) DeepSeek (deepseek-chat and deepseek-reasoner)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two-call human review (approve, edit, or reject), with each decision logged to its source; no definition was accepted on the basis of AI output alone. The NCCD-verbatim and multi-optosis-verbatim definitions were preserved byte-identical to their sources and were not re-generated.</w:t>
      </w:r>
    </w:p>
    <w:p w14:paraId="0B5B970E" w14:textId="77777777" w:rsidR="009B500E" w:rsidRDefault="009B500E" w:rsidP="009B500E">
      <w:pPr>
        <w:spacing w:after="0" w:line="240" w:lineRule="auto"/>
        <w:rPr>
          <w:rFonts w:asciiTheme="majorHAnsi" w:hAnsiTheme="majorHAnsi" w:cstheme="majorHAnsi"/>
          <w:szCs w:val="24"/>
        </w:rPr>
      </w:pPr>
    </w:p>
    <w:p w14:paraId="53BEA649" w14:textId="77777777" w:rsidR="00A82E1A" w:rsidRPr="009B500E" w:rsidRDefault="00864C5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Inter-rater agreement between the drafted and human-reviewed RS1–RS6 values is reported as Cohen's κ (target ≥ 0.80). All definition-building code and the resulting 53-entity decoder are provided in the reproducibility repository. The two-call human review was completed with a bulk approval of all 336 drafted fields, and each decision is logged; inter-rater agreement between the drafted and human-reviewed values is reported as Cohen's κ where the review includes independent edits.</w:t>
      </w:r>
      <w:r w:rsidR="00D16F02">
        <w:rPr>
          <w:rFonts w:asciiTheme="majorHAnsi" w:hAnsiTheme="majorHAnsi" w:cstheme="majorHAnsi"/>
          <w:szCs w:val="24"/>
        </w:rPr>
      </w:r>
      <w:r w:rsidRPr="009B500E">
        <w:rPr>
          <w:rFonts w:asciiTheme="majorHAnsi" w:hAnsiTheme="majorHAnsi" w:cstheme="majorHAnsi"/>
          <w:szCs w:val="24"/>
        </w:rPr>
      </w:r>
    </w:p>
    <w:p w14:paraId="53FE332F" w14:textId="77777777" w:rsidR="009B500E" w:rsidRDefault="009B500E" w:rsidP="009B500E">
      <w:pPr>
        <w:spacing w:after="0" w:line="240" w:lineRule="auto"/>
        <w:rPr>
          <w:rFonts w:asciiTheme="majorHAnsi" w:hAnsiTheme="majorHAnsi" w:cstheme="majorHAnsi"/>
          <w:b/>
          <w:bCs/>
          <w:szCs w:val="24"/>
        </w:rPr>
      </w:pPr>
    </w:p>
    <w:p w14:paraId="59FE64CB"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Multi-Channel Gene Compilation Architecture</w:t>
      </w:r>
    </w:p>
    <w:p w14:paraId="0F6DADF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Gene-level evidence for each of the RCD forms was compiled through five independent but complementary channels, designed to maximize both recall (Channel A: PubMed Boolean searches) and precision (Channels B, C, D: curated databases, AI-assisted screening, and manual curation; Channel E: Elicit Phase 3 systematic review) (Figure 1).</w:t>
      </w:r>
      <w:r w:rsidR="00635000">
        <w:rPr>
          <w:rFonts w:asciiTheme="majorHAnsi" w:hAnsiTheme="majorHAnsi" w:cstheme="majorHAnsi"/>
          <w:szCs w:val="24"/>
        </w:rPr>
      </w:r>
      <w:r w:rsidRPr="009B500E">
        <w:rPr>
          <w:rFonts w:asciiTheme="majorHAnsi" w:hAnsiTheme="majorHAnsi" w:cstheme="majorHAnsi"/>
          <w:szCs w:val="24"/>
        </w:rPr>
      </w:r>
      <w:r w:rsidRPr="009B500E">
        <w:rPr>
          <w:rFonts w:asciiTheme="majorHAnsi" w:hAnsiTheme="majorHAnsi" w:cstheme="majorHAnsi"/>
          <w:szCs w:val="24"/>
          <w:highlight w:val="green"/>
        </w:rPr>
      </w:r>
    </w:p>
    <w:p w14:paraId="7DB7BDFC" w14:textId="77777777" w:rsidR="00EC5F2D" w:rsidRPr="009B500E" w:rsidRDefault="00EC5F2D" w:rsidP="009B500E">
      <w:pPr>
        <w:spacing w:after="0" w:line="240" w:lineRule="auto"/>
        <w:rPr>
          <w:rFonts w:asciiTheme="majorHAnsi" w:hAnsiTheme="majorHAnsi" w:cstheme="majorHAnsi"/>
          <w:szCs w:val="24"/>
        </w:rPr>
      </w:pPr>
    </w:p>
    <w:p w14:paraId="0D0063E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Channel A: Programmatic PubMed Boolean Searches. The curated gene database from </w:t>
      </w:r>
      <w:r w:rsidR="002705CC" w:rsidRPr="009B500E">
        <w:rPr>
          <w:rFonts w:asciiTheme="majorHAnsi" w:hAnsiTheme="majorHAnsi" w:cstheme="majorHAnsi"/>
          <w:szCs w:val="24"/>
          <w:highlight w:val="yellow"/>
        </w:rPr>
        <w:t>{Rodrigues de Souza, 2025 #782030;Rodrigues de Souza, 2026 #784804}</w:t>
      </w:r>
      <w:r w:rsidRPr="009B500E">
        <w:rPr>
          <w:rFonts w:asciiTheme="majorHAnsi" w:hAnsiTheme="majorHAnsi" w:cstheme="majorHAnsi"/>
          <w:szCs w:val="24"/>
        </w:rPr>
        <w:t xml:space="preserve"> served as the gene universe for Boolean queries. For each gene in CIB, we executed PubMed E-utilities queries pairing the gene symbol with each RCD form term and cancer-relevant filters: "[GENE]"[Gene] AND ("[RCD_TERM]"[Title/Abstract] OR "[RCD_ALIAS]"[Title/Abstract]) AND (cancer[Title/Abstract] OR tumor[Title/Abstract]).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(channel_a_rodrigues2025.py).</w:t>
      </w:r>
    </w:p>
    <w:p w14:paraId="6305A2C1" w14:textId="77777777" w:rsidR="00EC5F2D" w:rsidRPr="009B500E" w:rsidRDefault="00EC5F2D" w:rsidP="009B500E">
      <w:pPr>
        <w:spacing w:after="0" w:line="240" w:lineRule="auto"/>
        <w:rPr>
          <w:rFonts w:asciiTheme="majorHAnsi" w:hAnsiTheme="majorHAnsi" w:cstheme="majorHAnsi"/>
          <w:color w:val="EE0000"/>
          <w:szCs w:val="24"/>
        </w:rPr>
      </w:pPr>
    </w:p>
    <w:p w14:paraId="6A41C065" w14:textId="77777777" w:rsidR="00925876" w:rsidRPr="00AC138D" w:rsidRDefault="00925876" w:rsidP="009B500E">
      <w:r>
        <w:t xml:space="preserve">Channel B: Topic-Specific Database Extraction. Twenty independent resources were systematically queried for RCD-associated genes (Supplementary Table S2). Tier 1 comprised 10 RCD-specific curated databases: FerrDB v3 (22 RCD modalities, 3,481 unique genes; </w:t>
      </w:r>
      <w:hyperlink r:id="rId13">
        <w:r>
          <w:rPr>
            <w:rStyle w:val="Hyperlink"/>
          </w:rPr>
          <w:t>http://www.zhounan.org/ferrdb</w:t>
        </w:r>
      </w:hyperlink>
      <w:r>
        <w:t xml:space="preserve">; PMID 41171133), RCDdb (15 RCD types, 1,846 unique genes; </w:t>
      </w:r>
      <w:hyperlink r:id="rId14">
        <w:r>
          <w:rPr>
            <w:rStyle w:val="Hyperlink"/>
          </w:rPr>
          <w:t>http://chenyclab.com/RCDdb</w:t>
        </w:r>
      </w:hyperlink>
      <w:r>
        <w:t xml:space="preserve">; PMID 39257527), iPCD (15 RCD forms, filtered to 3,393 Homo sapiens genes; </w:t>
      </w:r>
      <w:hyperlink r:id="rId15">
        <w:r>
          <w:rPr>
            <w:rStyle w:val="Hyperlink"/>
          </w:rPr>
          <w:t>https://ipcd.biocuckoo.cn</w:t>
        </w:r>
      </w:hyperlink>
      <w:r>
        <w:t xml:space="preserve">; PMID 35805101), LncRCD (12 RCD types, 1,595 protein-coding target genes; </w:t>
      </w:r>
      <w:hyperlink r:id="rId16">
        <w:r>
          <w:rPr>
            <w:rStyle w:val="Hyperlink"/>
          </w:rPr>
          <w:t>https://lncrcddb.bio-database.com</w:t>
        </w:r>
      </w:hyperlink>
      <w:r>
        <w:t xml:space="preserve">; PMID 42231908), iLIR (6,087 LC3-interacting region proteins; </w:t>
      </w:r>
      <w:hyperlink r:id="rId17">
        <w:r>
          <w:rPr>
            <w:rStyle w:val="Hyperlink"/>
          </w:rPr>
          <w:t>https://ilir.warwick.ac.uk</w:t>
        </w:r>
      </w:hyperlink>
      <w:r>
        <w:t xml:space="preserve">; PMID 27484196), HADb (371 human autophagy genes; </w:t>
      </w:r>
      <w:hyperlink r:id="rId18">
        <w:r>
          <w:rPr>
            <w:rStyle w:val="Hyperlink"/>
          </w:rPr>
          <w:t>https://autophagy.lu</w:t>
        </w:r>
      </w:hyperlink>
      <w:r>
        <w:t xml:space="preserve">; PMID 20972215), HAMdb (551 human autophagy modulators; </w:t>
      </w:r>
      <w:hyperlink r:id="rId19">
        <w:r>
          <w:rPr>
            <w:rStyle w:val="Hyperlink"/>
          </w:rPr>
          <w:t>http://hamdb.scbdd.com</w:t>
        </w:r>
      </w:hyperlink>
      <w:r>
        <w:t xml:space="preserve">; PMID 30066211), ATD (87 autophagy-disease genes; </w:t>
      </w:r>
      <w:hyperlink r:id="rId20">
        <w:r>
          <w:rPr>
            <w:rStyle w:val="Hyperlink"/>
          </w:rPr>
          <w:t>http://auto2disease.nwsuaflmz.com</w:t>
        </w:r>
      </w:hyperlink>
      <w:r>
        <w:t xml:space="preserve">; PMID 30239683), AMT-DB (860 anti-tumor autophagy modulators; </w:t>
      </w:r>
      <w:hyperlink r:id="rId21">
        <w:r>
          <w:rPr>
            <w:rStyle w:val="Hyperlink"/>
          </w:rPr>
          <w:t>https://amtdb.vercel.app</w:t>
        </w:r>
      </w:hyperlink>
      <w:r>
        <w:t xml:space="preserve">; PMID 36016573), and ncFO (90 experimentally verified ncRNA-ferroptosis associations; </w:t>
      </w:r>
      <w:hyperlink r:id="rId22">
        <w:r>
          <w:rPr>
            <w:rStyle w:val="Hyperlink"/>
          </w:rPr>
          <w:t>http://www.jianglab.cn/ncFO</w:t>
        </w:r>
      </w:hyperlink>
      <w:r>
        <w:t>; PMID 36162726).</w:t>
      </w:r>
    </w:p>
    <w:p w14:paraId="777ECD50" w14:textId="77777777" w:rsidR="00AC138D" w:rsidRPr="009B500E" w:rsidRDefault="00AC138D" w:rsidP="009B500E">
      <w:pPr>
        <w:spacing w:after="0" w:line="240" w:lineRule="auto"/>
        <w:rPr>
          <w:rFonts w:asciiTheme="majorHAnsi" w:hAnsiTheme="majorHAnsi" w:cstheme="majorHAnsi"/>
          <w:color w:val="auto"/>
          <w:szCs w:val="24"/>
        </w:rPr>
      </w:pPr>
    </w:p>
    <w:p w14:paraId="5697621C" w14:textId="77777777" w:rsidR="00925876" w:rsidRPr="009B500E" w:rsidRDefault="00925876" w:rsidP="009B500E">
      <w:pPr>
        <w:spacing w:after="0" w:line="240" w:lineRule="auto"/>
        <w:rPr>
          <w:rFonts w:asciiTheme="majorHAnsi" w:hAnsiTheme="majorHAnsi" w:cstheme="majorHAnsi"/>
          <w:szCs w:val="24"/>
        </w:rPr>
      </w:pPr>
      <w:r>
        <w:lastRenderedPageBreak/>
        <w:t xml:space="preserve">Tier 2 comprised 5 pathway and molecular databases containing RCD-relevant subsets immersed within larger resources: KEGG (5 pathways via KGML parsing; </w:t>
      </w:r>
      <w:hyperlink r:id="rId23">
        <w:r>
          <w:rPr>
            <w:rStyle w:val="Hyperlink"/>
          </w:rPr>
          <w:t>https://rest.kegg.jp</w:t>
        </w:r>
      </w:hyperlink>
      <w:r>
        <w:t xml:space="preserve">; PMID 27899662), Reactome (Programmed Cell Death hierarchy R-HSA-5357801; </w:t>
      </w:r>
      <w:hyperlink r:id="rId24">
        <w:r>
          <w:rPr>
            <w:rStyle w:val="Hyperlink"/>
          </w:rPr>
          <w:t>https://reactome.org</w:t>
        </w:r>
      </w:hyperlink>
      <w:r>
        <w:t xml:space="preserve">; PMID 34788843), Gene Ontology (7 RCD-specific GO terms via QuickGO REST API; </w:t>
      </w:r>
      <w:hyperlink r:id="rId25">
        <w:r>
          <w:rPr>
            <w:rStyle w:val="Hyperlink"/>
          </w:rPr>
          <w:t>https://www.ebi.ac.uk/QuickGO</w:t>
        </w:r>
      </w:hyperlink>
      <w:r>
        <w:t xml:space="preserve">; PMID 36866529), MSigDB/GSEA (12 RCD-relevant gene sets in GMT format; </w:t>
      </w:r>
      <w:hyperlink r:id="rId26">
        <w:r>
          <w:rPr>
            <w:rStyle w:val="Hyperlink"/>
          </w:rPr>
          <w:t>https://www.gsea-msigdb.org</w:t>
        </w:r>
      </w:hyperlink>
      <w:r>
        <w:t>; PMID 21546393), and WikiPathways (</w:t>
      </w:r>
      <w:hyperlink r:id="rId27">
        <w:r>
          <w:rPr>
            <w:rStyle w:val="Hyperlink"/>
          </w:rPr>
          <w:t>https://www.wikipathways.org</w:t>
        </w:r>
      </w:hyperlink>
      <w:r>
        <w:t>; PMID 33211851). STRING (</w:t>
      </w:r>
      <w:hyperlink r:id="rId28">
        <w:r>
          <w:rPr>
            <w:rStyle w:val="Hyperlink"/>
          </w:rPr>
          <w:t>https://string-db.org</w:t>
        </w:r>
      </w:hyperlink>
      <w:r>
        <w:t>; PMID 36370105) and BioGRID (</w:t>
      </w:r>
      <w:hyperlink r:id="rId29">
        <w:r>
          <w:rPr>
            <w:rStyle w:val="Hyperlink"/>
          </w:rPr>
          <w:t>https://thebiogrid.org</w:t>
        </w:r>
      </w:hyperlink>
      <w:r>
        <w:t>; PMID 33070389) were used for protein-protein interaction annotation rather than gene extraction.</w:t>
      </w:r>
    </w:p>
    <w:p w14:paraId="089BA351" w14:textId="77777777" w:rsidR="00275E31" w:rsidRPr="009B500E" w:rsidRDefault="00275E31" w:rsidP="009B500E">
      <w:pPr>
        <w:spacing w:after="0" w:line="240" w:lineRule="auto"/>
        <w:rPr>
          <w:rFonts w:asciiTheme="majorHAnsi" w:hAnsiTheme="majorHAnsi" w:cstheme="majorHAnsi"/>
          <w:szCs w:val="24"/>
        </w:rPr>
      </w:pPr>
    </w:p>
    <w:p w14:paraId="55D5176B" w14:textId="77777777" w:rsidR="00925876" w:rsidRPr="009B500E" w:rsidRDefault="00921C18" w:rsidP="009B500E">
      <w:pPr>
        <w:spacing w:after="0" w:line="240" w:lineRule="auto"/>
        <w:rPr>
          <w:rFonts w:asciiTheme="majorHAnsi" w:hAnsiTheme="majorHAnsi" w:cstheme="majorHAnsi"/>
          <w:szCs w:val="24"/>
        </w:rPr>
      </w:pPr>
      <w:r>
        <w:t xml:space="preserve">Tier 3 comprised NCBI Gene (32 RCD form queries (run against the forms known at that pipeline stage; the final 53-form compilation retains 29 NCBI_Gene-contributed forms after synonym consolidation) via E-utilities API; </w:t>
      </w:r>
      <w:hyperlink r:id="rId30">
        <w:r>
          <w:rPr>
            <w:rStyle w:val="Hyperlink"/>
          </w:rPr>
          <w:t>https://eutils.ncbi.nlm.nih.gov</w:t>
        </w:r>
      </w:hyperlink>
      <w:r>
        <w:t xml:space="preserve">; PMID 25355515). Tier 4 databases (TCGA, </w:t>
      </w:r>
      <w:hyperlink r:id="rId31">
        <w:r>
          <w:rPr>
            <w:rStyle w:val="Hyperlink"/>
          </w:rPr>
          <w:t>https://www.cancer.gov/tcga</w:t>
        </w:r>
      </w:hyperlink>
      <w:r>
        <w:t xml:space="preserve">; PMID 24071849; GEO, </w:t>
      </w:r>
      <w:hyperlink r:id="rId32">
        <w:r>
          <w:rPr>
            <w:rStyle w:val="Hyperlink"/>
          </w:rPr>
          <w:t>https://www.ncbi.nlm.nih.gov/geo</w:t>
        </w:r>
      </w:hyperlink>
      <w:r>
        <w:t xml:space="preserve">; PMID 37933855; CPTAC, </w:t>
      </w:r>
      <w:hyperlink r:id="rId33">
        <w:r>
          <w:rPr>
            <w:rStyle w:val="Hyperlink"/>
          </w:rPr>
          <w:t>https://proteomics.cancer.gov/programs/cptac</w:t>
        </w:r>
      </w:hyperlink>
      <w:r>
        <w:t xml:space="preserve">; PMID 24124232; CCLE, </w:t>
      </w:r>
      <w:hyperlink r:id="rId34">
        <w:r>
          <w:rPr>
            <w:rStyle w:val="Hyperlink"/>
          </w:rPr>
          <w:t>https://sites.broadinstitute.org/ccle</w:t>
        </w:r>
      </w:hyperlink>
      <w:r>
        <w:t xml:space="preserve">; PMID 22460905; GDSC, </w:t>
      </w:r>
      <w:hyperlink r:id="rId35">
        <w:r>
          <w:rPr>
            <w:rStyle w:val="Hyperlink"/>
          </w:rPr>
          <w:t>https://www.depmap.org/portal/gdsc</w:t>
        </w:r>
      </w:hyperlink>
      <w:r>
        <w:t xml:space="preserve">; PMID 22460902; and DepMap, </w:t>
      </w:r>
      <w:hyperlink r:id="rId36">
        <w:r>
          <w:rPr>
            <w:rStyle w:val="Hyperlink"/>
          </w:rPr>
          <w:t>https://depmap.org</w:t>
        </w:r>
      </w:hyperlink>
      <w:r>
        <w:t>; PMID 28753430) were used for omic layer annotation rather than gene extraction.</w:t>
      </w:r>
    </w:p>
    <w:p w14:paraId="6AF0382A" w14:textId="77777777" w:rsidR="00EC5F2D" w:rsidRPr="009B500E" w:rsidRDefault="00EC5F2D" w:rsidP="009B500E">
      <w:pPr>
        <w:spacing w:after="0" w:line="240" w:lineRule="auto"/>
        <w:rPr>
          <w:rFonts w:asciiTheme="majorHAnsi" w:hAnsiTheme="majorHAnsi" w:cstheme="majorHAnsi"/>
          <w:szCs w:val="24"/>
        </w:rPr>
      </w:pPr>
    </w:p>
    <w:p w14:paraId="1CA78A5D"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(RCDome_MSigDB_Curadoria_Manual_Completa.xlsx):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6273C2DD" w14:textId="77777777" w:rsidR="00EC5F2D" w:rsidRPr="009B500E" w:rsidRDefault="00EC5F2D" w:rsidP="009B500E">
      <w:pPr>
        <w:spacing w:after="0" w:line="240" w:lineRule="auto"/>
        <w:rPr>
          <w:rFonts w:asciiTheme="majorHAnsi" w:hAnsiTheme="majorHAnsi" w:cstheme="majorHAnsi"/>
          <w:szCs w:val="24"/>
        </w:rPr>
      </w:pPr>
    </w:p>
    <w:p w14:paraId="0E077127"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ncFO </w:t>
      </w:r>
      <w:r w:rsidR="0072338A" w:rsidRPr="009B500E">
        <w:rPr>
          <w:rFonts w:asciiTheme="majorHAnsi" w:hAnsiTheme="majorHAnsi" w:cstheme="majorHAnsi"/>
          <w:szCs w:val="24"/>
          <w:highlight w:val="yellow"/>
        </w:rPr>
        <w:t>{Zhou, 2023 #784803}</w:t>
      </w:r>
      <w:r w:rsidR="002E5FF2">
        <w:rPr>
          <w:rFonts w:asciiTheme="majorHAnsi" w:hAnsiTheme="majorHAnsi" w:cstheme="majorHAnsi"/>
          <w:szCs w:val="24"/>
        </w:rPr>
        <w:t>,</w:t>
      </w:r>
      <w:r w:rsidR="0072338A" w:rsidRPr="009B500E">
        <w:rPr>
          <w:rFonts w:asciiTheme="majorHAnsi" w:hAnsiTheme="majorHAnsi" w:cstheme="majorHAnsi"/>
          <w:szCs w:val="24"/>
        </w:rPr>
        <w:t xml:space="preserve"> </w:t>
      </w:r>
      <w:r w:rsidRPr="009B500E">
        <w:rPr>
          <w:rFonts w:asciiTheme="majorHAnsi" w:hAnsiTheme="majorHAnsi" w:cstheme="majorHAnsi"/>
          <w:szCs w:val="24"/>
        </w:rPr>
        <w:t xml:space="preserve">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w:t>
      </w:r>
      <w:r w:rsidRPr="009B500E">
        <w:rPr>
          <w:rFonts w:asciiTheme="majorHAnsi" w:hAnsiTheme="majorHAnsi" w:cstheme="majorHAnsi"/>
          <w:szCs w:val="24"/>
        </w:rPr>
        <w:lastRenderedPageBreak/>
        <w:t>documented but not integrated, because circRNAs lack HGNC nomenclature and a complete circRNA layer would require class-wide curation across all RCD forms.</w:t>
      </w:r>
    </w:p>
    <w:p w14:paraId="4E8CA8FA" w14:textId="77777777" w:rsidR="00EC5F2D" w:rsidRPr="009B500E" w:rsidRDefault="00EC5F2D" w:rsidP="009B500E">
      <w:pPr>
        <w:spacing w:after="0" w:line="240" w:lineRule="auto"/>
        <w:rPr>
          <w:rFonts w:asciiTheme="majorHAnsi" w:hAnsiTheme="majorHAnsi" w:cstheme="majorHAnsi"/>
          <w:szCs w:val="24"/>
        </w:rPr>
      </w:pPr>
    </w:p>
    <w:p w14:paraId="053B676D"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We also considered the RCDscore compendium </w:t>
      </w:r>
      <w:r w:rsidR="0072338A" w:rsidRPr="009B500E">
        <w:rPr>
          <w:rFonts w:asciiTheme="majorHAnsi" w:hAnsiTheme="majorHAnsi" w:cstheme="majorHAnsi"/>
          <w:szCs w:val="24"/>
          <w:highlight w:val="yellow"/>
        </w:rPr>
        <w:t>{Zhang, 2024 #782727}</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 pan-cancer resource that collects 18 RCD signatures (11,206 </w:t>
      </w:r>
      <w:r w:rsidR="00705A6F">
        <w:rPr>
          <w:rFonts w:asciiTheme="majorHAnsi" w:hAnsiTheme="majorHAnsi" w:cstheme="majorHAnsi"/>
          <w:szCs w:val="24"/>
        </w:rPr>
        <w:t>gene-RCD</w:t>
      </w:r>
      <w:r w:rsidRPr="009B500E">
        <w:rPr>
          <w:rFonts w:asciiTheme="majorHAnsi" w:hAnsiTheme="majorHAnsi" w:cstheme="majorHAnsi"/>
          <w:szCs w:val="24"/>
        </w:rPr>
        <w:t xml:space="preserve"> pairs, 7,460 genes) from prior studies to predict overall survival and immune checkpoint inhibitor response. RCDscore was not integrated into the RCDome matrix because it catalogues gene pathways rather than curated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pairs: its signatures are broad GSVA/ssGSEA gene sets (up to 3,449 genes for a single form) whose membership reflects pathway involvement, not evidence of a specific role in the death mechanism. Accordingly, the 67.8% of gene</w:t>
      </w:r>
      <w:r w:rsidR="002E5FF2">
        <w:rPr>
          <w:rFonts w:asciiTheme="majorHAnsi" w:hAnsiTheme="majorHAnsi" w:cstheme="majorHAnsi"/>
          <w:szCs w:val="24"/>
        </w:rPr>
        <w:t xml:space="preserve">-RCD </w:t>
      </w:r>
      <w:r w:rsidRPr="009B500E">
        <w:rPr>
          <w:rFonts w:asciiTheme="majorHAnsi" w:hAnsiTheme="majorHAnsi" w:cstheme="majorHAnsi"/>
          <w:szCs w:val="24"/>
        </w:rPr>
        <w:t>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52FB6397" w14:textId="77777777" w:rsidR="00925876" w:rsidRPr="009B500E" w:rsidRDefault="00921C18" w:rsidP="009B500E">
      <w:pPr>
        <w:spacing w:after="0" w:line="240" w:lineRule="auto"/>
        <w:rPr>
          <w:rFonts w:asciiTheme="majorHAnsi" w:hAnsiTheme="majorHAnsi" w:cstheme="majorHAnsi"/>
          <w:szCs w:val="24"/>
        </w:rPr>
      </w:pPr>
      <w:r>
        <w:t>For each database, extraction was performed using dedicated Python scripts (channel_b_*.py), with all gene symbols validated against HGNC nomenclature. Every gene-RCD association was annotated with its source database, evidence type, and extraction timestamp.</w:t>
      </w:r>
    </w:p>
    <w:p w14:paraId="11286B07" w14:textId="77777777" w:rsidR="00EC5F2D" w:rsidRPr="009B500E" w:rsidRDefault="00EC5F2D" w:rsidP="009B500E">
      <w:pPr>
        <w:spacing w:after="0" w:line="240" w:lineRule="auto"/>
        <w:rPr>
          <w:rFonts w:asciiTheme="majorHAnsi" w:hAnsiTheme="majorHAnsi" w:cstheme="majorHAnsi"/>
          <w:color w:val="EE0000"/>
          <w:szCs w:val="24"/>
        </w:rPr>
      </w:pPr>
    </w:p>
    <w:p w14:paraId="569EB6D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C: AI-Assisted Literature Exploration. The Consensus academic search engine was employed to screen the literature for gene-RCD associations not captured by Channels A or B. Every AI-extracted association was flagged as curator_verified = FALSE until manual expert review; following the completed review, all 53 entities carry ontology_curator_verified = TRUE (bulk human approval, logged 2026-09-05). The Consensus.ai academic search engine (</w:t>
      </w:r>
      <w:hyperlink r:id="rId37">
        <w:r w:rsidRPr="009B500E">
          <w:rPr>
            <w:rFonts w:asciiTheme="majorHAnsi" w:hAnsiTheme="majorHAnsi" w:cstheme="majorHAnsi"/>
            <w:color w:val="0563C1"/>
            <w:szCs w:val="24"/>
            <w:u w:val="single"/>
          </w:rPr>
          <w:t>https://consensus.app</w:t>
        </w:r>
      </w:hyperlink>
      <w:r w:rsidRPr="009B500E">
        <w:rPr>
          <w:rFonts w:asciiTheme="majorHAnsi" w:hAnsiTheme="majorHAnsi" w:cstheme="majorHAnsi"/>
          <w:szCs w:val="24"/>
        </w:rPr>
        <w:t>) was used for semantic searches across 200M+ papers, returning claim-level extractions with citation context.</w:t>
      </w:r>
    </w:p>
    <w:p w14:paraId="21D96B5D" w14:textId="77777777" w:rsidR="00EC5F2D" w:rsidRPr="009B500E" w:rsidRDefault="00EC5F2D" w:rsidP="009B500E">
      <w:pPr>
        <w:spacing w:after="0" w:line="240" w:lineRule="auto"/>
        <w:rPr>
          <w:rFonts w:asciiTheme="majorHAnsi" w:hAnsiTheme="majorHAnsi" w:cstheme="majorHAnsi"/>
          <w:szCs w:val="24"/>
        </w:rPr>
      </w:pPr>
    </w:p>
    <w:p w14:paraId="2CF8A20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596CDF2D" w14:textId="77777777" w:rsidR="00EC5F2D" w:rsidRPr="009B500E" w:rsidRDefault="00EC5F2D" w:rsidP="009B500E">
      <w:pPr>
        <w:spacing w:after="0" w:line="240" w:lineRule="auto"/>
        <w:rPr>
          <w:rFonts w:asciiTheme="majorHAnsi" w:hAnsiTheme="majorHAnsi" w:cstheme="majorHAnsi"/>
          <w:b/>
          <w:bCs/>
          <w:szCs w:val="24"/>
        </w:rPr>
      </w:pPr>
    </w:p>
    <w:p w14:paraId="40BAAC1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Gene-RCD Association Traceability Specification</w:t>
      </w:r>
    </w:p>
    <w:p w14:paraId="5469F4E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 curator-verification status (the ontology_curator_verified field), which was set to TRUE for all 53 entities following bulk human approval (logged 2026-09-05). An automated rejection engine enforces these rules at the integration step.</w:t>
      </w:r>
    </w:p>
    <w:p w14:paraId="7FE450D9" w14:textId="77777777" w:rsidR="009B500E" w:rsidRDefault="009B500E" w:rsidP="009B500E">
      <w:pPr>
        <w:spacing w:after="0" w:line="240" w:lineRule="auto"/>
        <w:rPr>
          <w:rFonts w:asciiTheme="majorHAnsi" w:hAnsiTheme="majorHAnsi" w:cstheme="majorHAnsi"/>
          <w:szCs w:val="24"/>
        </w:rPr>
      </w:pPr>
    </w:p>
    <w:p w14:paraId="74FE915C"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Integration and Unified Gene-RCD Matrix</w:t>
      </w:r>
    </w:p>
    <w:p w14:paraId="651B726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Outputs from all four channels were merged into a unified gene-RCD association matrix using (gene_symbol, rcd_form) as the primary merge key, preserving the original RCD form </w:t>
      </w:r>
      <w:r w:rsidRPr="009B500E">
        <w:rPr>
          <w:rFonts w:asciiTheme="majorHAnsi" w:hAnsiTheme="majorHAnsi" w:cstheme="majorHAnsi"/>
          <w:szCs w:val="24"/>
        </w:rPr>
        <w:t>name exactly as recorded in each source database. A parallel rcd_form_canonical column was reserved for subsequent expert-governed unification of synonymous form names (e.g., "Entosis" to "Entotic cell death").</w:t>
      </w:r>
    </w:p>
    <w:p w14:paraId="6901B11D" w14:textId="77777777" w:rsidR="00EC5F2D" w:rsidRPr="009B500E" w:rsidRDefault="00EC5F2D" w:rsidP="009B500E">
      <w:pPr>
        <w:spacing w:after="0" w:line="240" w:lineRule="auto"/>
        <w:rPr>
          <w:rFonts w:asciiTheme="majorHAnsi" w:hAnsiTheme="majorHAnsi" w:cstheme="majorHAnsi"/>
          <w:szCs w:val="24"/>
        </w:rPr>
      </w:pPr>
    </w:p>
    <w:p w14:paraId="00F4867F" w14:textId="77777777" w:rsidR="00925876" w:rsidRPr="009B500E" w:rsidRDefault="00921C18" w:rsidP="009B500E">
      <w:pPr>
        <w:spacing w:after="0" w:line="240" w:lineRule="auto"/>
        <w:rPr>
          <w:rFonts w:asciiTheme="majorHAnsi" w:hAnsiTheme="majorHAnsi" w:cstheme="majorHAnsi"/>
          <w:szCs w:val="24"/>
        </w:rPr>
      </w:pPr>
      <w:r>
        <w:t>Each gene-RCD association was annotated with an evidence_quality classification reflecting the nature of the source evidence. Associations derived from manually curated databases (FerrDB, RCDdb, iPCD, LncRCD, iLIR, HADb, HAMdb, ATD, AMT-DB, KEGG, Reactome, GO, MSigDB, ncFO) and the multi-optosis dataset were classified as curated. 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ai_extracted) expanded the matrix to the final 22,473 rows.</w:t>
      </w:r>
    </w:p>
    <w:p w14:paraId="3FD86B43" w14:textId="77777777" w:rsidR="00EC5F2D" w:rsidRPr="009B500E" w:rsidRDefault="00EC5F2D" w:rsidP="009B500E">
      <w:pPr>
        <w:spacing w:after="0" w:line="240" w:lineRule="auto"/>
        <w:rPr>
          <w:rFonts w:asciiTheme="majorHAnsi" w:hAnsiTheme="majorHAnsi" w:cstheme="majorHAnsi"/>
          <w:szCs w:val="24"/>
        </w:rPr>
      </w:pPr>
    </w:p>
    <w:p w14:paraId="6C97BADC" w14:textId="77777777" w:rsidR="00925876" w:rsidRPr="009B500E" w:rsidRDefault="00921C18" w:rsidP="009B500E">
      <w:pPr>
        <w:spacing w:after="0" w:line="240" w:lineRule="auto"/>
        <w:rPr>
          <w:rFonts w:asciiTheme="majorHAnsi" w:hAnsiTheme="majorHAnsi" w:cstheme="majorHAnsi"/>
          <w:szCs w:val="24"/>
        </w:rPr>
      </w:pPr>
      <w:r>
        <w:t xml:space="preserve">Additionally, all gene symbols in the merged matrix were validated against the HGNC complete approved symbol set (n = 45,030; </w:t>
      </w:r>
      <w:hyperlink r:id="rId38">
        <w:r>
          <w:rPr>
            <w:rStyle w:val="Hyperlink"/>
          </w:rPr>
          <w:t>https://rest.genenames.org</w:t>
        </w:r>
      </w:hyperlink>
      <w:r>
        <w:t>; PMID 36243972).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gene_symbol_status column of the raw matrix and documented in the extraction audit log.</w:t>
      </w:r>
    </w:p>
    <w:p w14:paraId="13E88734" w14:textId="77777777" w:rsidR="00EC5F2D" w:rsidRPr="009B500E" w:rsidRDefault="00EC5F2D" w:rsidP="009B500E">
      <w:pPr>
        <w:spacing w:after="0" w:line="240" w:lineRule="auto"/>
        <w:rPr>
          <w:rFonts w:asciiTheme="majorHAnsi" w:hAnsiTheme="majorHAnsi" w:cstheme="majorHAnsi"/>
          <w:szCs w:val="24"/>
        </w:rPr>
      </w:pPr>
    </w:p>
    <w:p w14:paraId="5A97A457" w14:textId="77777777" w:rsidR="005E2A6F"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Pr>
          <w:rFonts w:asciiTheme="majorHAnsi" w:hAnsiTheme="majorHAnsi" w:cstheme="majorHAnsi"/>
          <w:szCs w:val="24"/>
        </w:rPr>
        <w:t xml:space="preserve"> </w:t>
      </w:r>
      <w:r w:rsidR="004C0F76" w:rsidRPr="004C0F76">
        <w:rPr>
          <w:rFonts w:asciiTheme="majorHAnsi" w:hAnsiTheme="majorHAnsi" w:cstheme="majorHAnsi"/>
          <w:szCs w:val="24"/>
          <w:highlight w:val="green"/>
        </w:rPr>
        <w:t>(Dataset S1)</w:t>
      </w:r>
      <w:r w:rsidRPr="009B500E">
        <w:rPr>
          <w:rFonts w:asciiTheme="majorHAnsi" w:hAnsiTheme="majorHAnsi" w:cstheme="majorHAnsi"/>
          <w:szCs w:val="24"/>
        </w:rPr>
        <w:t xml:space="preserve">. </w:t>
      </w:r>
    </w:p>
    <w:p w14:paraId="06887E44" w14:textId="77777777" w:rsidR="00EC5F2D" w:rsidRPr="009B500E" w:rsidRDefault="00EC5F2D" w:rsidP="009B500E">
      <w:pPr>
        <w:spacing w:after="0" w:line="240" w:lineRule="auto"/>
        <w:rPr>
          <w:rFonts w:asciiTheme="majorHAnsi" w:hAnsiTheme="majorHAnsi" w:cstheme="majorHAnsi"/>
          <w:b/>
          <w:bCs/>
          <w:szCs w:val="24"/>
        </w:rPr>
      </w:pPr>
    </w:p>
    <w:p w14:paraId="3D60B651"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b/>
          <w:bCs/>
          <w:color w:val="auto"/>
          <w:szCs w:val="24"/>
        </w:rPr>
        <w:t>RCD Form Name Normalization</w:t>
      </w:r>
    </w:p>
    <w:p w14:paraId="423F236F" w14:textId="77777777" w:rsidR="00925876" w:rsidRPr="00A30E1D" w:rsidRDefault="00921C18" w:rsidP="009B500E">
      <w:pPr>
        <w:spacing w:after="0" w:line="240" w:lineRule="auto"/>
        <w:rPr>
          <w:rFonts w:asciiTheme="majorHAnsi" w:hAnsiTheme="majorHAnsi" w:cstheme="majorHAnsi"/>
          <w:b/>
          <w:bCs/>
          <w:color w:val="auto"/>
          <w:szCs w:val="24"/>
        </w:rPr>
      </w:pPr>
      <w:r w:rsidRPr="00A30E1D">
        <w:rPr>
          <w:rFonts w:asciiTheme="majorHAnsi" w:hAnsiTheme="majorHAnsi" w:cstheme="majorHAnsi"/>
          <w:b/>
          <w:bCs/>
          <w:color w:val="auto"/>
          <w:szCs w:val="24"/>
        </w:rPr>
        <w:t>Phase 2 and 3: Expansion, External Audit, and Governance</w:t>
      </w:r>
    </w:p>
    <w:p w14:paraId="0B3F2348" w14:textId="77777777" w:rsidR="00EA778E"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 Floatptosis and Lysozincrosis as a cell-type program (L4) and a subtype (L2), respectively, and Metalloptosis as an umbrella term — completing the 53-entity vocabulary. An external audit subsequently integrated three additional databases (Reactome pathway-specific gene sets, WikiPathways, and XDeathDB), bringing the final count to 53 RCD-related entities (Supplementary Table S3). </w:t>
      </w:r>
    </w:p>
    <w:p w14:paraId="10393F5A" w14:textId="77777777" w:rsidR="00EA778E" w:rsidRPr="00A30E1D" w:rsidRDefault="00EA778E" w:rsidP="009B500E">
      <w:pPr>
        <w:spacing w:after="0" w:line="240" w:lineRule="auto"/>
        <w:rPr>
          <w:rFonts w:asciiTheme="majorHAnsi" w:hAnsiTheme="majorHAnsi" w:cstheme="majorHAnsi"/>
          <w:color w:val="auto"/>
          <w:szCs w:val="24"/>
        </w:rPr>
      </w:pPr>
    </w:p>
    <w:p w14:paraId="7F400A07"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Three proposals were formally excluded on fundamental grounds:</w:t>
      </w:r>
    </w:p>
    <w:p w14:paraId="56CDA06F" w14:textId="77777777" w:rsidR="00EA778E" w:rsidRPr="00A30E1D" w:rsidRDefault="00EA778E" w:rsidP="009B500E">
      <w:pPr>
        <w:spacing w:after="0" w:line="240" w:lineRule="auto"/>
        <w:rPr>
          <w:rFonts w:asciiTheme="majorHAnsi" w:hAnsiTheme="majorHAnsi" w:cstheme="majorHAnsi"/>
          <w:color w:val="auto"/>
          <w:szCs w:val="24"/>
        </w:rPr>
      </w:pPr>
    </w:p>
    <w:p w14:paraId="29909FC3"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1. </w:t>
      </w:r>
      <w:r w:rsidR="00921C18" w:rsidRPr="00A30E1D">
        <w:rPr>
          <w:rFonts w:asciiTheme="majorHAnsi" w:hAnsiTheme="majorHAnsi" w:cstheme="majorHAnsi"/>
          <w:color w:val="auto"/>
          <w:szCs w:val="24"/>
        </w:rPr>
        <w:t xml:space="preserve">Cobaltosis: This term describes systemic cobalt toxicity (cobaltism) from metal-on-metal hip implants, not a genetically encoded cell death program. The cellular damage is a consequence of heavy metal poisoning, not a regulated entity with distinct molecular </w:t>
      </w:r>
      <w:r w:rsidR="00921C18" w:rsidRPr="00A30E1D">
        <w:rPr>
          <w:rFonts w:asciiTheme="majorHAnsi" w:hAnsiTheme="majorHAnsi" w:cstheme="majorHAnsi"/>
          <w:color w:val="auto"/>
          <w:szCs w:val="24"/>
        </w:rPr>
        <w:lastRenderedPageBreak/>
        <w:t>machinery. No unique trigger, executioner, or inhibitor distinguishes it from general metal toxicity.</w:t>
      </w:r>
    </w:p>
    <w:p w14:paraId="2C4DC2B9" w14:textId="77777777" w:rsidR="00EA778E" w:rsidRPr="00A30E1D" w:rsidRDefault="00EA778E" w:rsidP="009B500E">
      <w:pPr>
        <w:spacing w:after="0" w:line="240" w:lineRule="auto"/>
        <w:rPr>
          <w:rFonts w:asciiTheme="majorHAnsi" w:hAnsiTheme="majorHAnsi" w:cstheme="majorHAnsi"/>
          <w:color w:val="auto"/>
          <w:szCs w:val="24"/>
        </w:rPr>
      </w:pPr>
    </w:p>
    <w:p w14:paraId="3E34069A"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2. </w:t>
      </w:r>
      <w:r w:rsidR="00921C18" w:rsidRPr="00A30E1D">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6CEE2227" w14:textId="77777777" w:rsidR="00EA778E" w:rsidRPr="00A30E1D" w:rsidRDefault="00EA778E" w:rsidP="009B500E">
      <w:pPr>
        <w:spacing w:after="0" w:line="240" w:lineRule="auto"/>
        <w:rPr>
          <w:rFonts w:asciiTheme="majorHAnsi" w:hAnsiTheme="majorHAnsi" w:cstheme="majorHAnsi"/>
          <w:color w:val="auto"/>
          <w:szCs w:val="24"/>
        </w:rPr>
      </w:pPr>
    </w:p>
    <w:p w14:paraId="06A114B4" w14:textId="77777777" w:rsidR="00925876" w:rsidRPr="00A30E1D" w:rsidRDefault="00230384"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 xml:space="preserve">3. </w:t>
      </w:r>
      <w:r w:rsidR="00921C18" w:rsidRPr="00A30E1D">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6CA3EB78" w14:textId="77777777" w:rsidR="00925876" w:rsidRPr="00A30E1D" w:rsidRDefault="00921C18" w:rsidP="009B500E">
      <w:pPr>
        <w:spacing w:after="0" w:line="240" w:lineRule="auto"/>
        <w:rPr>
          <w:rFonts w:asciiTheme="majorHAnsi" w:hAnsiTheme="majorHAnsi" w:cstheme="majorHAnsi"/>
          <w:color w:val="auto"/>
          <w:szCs w:val="24"/>
        </w:rPr>
      </w:pPr>
      <w:r w:rsidRPr="00A30E1D">
        <w:rPr>
          <w:rFonts w:asciiTheme="majorHAnsi" w:hAnsiTheme="majorHAnsi" w:cstheme="majorHAnsi"/>
          <w:color w:val="auto"/>
          <w:szCs w:val="24"/>
        </w:rPr>
        <w:t>The exclusion of cobaltosis, calcioptosis, and corneoptosis is documented here to establish a precedent: not every "-ptosis" or "-osis" term proposed in the literature qualifies as a distinct regulated cell death form. The five-criteria framework serves as the gatekeeper.</w:t>
      </w:r>
    </w:p>
    <w:p w14:paraId="678D4FA1" w14:textId="77777777" w:rsidR="0022059B" w:rsidRPr="00FC261A" w:rsidRDefault="0022059B" w:rsidP="009B500E">
      <w:pPr>
        <w:spacing w:after="0" w:line="240" w:lineRule="auto"/>
        <w:rPr>
          <w:rFonts w:asciiTheme="majorHAnsi" w:hAnsiTheme="majorHAnsi" w:cstheme="majorHAnsi"/>
          <w:color w:val="EE0000"/>
          <w:szCs w:val="24"/>
        </w:rPr>
      </w:pPr>
    </w:p>
    <w:p w14:paraId="3334C93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(rcd_form) is preserved in every row; the normalized name (rcd_form_canonical)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11 synonym renames are listed in Supplementary Table S5.</w:t>
      </w:r>
    </w:p>
    <w:p w14:paraId="0B179115" w14:textId="77777777" w:rsidR="00EA778E" w:rsidRPr="009B500E" w:rsidRDefault="00EA778E" w:rsidP="009B500E">
      <w:pPr>
        <w:spacing w:after="0" w:line="240" w:lineRule="auto"/>
        <w:rPr>
          <w:rFonts w:asciiTheme="majorHAnsi" w:hAnsiTheme="majorHAnsi" w:cstheme="majorHAnsi"/>
          <w:szCs w:val="24"/>
        </w:rPr>
      </w:pPr>
    </w:p>
    <w:p w14:paraId="2225872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Normalization mapping (11 renames to produce 53 RCD-related entities, all with gene-level evidence):</w:t>
      </w:r>
    </w:p>
    <w:p w14:paraId="14BEC9AC" w14:textId="77777777" w:rsidR="00925876" w:rsidRPr="009B500E" w:rsidRDefault="00925876" w:rsidP="009B500E">
      <w:pPr>
        <w:spacing w:after="0" w:line="240" w:lineRule="auto"/>
        <w:rPr>
          <w:rFonts w:asciiTheme="majorHAnsi" w:hAnsiTheme="majorHAnsi" w:cstheme="majorHAnsi"/>
          <w:szCs w:val="24"/>
        </w:rPr>
      </w:pPr>
    </w:p>
    <w:p w14:paraId="764B918A"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RCD Form Vocabulary Consolidation</w:t>
      </w:r>
    </w:p>
    <w:p w14:paraId="4C1B54F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RCD form vocabulary consolidates 62 original name strings from 20 independent resources into 53 RCD-related entities through 11 synonym merges. All 53 RCD-related entities carry gene-level evidence in the unified matrix (Supplementary Table S3). The full expansion and normalization methodology is documented in the Methods (Normalization mapping) and Supplementary Table S3. The newly admitted RCD-related entities are listed in Supplementary Table S6.</w:t>
      </w:r>
    </w:p>
    <w:p w14:paraId="4F976F0E" w14:textId="77777777" w:rsidR="00EA778E" w:rsidRPr="009B500E" w:rsidRDefault="00EA778E" w:rsidP="009B500E">
      <w:pPr>
        <w:spacing w:after="0" w:line="240" w:lineRule="auto"/>
        <w:rPr>
          <w:rFonts w:asciiTheme="majorHAnsi" w:hAnsiTheme="majorHAnsi" w:cstheme="majorHAnsi"/>
          <w:b/>
          <w:bCs/>
          <w:szCs w:val="24"/>
        </w:rPr>
      </w:pPr>
    </w:p>
    <w:p w14:paraId="7F8C586E"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Summary of RCD Form Count Evolution</w:t>
      </w:r>
    </w:p>
    <w:p w14:paraId="462966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3D5A9806" w14:textId="77777777" w:rsidR="00EA778E" w:rsidRPr="009B500E" w:rsidRDefault="00EA778E" w:rsidP="009B500E">
      <w:pPr>
        <w:spacing w:after="0" w:line="240" w:lineRule="auto"/>
        <w:rPr>
          <w:rFonts w:asciiTheme="majorHAnsi" w:hAnsiTheme="majorHAnsi" w:cstheme="majorHAnsi"/>
          <w:b/>
          <w:bCs/>
          <w:szCs w:val="24"/>
        </w:rPr>
      </w:pPr>
    </w:p>
    <w:p w14:paraId="5787032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lastRenderedPageBreak/>
        <w:t>Phase 2: Automated Gene-RCD Association Validation</w:t>
      </w:r>
    </w:p>
    <w:p w14:paraId="7191F637" w14:textId="77777777" w:rsidR="00CA1683" w:rsidRDefault="00000000">
      <w:r>
        <w:rPr>
          <w:b/>
        </w:rPr>
        <w:t>Phase 2A: Two-Call Independent Validation</w:t>
      </w:r>
    </w:p>
    <w:p w14:paraId="079F9B8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independently validate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w:t>
      </w:r>
    </w:p>
    <w:p w14:paraId="111DAA10" w14:textId="77777777" w:rsidR="00EA778E" w:rsidRPr="009B500E" w:rsidRDefault="00EA778E" w:rsidP="009B500E">
      <w:pPr>
        <w:spacing w:after="0" w:line="240" w:lineRule="auto"/>
        <w:rPr>
          <w:rFonts w:asciiTheme="majorHAnsi" w:hAnsiTheme="majorHAnsi" w:cstheme="majorHAnsi"/>
          <w:b/>
          <w:bCs/>
          <w:szCs w:val="24"/>
        </w:rPr>
      </w:pPr>
    </w:p>
    <w:p w14:paraId="3A11E78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Two distinct validations are performed and never conflated: (i) </w:t>
      </w:r>
      <w:r w:rsidR="00705A6F">
        <w:rPr>
          <w:rFonts w:asciiTheme="majorHAnsi" w:hAnsiTheme="majorHAnsi" w:cstheme="majorHAnsi"/>
          <w:szCs w:val="24"/>
        </w:rPr>
        <w:t>gene-RCD</w:t>
      </w:r>
      <w:r w:rsidRPr="009B500E">
        <w:rPr>
          <w:rFonts w:asciiTheme="majorHAnsi" w:hAnsiTheme="majorHAnsi" w:cstheme="majorHAnsi"/>
          <w:szCs w:val="24"/>
        </w:rPr>
        <w:t xml:space="preserve"> association validation — whether a gene and an RCD entity are genuinely linked in the published record — which is automated and scalable across the three independent channels; and (ii) RCD modality status validation — whether an entity constitutes a bona fide human cell-death modality — which is an ontological judgment performed by human curation, not by the automated channels.</w:t>
      </w:r>
    </w:p>
    <w:p w14:paraId="5BEB0279" w14:textId="77777777" w:rsidR="009B500E" w:rsidRDefault="009B500E" w:rsidP="009B500E">
      <w:pPr>
        <w:spacing w:after="0" w:line="240" w:lineRule="auto"/>
        <w:rPr>
          <w:rFonts w:asciiTheme="majorHAnsi" w:hAnsiTheme="majorHAnsi" w:cstheme="majorHAnsi"/>
          <w:b/>
          <w:bCs/>
          <w:szCs w:val="24"/>
        </w:rPr>
      </w:pPr>
    </w:p>
    <w:p w14:paraId="61CAC82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Two-Call Independent Validation Architecture</w:t>
      </w:r>
    </w:p>
    <w:p w14:paraId="3B6D6519"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pipeline executes two completely independent LLM calls per gene-RCD pair, with no cross-contamination between them:</w:t>
      </w:r>
    </w:p>
    <w:p w14:paraId="6ECC3D41" w14:textId="77777777" w:rsidR="00EA778E" w:rsidRPr="009B500E" w:rsidRDefault="00EA778E" w:rsidP="009B500E">
      <w:pPr>
        <w:spacing w:after="0" w:line="240" w:lineRule="auto"/>
        <w:rPr>
          <w:rFonts w:asciiTheme="majorHAnsi" w:hAnsiTheme="majorHAnsi" w:cstheme="majorHAnsi"/>
          <w:b/>
          <w:bCs/>
          <w:szCs w:val="24"/>
        </w:rPr>
      </w:pPr>
    </w:p>
    <w:p w14:paraId="2C56EA4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A (Internal Knowledge):</w:t>
      </w:r>
      <w:r w:rsidRPr="009B500E">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D65EBBA" w14:textId="77777777" w:rsidR="00EA778E" w:rsidRPr="009B500E" w:rsidRDefault="00EA778E" w:rsidP="009B500E">
      <w:pPr>
        <w:spacing w:after="0" w:line="240" w:lineRule="auto"/>
        <w:rPr>
          <w:rFonts w:asciiTheme="majorHAnsi" w:hAnsiTheme="majorHAnsi" w:cstheme="majorHAnsi"/>
          <w:b/>
          <w:bCs/>
          <w:szCs w:val="24"/>
        </w:rPr>
      </w:pPr>
    </w:p>
    <w:p w14:paraId="6A10FAC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Call B (PubMed Abstract Evidence)</w:t>
      </w:r>
      <w:r w:rsidRPr="009B500E">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2872D8E7" w14:textId="77777777" w:rsidR="00840E12" w:rsidRPr="009B500E" w:rsidRDefault="00840E12" w:rsidP="009B500E">
      <w:pPr>
        <w:spacing w:after="0" w:line="240" w:lineRule="auto"/>
        <w:rPr>
          <w:rFonts w:asciiTheme="majorHAnsi" w:hAnsiTheme="majorHAnsi" w:cstheme="majorHAnsi"/>
          <w:b/>
          <w:bCs/>
          <w:szCs w:val="24"/>
        </w:rPr>
      </w:pPr>
    </w:p>
    <w:p w14:paraId="58F7D981" w14:textId="77777777" w:rsid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DeepSeek Validation.</w:t>
      </w:r>
      <w:r w:rsidRPr="009B500E">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Pr>
          <w:rFonts w:asciiTheme="majorHAnsi" w:hAnsiTheme="majorHAnsi" w:cstheme="majorHAnsi"/>
          <w:szCs w:val="24"/>
        </w:rPr>
        <w:t xml:space="preserve"> </w:t>
      </w:r>
    </w:p>
    <w:p w14:paraId="375FFD8F" w14:textId="77777777" w:rsidR="009B500E" w:rsidRDefault="009B500E" w:rsidP="009B500E">
      <w:pPr>
        <w:spacing w:after="0" w:line="240" w:lineRule="auto"/>
        <w:rPr>
          <w:rFonts w:asciiTheme="majorHAnsi" w:hAnsiTheme="majorHAnsi" w:cstheme="majorHAnsi"/>
          <w:szCs w:val="24"/>
        </w:rPr>
      </w:pPr>
    </w:p>
    <w:p w14:paraId="788F2CA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 calls are merged independently according to a predefined matrix: both CONFIRMED → CONFIRMED; Call A CONFIRMED + Call B UNCLEAR → NEEDS_LITERATURE (LLM knowledge exists but literature is lacking); Call A UNCLEAR + Call B CONFIRMED → NEEDS_CONTEXT (literature support exists but the LLM is uncertain); both UNCLEAR → UNCLEAR.</w:t>
      </w:r>
    </w:p>
    <w:p w14:paraId="27B16E2B" w14:textId="77777777" w:rsidR="00EA778E" w:rsidRPr="009B500E" w:rsidRDefault="00EA778E" w:rsidP="009B500E">
      <w:pPr>
        <w:spacing w:after="0" w:line="240" w:lineRule="auto"/>
        <w:rPr>
          <w:rFonts w:asciiTheme="majorHAnsi" w:hAnsiTheme="majorHAnsi" w:cstheme="majorHAnsi"/>
          <w:b/>
          <w:bCs/>
          <w:szCs w:val="24"/>
        </w:rPr>
      </w:pPr>
    </w:p>
    <w:p w14:paraId="5CDC3D9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Evidence Tier Assignment</w:t>
      </w:r>
    </w:p>
    <w:p w14:paraId="0832A44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gene-RCD pair receives a final evidence tier (ET1-ET4) based on a composite of multi-database consensus and LLM validation status:</w:t>
      </w:r>
    </w:p>
    <w:p w14:paraId="19D48E36" w14:textId="77777777" w:rsidR="00EA778E" w:rsidRPr="009B500E" w:rsidRDefault="00EA778E" w:rsidP="009B500E">
      <w:pPr>
        <w:spacing w:after="0" w:line="240" w:lineRule="auto"/>
        <w:rPr>
          <w:rFonts w:asciiTheme="majorHAnsi" w:hAnsiTheme="majorHAnsi" w:cstheme="majorHAnsi"/>
          <w:szCs w:val="24"/>
        </w:rPr>
      </w:pPr>
    </w:p>
    <w:p w14:paraId="0A60685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ET1 (Gold Standard): Four or more independent database sources, or two or more sources with RCDdb-provided PMIDs.</w:t>
      </w:r>
    </w:p>
    <w:p w14:paraId="2F907AD9" w14:textId="77777777" w:rsidR="00EA778E" w:rsidRPr="009B500E" w:rsidRDefault="00EA778E" w:rsidP="009B500E">
      <w:pPr>
        <w:spacing w:after="0" w:line="240" w:lineRule="auto"/>
        <w:rPr>
          <w:rFonts w:asciiTheme="majorHAnsi" w:hAnsiTheme="majorHAnsi" w:cstheme="majorHAnsi"/>
          <w:szCs w:val="24"/>
        </w:rPr>
      </w:pPr>
    </w:p>
    <w:p w14:paraId="54C5A01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ET2 (Strong Evidence): Three or more sources, or confirmed by both LLM calls.</w:t>
      </w:r>
    </w:p>
    <w:p w14:paraId="3C9C44BD" w14:textId="77777777" w:rsidR="00EA778E" w:rsidRPr="009B500E" w:rsidRDefault="00EA778E" w:rsidP="009B500E">
      <w:pPr>
        <w:spacing w:after="0" w:line="240" w:lineRule="auto"/>
        <w:rPr>
          <w:rFonts w:asciiTheme="majorHAnsi" w:hAnsiTheme="majorHAnsi" w:cstheme="majorHAnsi"/>
          <w:szCs w:val="24"/>
        </w:rPr>
      </w:pPr>
    </w:p>
    <w:p w14:paraId="5205D615"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ET3 (Moderate Evidence): Two sources with LLM confirmation, or one source with LLM confirmation.</w:t>
      </w:r>
    </w:p>
    <w:p w14:paraId="44F2D226" w14:textId="77777777" w:rsidR="00EA778E" w:rsidRPr="009B500E" w:rsidRDefault="00EA778E" w:rsidP="009B500E">
      <w:pPr>
        <w:spacing w:after="0" w:line="240" w:lineRule="auto"/>
        <w:rPr>
          <w:rFonts w:asciiTheme="majorHAnsi" w:hAnsiTheme="majorHAnsi" w:cstheme="majorHAnsi"/>
          <w:szCs w:val="24"/>
        </w:rPr>
      </w:pPr>
    </w:p>
    <w:p w14:paraId="3274D29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ET4 (Weak Evidence): Single source without LLM confirmation, or LLM unable to verify.</w:t>
      </w:r>
    </w:p>
    <w:p w14:paraId="46BF11EA" w14:textId="77777777" w:rsidR="00917D83" w:rsidRDefault="00917D83" w:rsidP="009B500E">
      <w:pPr>
        <w:spacing w:after="0" w:line="240" w:lineRule="auto"/>
        <w:rPr>
          <w:rFonts w:asciiTheme="majorHAnsi" w:hAnsiTheme="majorHAnsi" w:cstheme="majorHAnsi"/>
          <w:color w:val="EE0000"/>
          <w:szCs w:val="24"/>
        </w:rPr>
      </w:pPr>
    </w:p>
    <w:p w14:paraId="2B1F26E9" w14:textId="77777777" w:rsidR="00925876" w:rsidRPr="00FC261A" w:rsidRDefault="00921C18" w:rsidP="009B500E">
      <w:pPr>
        <w:spacing w:after="0" w:line="240" w:lineRule="auto"/>
        <w:rPr>
          <w:rFonts w:asciiTheme="majorHAnsi" w:hAnsiTheme="majorHAnsi" w:cstheme="majorHAnsi"/>
          <w:color w:val="EE0000"/>
          <w:szCs w:val="24"/>
        </w:rPr>
      </w:pPr>
      <w:r w:rsidRPr="00FC261A">
        <w:rPr>
          <w:rFonts w:asciiTheme="majorHAnsi" w:hAnsiTheme="majorHAnsi" w:cstheme="majorHAnsi"/>
          <w:color w:val="EE0000"/>
          <w:szCs w:val="24"/>
        </w:rPr>
        <w:t>Separately, a confidence score was computed as a weighted sum of the compilation channels (Channel D = 4, Channel B = 3, Channel A = 1, Channel C = 1) and recorded as an independent confidence tier (CT1 = 7–9, CT2 = 4–6, CT3 = 2–3, CT4 = 0–1). This confidence tier is a metric distinct from the evidence tier (ET1–ET4) defined above and must not be conflated with it.</w:t>
      </w:r>
      <w:r w:rsidR="00491367" w:rsidRPr="00FC261A">
        <w:rPr>
          <w:rFonts w:asciiTheme="majorHAnsi" w:hAnsiTheme="majorHAnsi" w:cstheme="majorHAnsi"/>
          <w:color w:val="EE0000"/>
          <w:szCs w:val="24"/>
        </w:rPr>
      </w:r>
      <w:r w:rsidRPr="00FC261A">
        <w:rPr>
          <w:rFonts w:asciiTheme="majorHAnsi" w:hAnsiTheme="majorHAnsi" w:cstheme="majorHAnsi"/>
          <w:color w:val="EE0000"/>
          <w:szCs w:val="24"/>
        </w:rPr>
      </w:r>
    </w:p>
    <w:p w14:paraId="65247782" w14:textId="77777777" w:rsidR="00EA778E" w:rsidRPr="009B500E" w:rsidRDefault="00EA778E" w:rsidP="009B500E">
      <w:pPr>
        <w:spacing w:after="0" w:line="240" w:lineRule="auto"/>
        <w:rPr>
          <w:rFonts w:asciiTheme="majorHAnsi" w:hAnsiTheme="majorHAnsi" w:cstheme="majorHAnsi"/>
          <w:szCs w:val="24"/>
        </w:rPr>
      </w:pPr>
    </w:p>
    <w:p w14:paraId="43099F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Anti-Block and Rate-Limiting Strategy</w:t>
      </w:r>
    </w:p>
    <w:p w14:paraId="63303398"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intermediate progress is stored in a separate JSON checkpoint file (llm_verification_progress.json), ensuring that the matrix remains uncorrupted if the pipeline is interrupted.</w:t>
      </w:r>
      <w:r>
        <w:t xml:space="preserve"> The validation pipeline is implemented as channel_c_evidence_tier.py in the extraction code repository. All LLM API keys are stored in environment variables (.env file), never hardcoded.</w:t>
      </w:r>
    </w:p>
    <w:p w14:paraId="4B382F07" w14:textId="77777777" w:rsidR="00EA778E" w:rsidRPr="009B500E" w:rsidRDefault="00EA778E" w:rsidP="009B500E">
      <w:pPr>
        <w:spacing w:after="0" w:line="240" w:lineRule="auto"/>
        <w:rPr>
          <w:rFonts w:asciiTheme="majorHAnsi" w:hAnsiTheme="majorHAnsi" w:cstheme="majorHAnsi"/>
          <w:szCs w:val="24"/>
        </w:rPr>
      </w:pPr>
    </w:p>
    <w:p w14:paraId="4570ED18"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8448B7C"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18A7DEC1" w14:textId="77777777" w:rsidR="004A5E2F" w:rsidRDefault="004A5E2F" w:rsidP="009B500E">
      <w:pPr>
        <w:spacing w:after="0" w:line="240" w:lineRule="auto"/>
        <w:rPr>
          <w:rFonts w:asciiTheme="majorHAnsi" w:hAnsiTheme="majorHAnsi" w:cstheme="majorHAnsi"/>
          <w:szCs w:val="24"/>
        </w:rPr>
      </w:pPr>
    </w:p>
    <w:p w14:paraId="7B1949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w:t>
      </w:r>
      <w:r>
        <w:t xml:space="preserve"> The Phase 2A/D validation output columns are described in Supplementary Table S7.</w:t>
      </w:r>
    </w:p>
    <w:p w14:paraId="141C5D31" w14:textId="77777777" w:rsidR="00EA778E" w:rsidRPr="004E36FF" w:rsidRDefault="00EA778E" w:rsidP="009B500E">
      <w:pPr>
        <w:spacing w:after="0" w:line="240" w:lineRule="auto"/>
        <w:rPr>
          <w:rFonts w:asciiTheme="majorHAnsi" w:hAnsiTheme="majorHAnsi" w:cstheme="majorHAnsi"/>
          <w:color w:val="EE0000"/>
          <w:szCs w:val="24"/>
        </w:rPr>
      </w:pPr>
    </w:p>
    <w:p w14:paraId="1F2FF027" w14:textId="77777777" w:rsidR="00925876" w:rsidRPr="009B500E" w:rsidRDefault="00921C18" w:rsidP="009B500E">
      <w:pPr>
        <w:spacing w:after="0" w:line="240" w:lineRule="auto"/>
        <w:rPr>
          <w:rFonts w:asciiTheme="majorHAnsi" w:hAnsiTheme="majorHAnsi" w:cstheme="majorHAnsi"/>
          <w:szCs w:val="24"/>
        </w:rPr>
      </w:pPr>
      <w:r w:rsidRPr="00CE378B">
        <w:rPr>
          <w:rFonts w:asciiTheme="majorHAnsi" w:hAnsiTheme="majorHAnsi" w:cstheme="majorHAnsi"/>
          <w:b/>
          <w:bCs/>
          <w:szCs w:val="24"/>
        </w:rPr>
        <w:t>Phase 2A/D MSigDB extension.</w:t>
      </w:r>
      <w:r w:rsidRPr="009B500E">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 </w:t>
      </w:r>
      <w:r w:rsidRPr="009B500E">
        <w:rPr>
          <w:rFonts w:asciiTheme="majorHAnsi" w:hAnsiTheme="majorHAnsi" w:cstheme="majorHAnsi"/>
          <w:szCs w:val="24"/>
        </w:rPr>
        <w:lastRenderedPageBreak/>
        <w:t>mechanistic (yes/no), role (executor/regulator/marker/uncertain), and direction (promotes/protects) —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0D1CC95C" w14:textId="77777777" w:rsidR="00EA778E" w:rsidRPr="009B500E" w:rsidRDefault="00EA778E" w:rsidP="009B500E">
      <w:pPr>
        <w:spacing w:after="0" w:line="240" w:lineRule="auto"/>
        <w:rPr>
          <w:rFonts w:asciiTheme="majorHAnsi" w:hAnsiTheme="majorHAnsi" w:cstheme="majorHAnsi"/>
          <w:szCs w:val="24"/>
        </w:rPr>
      </w:pPr>
    </w:p>
    <w:p w14:paraId="246582F3" w14:textId="77777777" w:rsidR="00925876" w:rsidRPr="009B500E" w:rsidRDefault="00985363"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Phase 2B: Europe PMC Full-Text XML Deep RAG Evidence Extraction</w:t>
      </w:r>
    </w:p>
    <w:p w14:paraId="655D646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Europe PMC Full-Text Search. Europe PMC indexes both abstracts and full-text articles; Phase 2B queried the Europe PMC full-text index and processed 167,868 open-access full-text articles available for XML-based analysis, enabling retrieval of gene-RCD co-occurrences hidden from PubMed's (gene[Gene]) AND (rcd[Title/Abstract]) strategy. For each non-MECHANISTIC pair, the query ({gene}) AND ({rcd}) is executed against the full-text index, returning PMIDs, PMC IDs, and total hit counts.</w:t>
      </w:r>
    </w:p>
    <w:p w14:paraId="4AE222EE" w14:textId="77777777" w:rsidR="00570905" w:rsidRPr="009B500E" w:rsidRDefault="00570905" w:rsidP="009B500E">
      <w:pPr>
        <w:spacing w:after="0" w:line="240" w:lineRule="auto"/>
        <w:rPr>
          <w:rFonts w:asciiTheme="majorHAnsi" w:hAnsiTheme="majorHAnsi" w:cstheme="majorHAnsi"/>
          <w:szCs w:val="24"/>
        </w:rPr>
      </w:pPr>
    </w:p>
    <w:p w14:paraId="6062D7E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complements </w:t>
      </w:r>
      <w:r w:rsidRPr="00E54383">
        <w:rPr>
          <w:rFonts w:asciiTheme="majorHAnsi" w:hAnsiTheme="majorHAnsi" w:cstheme="majorHAnsi"/>
          <w:color w:val="EE0000"/>
          <w:szCs w:val="24"/>
        </w:rPr>
        <w:t xml:space="preserve">Phase 2A </w:t>
      </w:r>
      <w:r w:rsidRPr="009B500E">
        <w:rPr>
          <w:rFonts w:asciiTheme="majorHAnsi" w:hAnsiTheme="majorHAnsi" w:cstheme="majorHAnsi"/>
          <w:szCs w:val="24"/>
        </w:rPr>
        <w:t>(abstract-level validation) by capturing evidence buried in paper bodies that never appears in titles or abstracts.</w:t>
      </w:r>
    </w:p>
    <w:p w14:paraId="4B02ACA3" w14:textId="77777777" w:rsidR="00EA778E" w:rsidRPr="009B500E" w:rsidRDefault="00EA778E" w:rsidP="009B500E">
      <w:pPr>
        <w:spacing w:after="0" w:line="240" w:lineRule="auto"/>
        <w:rPr>
          <w:rFonts w:asciiTheme="majorHAnsi" w:hAnsiTheme="majorHAnsi" w:cstheme="majorHAnsi"/>
          <w:b/>
          <w:szCs w:val="24"/>
        </w:rPr>
      </w:pPr>
    </w:p>
    <w:p w14:paraId="40A5C7A0"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szCs w:val="24"/>
        </w:rPr>
        <w:t>Combined-Pass Per-Article Architecture</w:t>
      </w:r>
    </w:p>
    <w:p w14:paraId="32E819DF"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article </w:t>
      </w:r>
      <w:r w:rsidR="001D4FC0">
        <w:rPr>
          <w:rFonts w:asciiTheme="majorHAnsi" w:hAnsiTheme="majorHAnsi" w:cstheme="majorHAnsi"/>
          <w:szCs w:val="24"/>
        </w:rPr>
        <w:t>was</w:t>
      </w:r>
      <w:r w:rsidRPr="009B500E">
        <w:rPr>
          <w:rFonts w:asciiTheme="majorHAnsi" w:hAnsiTheme="majorHAnsi" w:cstheme="majorHAnsi"/>
          <w:szCs w:val="24"/>
        </w:rPr>
        <w:t xml:space="preserve"> processed through a single combined-pass LLM call per text chunk, which performs three tasks in one request:</w:t>
      </w:r>
    </w:p>
    <w:p w14:paraId="0D354433" w14:textId="77777777" w:rsidR="00EA778E" w:rsidRPr="009B500E" w:rsidRDefault="00EA778E" w:rsidP="009B500E">
      <w:pPr>
        <w:spacing w:after="0" w:line="240" w:lineRule="auto"/>
        <w:rPr>
          <w:rFonts w:asciiTheme="majorHAnsi" w:hAnsiTheme="majorHAnsi" w:cstheme="majorHAnsi"/>
          <w:szCs w:val="24"/>
        </w:rPr>
      </w:pPr>
    </w:p>
    <w:p w14:paraId="4F86173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1 —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663680A2" w14:textId="77777777" w:rsidR="00EA778E" w:rsidRPr="009B500E" w:rsidRDefault="00EA778E" w:rsidP="009B500E">
      <w:pPr>
        <w:spacing w:after="0" w:line="240" w:lineRule="auto"/>
        <w:rPr>
          <w:rFonts w:asciiTheme="majorHAnsi" w:hAnsiTheme="majorHAnsi" w:cstheme="majorHAnsi"/>
          <w:szCs w:val="24"/>
        </w:rPr>
      </w:pPr>
    </w:p>
    <w:p w14:paraId="53F1C242"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2 —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7CB63E08" w14:textId="77777777" w:rsidR="00EA778E" w:rsidRPr="009B500E" w:rsidRDefault="00EA778E" w:rsidP="009B500E">
      <w:pPr>
        <w:spacing w:after="0" w:line="240" w:lineRule="auto"/>
        <w:rPr>
          <w:rFonts w:asciiTheme="majorHAnsi" w:hAnsiTheme="majorHAnsi" w:cstheme="majorHAnsi"/>
          <w:szCs w:val="24"/>
        </w:rPr>
      </w:pPr>
    </w:p>
    <w:p w14:paraId="7676B3DC"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Task 3 —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CONTEXT_DEPENDENT).</w:t>
      </w:r>
    </w:p>
    <w:p w14:paraId="42DF01F9" w14:textId="77777777" w:rsidR="00EA778E" w:rsidRPr="009B500E" w:rsidRDefault="00EA778E" w:rsidP="009B500E">
      <w:pPr>
        <w:spacing w:after="0" w:line="240" w:lineRule="auto"/>
        <w:rPr>
          <w:rFonts w:asciiTheme="majorHAnsi" w:hAnsiTheme="majorHAnsi" w:cstheme="majorHAnsi"/>
          <w:b/>
          <w:bCs/>
          <w:szCs w:val="24"/>
        </w:rPr>
      </w:pPr>
    </w:p>
    <w:p w14:paraId="005B7B76"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Hallucination Prevention and Governance</w:t>
      </w:r>
    </w:p>
    <w:p w14:paraId="509C14B7"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Pr>
          <w:rFonts w:asciiTheme="majorHAnsi" w:hAnsiTheme="majorHAnsi" w:cstheme="majorHAnsi"/>
          <w:szCs w:val="24"/>
        </w:rPr>
        <w:t xml:space="preserve"> </w:t>
      </w:r>
      <w:r w:rsidRPr="009B500E">
        <w:rPr>
          <w:rFonts w:asciiTheme="majorHAnsi" w:hAnsiTheme="majorHAnsi" w:cstheme="majorHAnsi"/>
          <w:szCs w:val="24"/>
        </w:rPr>
        <w:t xml:space="preserve">(verify_sentence()). Sentences not found in the source article are rejected with a logged HALLUCINATION_DETECTED flag and excluded from accumulation. Per-PDF hallucination </w:t>
      </w:r>
      <w:r w:rsidRPr="009B500E">
        <w:rPr>
          <w:rFonts w:asciiTheme="majorHAnsi" w:hAnsiTheme="majorHAnsi" w:cstheme="majorHAnsi"/>
          <w:szCs w:val="24"/>
        </w:rPr>
        <w:lastRenderedPageBreak/>
        <w:t>rates are monitored; rates exceeding 30% trigger a CRITICAL alert. A global hallucination counter and per-incident log provide full auditability.</w:t>
      </w:r>
    </w:p>
    <w:p w14:paraId="0ED388D3" w14:textId="77777777" w:rsidR="00EA778E" w:rsidRPr="009B500E" w:rsidRDefault="00EA778E" w:rsidP="009B500E">
      <w:pPr>
        <w:spacing w:after="0" w:line="240" w:lineRule="auto"/>
        <w:rPr>
          <w:rFonts w:asciiTheme="majorHAnsi" w:hAnsiTheme="majorHAnsi" w:cstheme="majorHAnsi"/>
          <w:b/>
          <w:bCs/>
          <w:szCs w:val="24"/>
        </w:rPr>
      </w:pPr>
    </w:p>
    <w:p w14:paraId="6434CE6F"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Multi-Paper Evidence Aggregation</w:t>
      </w:r>
    </w:p>
    <w:p w14:paraId="58E0529D"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CONTEXT_DEPENDENT and flagged for manual review. Confidence is calculated as HIGH (5 or more papers with consensus role), MEDIUM (2 or more papers or at least one DIRECT_EXPERIMENTAL), or LOW (single paper without direct experimental support). </w:t>
      </w:r>
      <w:r w:rsidR="004E36FF" w:rsidRPr="009B500E">
        <w:rPr>
          <w:rFonts w:asciiTheme="majorHAnsi" w:hAnsiTheme="majorHAnsi" w:cstheme="majorHAnsi"/>
          <w:szCs w:val="24"/>
        </w:rPr>
        <w:t>Evidence</w:t>
      </w:r>
      <w:r w:rsidRPr="009B500E">
        <w:rPr>
          <w:rFonts w:asciiTheme="majorHAnsi" w:hAnsiTheme="majorHAnsi" w:cstheme="majorHAnsi"/>
          <w:szCs w:val="24"/>
        </w:rPr>
        <w:t xml:space="preserve"> score (fraction of papers with DIRECT_EXPERIMENTAL evidence) provides a continuous quality metric.</w:t>
      </w:r>
    </w:p>
    <w:p w14:paraId="30CE2628" w14:textId="77777777" w:rsidR="00EA778E" w:rsidRPr="009B500E" w:rsidRDefault="00EA778E" w:rsidP="009B500E">
      <w:pPr>
        <w:spacing w:after="0" w:line="240" w:lineRule="auto"/>
        <w:rPr>
          <w:rFonts w:asciiTheme="majorHAnsi" w:hAnsiTheme="majorHAnsi" w:cstheme="majorHAnsi"/>
          <w:b/>
          <w:bCs/>
          <w:szCs w:val="24"/>
        </w:rPr>
      </w:pPr>
    </w:p>
    <w:p w14:paraId="6F9A8D31"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Independent Accuracy Assessment</w:t>
      </w:r>
    </w:p>
    <w:p w14:paraId="172787A4"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Before processing the full corpus, the pipeline executes a ground truth audit (--validate mode) on four landmark papers with definitively known gene-RCD associations: GPX4/Ferroptosis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{Yang, 2014 #784805}</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w:t>
      </w:r>
      <w:r w:rsidR="00676F2A" w:rsidRPr="009B500E">
        <w:rPr>
          <w:rFonts w:asciiTheme="majorHAnsi" w:hAnsiTheme="majorHAnsi" w:cstheme="majorHAnsi"/>
          <w:szCs w:val="24"/>
        </w:rPr>
        <w:t xml:space="preserve">MLKL/Necroptosis </w:t>
      </w:r>
      <w:r w:rsidR="00676F2A" w:rsidRPr="009B500E">
        <w:rPr>
          <w:rFonts w:asciiTheme="majorHAnsi" w:hAnsiTheme="majorHAnsi" w:cstheme="majorHAnsi"/>
          <w:szCs w:val="24"/>
          <w:highlight w:val="yellow"/>
        </w:rPr>
        <w:t>{Cai, 2014 #784806}</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GSDMD/Pyroptosis</w:t>
      </w:r>
      <w:r w:rsidR="00676F2A" w:rsidRPr="009B500E">
        <w:rPr>
          <w:rFonts w:asciiTheme="majorHAnsi" w:hAnsiTheme="majorHAnsi" w:cstheme="majorHAnsi"/>
          <w:szCs w:val="24"/>
        </w:rPr>
        <w:t xml:space="preserve"> {</w:t>
      </w:r>
      <w:r w:rsidR="00676F2A" w:rsidRPr="009B500E">
        <w:rPr>
          <w:rFonts w:asciiTheme="majorHAnsi" w:hAnsiTheme="majorHAnsi" w:cstheme="majorHAnsi"/>
          <w:szCs w:val="24"/>
          <w:highlight w:val="yellow"/>
        </w:rPr>
        <w:t>Sborgi, 2016 #784808}</w:t>
      </w:r>
      <w:r w:rsidRPr="009B500E">
        <w:rPr>
          <w:rFonts w:asciiTheme="majorHAnsi" w:hAnsiTheme="majorHAnsi" w:cstheme="majorHAnsi"/>
          <w:szCs w:val="24"/>
          <w:highlight w:val="yellow"/>
        </w:rPr>
        <w:t>,</w:t>
      </w:r>
      <w:r w:rsidRPr="009B500E">
        <w:rPr>
          <w:rFonts w:asciiTheme="majorHAnsi" w:hAnsiTheme="majorHAnsi" w:cstheme="majorHAnsi"/>
          <w:szCs w:val="24"/>
        </w:rPr>
        <w:t xml:space="preserve"> and </w:t>
      </w:r>
      <w:r w:rsidRPr="009B500E">
        <w:rPr>
          <w:rFonts w:asciiTheme="majorHAnsi" w:hAnsiTheme="majorHAnsi" w:cstheme="majorHAnsi"/>
          <w:szCs w:val="24"/>
          <w:highlight w:val="yellow"/>
        </w:rPr>
        <w:t>{Tsvetkov, 2022 #784069}</w:t>
      </w:r>
      <w:r w:rsidRPr="009B500E">
        <w:rPr>
          <w:rFonts w:asciiTheme="majorHAnsi" w:hAnsiTheme="majorHAnsi" w:cstheme="majorHAnsi"/>
          <w:szCs w:val="24"/>
        </w:rPr>
        <w:t xml:space="preserve"> (FDX1/Cuproptosis). The audit measures gene symbol recall, RCD form detection accuracy, role classification accuracy, sentence verifiability, and hallucination rate. It yielded 100% </w:t>
      </w:r>
      <w:r w:rsidRPr="00A30E1D">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9B500E">
        <w:rPr>
          <w:rFonts w:asciiTheme="majorHAnsi" w:hAnsiTheme="majorHAnsi" w:cstheme="majorHAnsi"/>
          <w:szCs w:val="24"/>
        </w:rPr>
        <w:t>.</w:t>
      </w:r>
    </w:p>
    <w:p w14:paraId="628B5559" w14:textId="77777777" w:rsidR="00EA778E" w:rsidRPr="009B500E" w:rsidRDefault="00EA778E" w:rsidP="009B500E">
      <w:pPr>
        <w:spacing w:after="0" w:line="240" w:lineRule="auto"/>
        <w:rPr>
          <w:rFonts w:asciiTheme="majorHAnsi" w:hAnsiTheme="majorHAnsi" w:cstheme="majorHAnsi"/>
          <w:b/>
          <w:bCs/>
          <w:szCs w:val="24"/>
        </w:rPr>
      </w:pPr>
    </w:p>
    <w:p w14:paraId="16562F12"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Output and Matrix Integration</w:t>
      </w:r>
    </w:p>
    <w:p w14:paraId="0358830F" w14:textId="77777777" w:rsidR="00685507" w:rsidRPr="009B500E" w:rsidRDefault="00685507"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full-text XML deep evidence extraction (channel_c_deep_xml_rag.py) processes all 21,309 gene-RCD pairs carrying at least one PMID. PMID-to-PMCID conversion yields open-access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(deep_pmids_total, deep_pmids_free, deep_pmids_skipped, deep_paper_count, deep_best_sentence, deep_best_evidence, deep_best_role, deep_best_direction, deep_confidence, deep_evidence_score). Three existing columns are upgraded where deep evidence confirms Phase 2A/D classifications: evidence_tier (ET2 to ET1 when deep_confidence=HIGH and role=EXECUTOR), rcd_gene_type (populated from deep_best_role for empty rows), and mechanistic_class (LITERATURE_GAP to MECHANISTIC when deep_confidence is HIGH or MEDIUM). Processing is resumable via checkpoint files (phase2b_checkpoint.json, phase2b_pair_results.json) and generates a governance report documenting every PMCID processed, every hallucination rejected, and the full evidence distribution.</w:t>
      </w:r>
    </w:p>
    <w:p w14:paraId="75A88ECB" w14:textId="77777777" w:rsidR="00EA778E" w:rsidRPr="009B500E" w:rsidRDefault="00EA778E" w:rsidP="009B500E">
      <w:pPr>
        <w:spacing w:after="0" w:line="240" w:lineRule="auto"/>
        <w:rPr>
          <w:rFonts w:asciiTheme="majorHAnsi" w:hAnsiTheme="majorHAnsi" w:cstheme="majorHAnsi"/>
          <w:szCs w:val="24"/>
        </w:rPr>
      </w:pPr>
    </w:p>
    <w:p w14:paraId="5E7AF25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Output and Traceability. 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pairs from Phase 2A/D abstract validation: epmc_hits (full-text hit count), epmc_status (Phase 2C LLM verdict), epmc_pmids (PMIDs recovered by Europe PMC), and phase2c_mechanistic_class (combined classification). Phase 2A columns (mechanistic_class, llm_status, llm_pmids) remain untouched, preserving full traceability of the validation provenance. The pipeline is implemented as channel_c_recovery_europe_pmc.py, runs autonomously with auto-restart on failure, and saves progress every 10 pairs.</w:t>
      </w:r>
      <w:r w:rsidRPr="009B500E">
        <w:rPr>
          <w:rFonts w:asciiTheme="majorHAnsi" w:hAnsiTheme="majorHAnsi" w:cstheme="majorHAnsi"/>
          <w:szCs w:val="24"/>
        </w:rPr>
      </w:r>
      <w:r w:rsidRPr="009B500E">
        <w:rPr>
          <w:rFonts w:asciiTheme="majorHAnsi" w:hAnsiTheme="majorHAnsi" w:cstheme="majorHAnsi"/>
          <w:szCs w:val="24"/>
        </w:rPr>
      </w:r>
    </w:p>
    <w:p w14:paraId="2DB0B3ED" w14:textId="77777777" w:rsidR="00EA778E" w:rsidRPr="009B500E" w:rsidRDefault="00EA778E" w:rsidP="009B500E">
      <w:pPr>
        <w:spacing w:after="0" w:line="240" w:lineRule="auto"/>
        <w:rPr>
          <w:rFonts w:asciiTheme="majorHAnsi" w:hAnsiTheme="majorHAnsi" w:cstheme="majorHAnsi"/>
          <w:szCs w:val="24"/>
        </w:rPr>
      </w:pPr>
    </w:p>
    <w:p w14:paraId="6EF35247" w14:textId="77777777" w:rsidR="00925876" w:rsidRPr="009B500E" w:rsidRDefault="00921C18"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Phase 2D and 2E: Extended Literature Validation After External Audit</w:t>
      </w:r>
    </w:p>
    <w:p w14:paraId="07A85D11" w14:textId="77777777" w:rsidR="00925876" w:rsidRPr="009B500E" w:rsidRDefault="00921C18" w:rsidP="009B500E">
      <w:pPr>
        <w:spacing w:after="0" w:line="240" w:lineRule="auto"/>
        <w:rPr>
          <w:rFonts w:asciiTheme="majorHAnsi" w:hAnsiTheme="majorHAnsi" w:cstheme="majorHAnsi"/>
          <w:szCs w:val="24"/>
        </w:rPr>
      </w:pPr>
      <w:r>
        <w:t>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 PMID 34907160) 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gene_type column conflated cancer gene roles (driver/suppressor from multi-optosis) with RCD functional roles (EXECUTOR/REGULATOR from Elicit Phase 3), leading to a column split into cancer_gene_type and rcd_gene_type. Phase 2D (NCBI+DeepSeek) validated the resulting 1,341 novel unique pairs, and Phase 2E (Europe PMC+DeepSeek) performed full-text recovery on the remaining 1,724 non-MECHANISTIC pairs, recovering 588 MECHANISTIC associations through Europe PMC full-text validation.</w:t>
      </w:r>
      <w:hyperlink r:id="rId39">
        <w:r>
          <w:rPr>
            <w:rStyle w:val="Hyperlink"/>
          </w:rPr>
          <w:t>https://pcm2019.shinyapps.io/XDeathDB</w:t>
        </w:r>
      </w:hyperlink>
      <w:r/>
    </w:p>
    <w:p w14:paraId="6106FE9C" w14:textId="77777777" w:rsidR="00871F46" w:rsidRPr="009B500E" w:rsidRDefault="00871F46" w:rsidP="009B500E">
      <w:pPr>
        <w:spacing w:after="0" w:line="240" w:lineRule="auto"/>
        <w:rPr>
          <w:rFonts w:asciiTheme="majorHAnsi" w:hAnsiTheme="majorHAnsi" w:cstheme="majorHAnsi"/>
          <w:szCs w:val="24"/>
        </w:rPr>
      </w:pPr>
    </w:p>
    <w:p w14:paraId="646291A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2F: Chain-of-Thought Full-Matrix Classification</w:t>
      </w:r>
    </w:p>
    <w:p w14:paraId="347B35A6"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in the Phase 2A/D mini-run, yielding the final 21,568 unique pairs.</w:t>
      </w:r>
    </w:p>
    <w:p w14:paraId="75C5E3B0" w14:textId="77777777" w:rsidR="00871F46" w:rsidRPr="009B500E" w:rsidRDefault="00871F46" w:rsidP="009B500E">
      <w:pPr>
        <w:spacing w:after="0" w:line="240" w:lineRule="auto"/>
        <w:rPr>
          <w:rFonts w:asciiTheme="majorHAnsi" w:hAnsiTheme="majorHAnsi" w:cstheme="majorHAnsi"/>
          <w:szCs w:val="24"/>
        </w:rPr>
      </w:pPr>
    </w:p>
    <w:p w14:paraId="43BCD49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Four new columns were added to the unified matrix without overwriting any Phase 2A–2E values: cot_role, cot_direction, cot_mechanistic, and cot_evidence (the concatenated verdict). Processing was resumable via a checkpoint file saved every ten pairs, with an off-peak supervisor for autonomous restart.</w:t>
      </w:r>
    </w:p>
    <w:p w14:paraId="3E349639" w14:textId="77777777" w:rsidR="00871F46" w:rsidRPr="009B500E" w:rsidRDefault="00871F46" w:rsidP="009B500E">
      <w:pPr>
        <w:spacing w:after="0" w:line="240" w:lineRule="auto"/>
        <w:rPr>
          <w:rFonts w:asciiTheme="majorHAnsi" w:hAnsiTheme="majorHAnsi" w:cstheme="majorHAnsi"/>
          <w:szCs w:val="24"/>
        </w:rPr>
      </w:pPr>
    </w:p>
    <w:p w14:paraId="0273DBBB"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Post-hoc reconciliation repaired 84 self-inconsistent rows (mechanistic NO with a confident role or direction), and 231 rows with genuine role/direction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t>gene-RCD</w:t>
      </w:r>
      <w:r w:rsidRPr="009B500E">
        <w:rPr>
          <w:rFonts w:asciiTheme="majorHAnsi" w:hAnsiTheme="majorHAnsi" w:cstheme="majorHAnsi"/>
          <w:szCs w:val="24"/>
        </w:rPr>
        <w:t xml:space="preserve"> </w:t>
      </w:r>
      <w:r w:rsidRPr="009B500E">
        <w:rPr>
          <w:rFonts w:asciiTheme="majorHAnsi" w:hAnsiTheme="majorHAnsi" w:cstheme="majorHAnsi"/>
          <w:szCs w:val="24"/>
        </w:rPr>
        <w:lastRenderedPageBreak/>
        <w:t>pairs added to the matrix after the full run (NLRX1 and PPIF with MPT-driven necrosis) were classified separately with the same logic using a five-vote majority, completing 100% pair coverage (21,568/21,568).</w:t>
      </w:r>
    </w:p>
    <w:p w14:paraId="31C1524D" w14:textId="77777777" w:rsidR="00871F46" w:rsidRPr="009B500E" w:rsidRDefault="00871F46" w:rsidP="009B500E">
      <w:pPr>
        <w:spacing w:after="0" w:line="240" w:lineRule="auto"/>
        <w:rPr>
          <w:rFonts w:asciiTheme="majorHAnsi" w:hAnsiTheme="majorHAnsi" w:cstheme="majorHAnsi"/>
          <w:szCs w:val="24"/>
        </w:rPr>
      </w:pPr>
    </w:p>
    <w:p w14:paraId="607F24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Elicit Systematic Review Governance Validation</w:t>
      </w:r>
    </w:p>
    <w:p w14:paraId="08B19CE4"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Rationale. Phase 3 of the RCDome pipeline uses Elicit's systematic review API (</w:t>
      </w:r>
      <w:hyperlink r:id="rId40">
        <w:r w:rsidRPr="009B500E">
          <w:rPr>
            <w:rFonts w:asciiTheme="majorHAnsi" w:hAnsiTheme="majorHAnsi" w:cstheme="majorHAnsi"/>
            <w:color w:val="0563C1"/>
            <w:szCs w:val="24"/>
            <w:u w:val="single"/>
          </w:rPr>
          <w:t>https://elicit.com</w:t>
        </w:r>
      </w:hyperlink>
      <w:r w:rsidRPr="009B500E">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20DC80B7" w14:textId="77777777" w:rsidR="00EA778E" w:rsidRPr="009B500E" w:rsidRDefault="00EA778E" w:rsidP="009B500E">
      <w:pPr>
        <w:spacing w:after="0" w:line="240" w:lineRule="auto"/>
        <w:rPr>
          <w:rFonts w:asciiTheme="majorHAnsi" w:hAnsiTheme="majorHAnsi" w:cstheme="majorHAnsi"/>
          <w:b/>
          <w:szCs w:val="24"/>
        </w:rPr>
      </w:pPr>
    </w:p>
    <w:p w14:paraId="4642B490"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 xml:space="preserve">Benchmark Design. </w:t>
      </w:r>
      <w:r w:rsidRPr="009B500E">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(Figure 2B).</w:t>
      </w:r>
    </w:p>
    <w:p w14:paraId="0815C81D" w14:textId="77777777" w:rsidR="00871F46" w:rsidRPr="009B500E" w:rsidRDefault="00871F46" w:rsidP="009B500E">
      <w:pPr>
        <w:spacing w:after="0" w:line="240" w:lineRule="auto"/>
        <w:rPr>
          <w:rFonts w:asciiTheme="majorHAnsi" w:hAnsiTheme="majorHAnsi" w:cstheme="majorHAnsi"/>
          <w:szCs w:val="24"/>
        </w:rPr>
      </w:pPr>
    </w:p>
    <w:p w14:paraId="46AAC52B"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gene_symbol (free text, post-filtered against the allow-list), mechanistic_role (EXECUTOR, REGULATOR, MARKER, UNCERTAIN), evidence_type (GENETIC_PERTURBATION, PHARMACOLOGICAL, EXPRESSION_CORRELATION, CITATION_ONLY), verbatim_sentence (direct quote from the paper), role_direction (PROMOTES, PROTECTS, ASSOCIATED, BIDIRECTIONAL, UNCLEAR), and required_for_death (YES, PARTIAL, NO, NOT_TESTED, UNCLEAR). Extraction was configured with `generate: False` to ensure that the six columns, rather than Elicit's default auto-generated schema, were applied to every paper.</w:t>
      </w:r>
    </w:p>
    <w:p w14:paraId="205AEB26" w14:textId="77777777" w:rsidR="00EA778E" w:rsidRPr="009B500E" w:rsidRDefault="00EA778E" w:rsidP="009B500E">
      <w:pPr>
        <w:spacing w:after="0" w:line="240" w:lineRule="auto"/>
        <w:rPr>
          <w:rFonts w:asciiTheme="majorHAnsi" w:hAnsiTheme="majorHAnsi" w:cstheme="majorHAnsi"/>
          <w:b/>
          <w:szCs w:val="24"/>
        </w:rPr>
      </w:pPr>
    </w:p>
    <w:p w14:paraId="5AFBD331"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Post-Export Governance.</w:t>
      </w:r>
      <w:r w:rsidRPr="009B500E">
        <w:rPr>
          <w:rFonts w:asciiTheme="majorHAnsi" w:hAnsiTheme="majorHAnsi" w:cstheme="majorHAnsi"/>
          <w:szCs w:val="24"/>
        </w:rPr>
        <w:t xml:space="preserve"> 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`required_for_death = YES` was downgraded to REGULATOR, reflecting the NCCD criterion that executioner genes must be demonstrably necessary for the death process. (Rule 4) Deduplication: records were deduplicated on (DOI, gene_symbol, first 50 characters of verbatim_sentence). Rules 2 and 3 together implement the governance principle that SENSITIZER and RESISTANCE are not </w:t>
      </w:r>
      <w:r w:rsidRPr="009B500E">
        <w:rPr>
          <w:rFonts w:asciiTheme="majorHAnsi" w:hAnsiTheme="majorHAnsi" w:cstheme="majorHAnsi"/>
          <w:szCs w:val="24"/>
        </w:rPr>
        <w:lastRenderedPageBreak/>
        <w:t>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role_direction column.</w:t>
      </w:r>
    </w:p>
    <w:p w14:paraId="09E1D619" w14:textId="77777777" w:rsidR="00EA778E" w:rsidRPr="009B500E" w:rsidRDefault="00EA778E" w:rsidP="009B500E">
      <w:pPr>
        <w:spacing w:after="0" w:line="240" w:lineRule="auto"/>
        <w:rPr>
          <w:rFonts w:asciiTheme="majorHAnsi" w:hAnsiTheme="majorHAnsi" w:cstheme="majorHAnsi"/>
          <w:b/>
          <w:szCs w:val="24"/>
        </w:rPr>
      </w:pPr>
    </w:p>
    <w:p w14:paraId="37DF21A6" w14:textId="77777777" w:rsidR="00495FA3" w:rsidRDefault="00921C18"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 xml:space="preserve">Five-Gate Evaluation Framework. </w:t>
      </w:r>
    </w:p>
    <w:p w14:paraId="061AA95C" w14:textId="77777777" w:rsidR="0019489D" w:rsidRPr="009B500E" w:rsidRDefault="00921C18" w:rsidP="009B500E">
      <w:pPr>
        <w:spacing w:after="0" w:line="240" w:lineRule="auto"/>
        <w:rPr>
          <w:rFonts w:asciiTheme="majorHAnsi" w:hAnsiTheme="majorHAnsi" w:cstheme="majorHAnsi"/>
          <w:szCs w:val="24"/>
        </w:rPr>
      </w:pPr>
      <w:r w:rsidRPr="00495FA3">
        <w:rPr>
          <w:rFonts w:asciiTheme="majorHAnsi" w:hAnsiTheme="majorHAnsi" w:cstheme="majorHAnsi"/>
          <w:bCs/>
          <w:szCs w:val="24"/>
        </w:rPr>
        <w:t>The benchmark assessed five independent compliance gates, each with a pre-registered threshold: The five Elicit governance gates (EG1–EG5) are defined in Supplementary Table S8.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r w:rsidR="00495FA3">
        <w:rPr>
          <w:rFonts w:asciiTheme="majorHAnsi" w:hAnsiTheme="majorHAnsi" w:cstheme="majorHAnsi"/>
          <w:szCs w:val="24"/>
        </w:rPr>
      </w:r>
      <w:r w:rsidRPr="009B500E">
        <w:rPr>
          <w:rFonts w:asciiTheme="majorHAnsi" w:hAnsiTheme="majorHAnsi" w:cstheme="majorHAnsi"/>
          <w:szCs w:val="24"/>
        </w:rPr>
      </w:r>
    </w:p>
    <w:p w14:paraId="47DFEFE9" w14:textId="77777777" w:rsidR="00EA778E" w:rsidRPr="009B500E" w:rsidRDefault="00EA778E" w:rsidP="009B500E">
      <w:pPr>
        <w:spacing w:after="0" w:line="240" w:lineRule="auto"/>
        <w:rPr>
          <w:rFonts w:asciiTheme="majorHAnsi" w:hAnsiTheme="majorHAnsi" w:cstheme="majorHAnsi"/>
          <w:b/>
          <w:szCs w:val="24"/>
        </w:rPr>
      </w:pPr>
    </w:p>
    <w:p w14:paraId="75038E0A"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Staged Elicit Extraction and Priority Tiers.</w:t>
      </w:r>
    </w:p>
    <w:p w14:paraId="246D1204"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w:t>
      </w:r>
      <w:r w:rsidR="00705A6F">
        <w:rPr>
          <w:rFonts w:asciiTheme="majorHAnsi" w:hAnsiTheme="majorHAnsi" w:cstheme="majorHAnsi"/>
          <w:szCs w:val="24"/>
        </w:rPr>
        <w:t>gene-RCD</w:t>
      </w:r>
      <w:r w:rsidRPr="009B500E">
        <w:rPr>
          <w:rFonts w:asciiTheme="majorHAnsi" w:hAnsiTheme="majorHAnsi" w:cstheme="majorHAnsi"/>
          <w:szCs w:val="24"/>
        </w:rPr>
        <w:t xml:space="preserve"> associations per Elicit review, and the largest forms (e.g., Apoptosis, 5,897 genes; Ferroptosis, 1,724 genes) carry the most associations awaiting independent validation.</w:t>
      </w:r>
    </w:p>
    <w:p w14:paraId="0758EB03" w14:textId="77777777" w:rsidR="00EA778E" w:rsidRPr="009B500E" w:rsidRDefault="00EA778E" w:rsidP="009B500E">
      <w:pPr>
        <w:spacing w:after="0" w:line="240" w:lineRule="auto"/>
        <w:rPr>
          <w:rFonts w:asciiTheme="majorHAnsi" w:hAnsiTheme="majorHAnsi" w:cstheme="majorHAnsi"/>
          <w:szCs w:val="24"/>
        </w:rPr>
      </w:pPr>
    </w:p>
    <w:p w14:paraId="793C9778"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gene_symbol, mechanistic_role, evidence_type, verbatim_sentence, role_direction, and required_for_death. Extraction proceeds in three priority phases (P1, P2, then P3), processing the largest allow-list first. Execution is sequential, resume-safe (progress saved after every form), and quota-aware: if the monthly API quota </w:t>
      </w:r>
      <w:r w:rsidR="001C0439">
        <w:rPr>
          <w:rFonts w:asciiTheme="majorHAnsi" w:hAnsiTheme="majorHAnsi" w:cstheme="majorHAnsi"/>
          <w:szCs w:val="24"/>
        </w:rPr>
        <w:t>is</w:t>
      </w:r>
      <w:r w:rsidRPr="009B500E">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248BDE71" w14:textId="77777777" w:rsidR="00BA2B2A" w:rsidRPr="009B500E" w:rsidRDefault="00BA2B2A" w:rsidP="009B500E">
      <w:pPr>
        <w:spacing w:after="0" w:line="240" w:lineRule="auto"/>
        <w:rPr>
          <w:rFonts w:asciiTheme="majorHAnsi" w:hAnsiTheme="majorHAnsi" w:cstheme="majorHAnsi"/>
          <w:szCs w:val="24"/>
        </w:rPr>
      </w:pPr>
    </w:p>
    <w:p w14:paraId="24E154A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bCs/>
          <w:szCs w:val="24"/>
        </w:rPr>
        <w:t>Governance Literature Survey.</w:t>
      </w:r>
      <w:r w:rsidRPr="009B500E">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Pr>
          <w:rFonts w:asciiTheme="majorHAnsi" w:hAnsiTheme="majorHAnsi" w:cstheme="majorHAnsi"/>
          <w:szCs w:val="24"/>
        </w:rPr>
        <w:t>RAG</w:t>
      </w:r>
      <w:r w:rsidRPr="009B500E">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7379DFC3" w14:textId="77777777" w:rsidR="000B2C2A" w:rsidRPr="009B500E" w:rsidRDefault="000B2C2A" w:rsidP="009B500E">
      <w:pPr>
        <w:spacing w:after="0" w:line="240" w:lineRule="auto"/>
        <w:rPr>
          <w:rFonts w:asciiTheme="majorHAnsi" w:hAnsiTheme="majorHAnsi" w:cstheme="majorHAnsi"/>
          <w:szCs w:val="24"/>
        </w:rPr>
      </w:pPr>
    </w:p>
    <w:p w14:paraId="258A2C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2G: Consensus Evidence-Channel Classification</w:t>
      </w:r>
    </w:p>
    <w:p w14:paraId="40CCDF29"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 third, fully independent evidence channel was added through the Consensus academic search engine API. Each gene-RCD pair is queried with a neutral formulation — the gene symbol followed only by “cell death” — so that the model retrieves evidence without form-name priming. The channel returns a mechanistic verdict, role, and direction, benchmarked against the 26-pair benchmark set used for the DeepSeek model-selection benchmark; seven query formulations were evaluated, and the neutral-query rule reached 100% combined accuracy with zero false positives (Supplementary Note S3; Figure 2C). The full extraction runs over all 21,568 unique pairs with a checkpoint file for resumption, subject to a monthly call ceiling.</w:t>
      </w:r>
      <w:r w:rsidR="00705A6F">
        <w:rPr>
          <w:rFonts w:asciiTheme="majorHAnsi" w:hAnsiTheme="majorHAnsi" w:cstheme="majorHAnsi"/>
          <w:szCs w:val="24"/>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r w:rsidRPr="001C0439">
        <w:rPr>
          <w:rFonts w:asciiTheme="majorHAnsi" w:hAnsiTheme="majorHAnsi" w:cstheme="majorHAnsi"/>
          <w:szCs w:val="24"/>
          <w:highlight w:val="green"/>
        </w:rPr>
      </w:r>
      <w:r w:rsidRPr="009B500E">
        <w:rPr>
          <w:rFonts w:asciiTheme="majorHAnsi" w:hAnsiTheme="majorHAnsi" w:cstheme="majorHAnsi"/>
          <w:szCs w:val="24"/>
        </w:rPr>
      </w:r>
    </w:p>
    <w:p w14:paraId="0E99FF90" w14:textId="77777777" w:rsidR="00EA778E" w:rsidRPr="00FC261A" w:rsidRDefault="00EA778E" w:rsidP="009B500E">
      <w:pPr>
        <w:spacing w:after="0" w:line="240" w:lineRule="auto"/>
        <w:rPr>
          <w:rFonts w:asciiTheme="majorHAnsi" w:hAnsiTheme="majorHAnsi" w:cstheme="majorHAnsi"/>
          <w:color w:val="EE0000"/>
          <w:szCs w:val="24"/>
        </w:rPr>
      </w:pPr>
    </w:p>
    <w:p w14:paraId="44EDFEB8" w14:textId="77777777" w:rsidR="00925876" w:rsidRPr="009B500E" w:rsidRDefault="00921C18" w:rsidP="009B500E">
      <w:pPr>
        <w:spacing w:after="0" w:line="240" w:lineRule="auto"/>
        <w:rPr>
          <w:rFonts w:asciiTheme="majorHAnsi" w:hAnsiTheme="majorHAnsi" w:cstheme="majorHAnsi"/>
          <w:b/>
          <w:bCs/>
          <w:color w:val="EE0000"/>
          <w:szCs w:val="24"/>
        </w:rPr>
      </w:pPr>
      <w:r w:rsidRPr="009B500E">
        <w:rPr>
          <w:rFonts w:asciiTheme="majorHAnsi" w:hAnsiTheme="majorHAnsi" w:cstheme="majorHAnsi"/>
          <w:b/>
          <w:bCs/>
          <w:szCs w:val="24"/>
        </w:rPr>
        <w:t>RCDome Platform Architecture</w:t>
      </w:r>
    </w:p>
    <w:p w14:paraId="7951B6A7" w14:textId="77777777" w:rsidR="00925876" w:rsidRPr="009B500E" w:rsidRDefault="00921C18" w:rsidP="009B500E">
      <w:pPr>
        <w:spacing w:after="0" w:line="240" w:lineRule="auto"/>
        <w:rPr>
          <w:rFonts w:asciiTheme="majorHAnsi" w:hAnsiTheme="majorHAnsi" w:cstheme="majorHAnsi"/>
          <w:szCs w:val="24"/>
        </w:rPr>
      </w:pPr>
      <w:r>
        <w:t>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four data modules — RCD entities (all 53 RCD-related entities, with modal descriptions), Gene Catalog (the complete matrix with a Genes view, a Direction/Role source selector, a death-core preset, and a per-entity comparison), Network, and RCDchat (LLM literature consultation) — plus an About page with data provenance. Seven module cards (compendium browser, gene-centric explorer, pathway diagrams, literature consultation, definition comparator, discovery timeline, and integration toolkit) are exposed on the Home page as entry points to be completed in later releases. The platform also includes the Digital Molecular RCD Board, an AI-assisted synthesis interface that generates governance-audited, provenance-traced reports for gene-RCD pairs.</w:t>
      </w:r>
    </w:p>
    <w:p w14:paraId="4ED90E64" w14:textId="77777777" w:rsidR="0022059B" w:rsidRDefault="0022059B"/>
    <w:p w14:paraId="7809F78E" w14:textId="77777777" w:rsidR="00533B0E" w:rsidRDefault="00000000">
      <w:r>
        <w:t>RCDome integrates all 53 RCD-related entities from 20 independent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independent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316AEBA3" w14:textId="77777777" w:rsidR="00EA778E" w:rsidRPr="009B500E" w:rsidRDefault="00EA778E" w:rsidP="009B500E">
      <w:pPr>
        <w:spacing w:after="0" w:line="240" w:lineRule="auto"/>
        <w:rPr>
          <w:rFonts w:asciiTheme="majorHAnsi" w:hAnsiTheme="majorHAnsi" w:cstheme="majorHAnsi"/>
          <w:b/>
          <w:bCs/>
          <w:szCs w:val="24"/>
        </w:rPr>
      </w:pPr>
    </w:p>
    <w:p w14:paraId="6DDE992A"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Extraction Scripts: The complete extraction-pipeline scripts are catalogued in Supplementary Table S10.</w:t>
      </w:r>
      <w:r>
        <w:t xml:space="preserve"> For completeness, TCGA, GEO, CPTAC, CCLE/GDSC/DepMap, STRING, and BioGRID are annotation/PPI sources, not gene extraction sources.</w:t>
      </w:r>
    </w:p>
    <w:p w14:paraId="0FA6CF01" w14:textId="77777777" w:rsidR="00925876" w:rsidRPr="009B500E" w:rsidRDefault="00925876" w:rsidP="009B500E">
      <w:pPr>
        <w:spacing w:after="0" w:line="240" w:lineRule="auto"/>
        <w:rPr>
          <w:rFonts w:asciiTheme="majorHAnsi" w:hAnsiTheme="majorHAnsi" w:cstheme="majorHAnsi"/>
          <w:szCs w:val="24"/>
        </w:rPr>
      </w:pPr>
    </w:p>
    <w:p w14:paraId="0D601ED3"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3B8B46BD" w14:textId="77777777" w:rsidR="00871F46" w:rsidRPr="009B500E" w:rsidRDefault="00871F46" w:rsidP="009B500E">
      <w:pPr>
        <w:spacing w:after="0" w:line="240" w:lineRule="auto"/>
        <w:rPr>
          <w:rFonts w:asciiTheme="majorHAnsi" w:hAnsiTheme="majorHAnsi" w:cstheme="majorHAnsi"/>
          <w:szCs w:val="24"/>
        </w:rPr>
      </w:pPr>
    </w:p>
    <w:p w14:paraId="6925A270" w14:textId="77777777" w:rsidR="00B9076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All extraction scripts are available in the code/extraction/ directory and are executable via the master orchestrator master_extract.py. The output CSVs in output databases/ contain all gene-RCD associations with full source traceability.</w:t>
      </w:r>
    </w:p>
    <w:p w14:paraId="63D5A476" w14:textId="77777777" w:rsidR="00B9076D" w:rsidRPr="009B500E" w:rsidRDefault="00B9076D" w:rsidP="009B500E">
      <w:pPr>
        <w:spacing w:after="0" w:line="240" w:lineRule="auto"/>
        <w:rPr>
          <w:rFonts w:asciiTheme="majorHAnsi" w:hAnsiTheme="majorHAnsi" w:cstheme="majorHAnsi"/>
          <w:b/>
          <w:szCs w:val="24"/>
        </w:rPr>
      </w:pPr>
    </w:p>
    <w:p w14:paraId="161333C9" w14:textId="77777777" w:rsidR="00EA778E" w:rsidRPr="009B500E" w:rsidRDefault="00EA778E" w:rsidP="009B500E">
      <w:pPr>
        <w:pStyle w:val="Ttulo2"/>
        <w:spacing w:before="0" w:line="240" w:lineRule="auto"/>
        <w:rPr>
          <w:rFonts w:cstheme="majorHAnsi"/>
          <w:sz w:val="24"/>
          <w:szCs w:val="24"/>
        </w:rPr>
      </w:pPr>
    </w:p>
    <w:p w14:paraId="79B67597" w14:textId="77777777" w:rsidR="000C7EE5" w:rsidRPr="009B500E" w:rsidRDefault="00921C18" w:rsidP="009B500E">
      <w:pPr>
        <w:pStyle w:val="Ttulo2"/>
        <w:spacing w:before="0" w:line="240" w:lineRule="auto"/>
        <w:rPr>
          <w:rFonts w:cstheme="majorHAnsi"/>
          <w:sz w:val="24"/>
          <w:szCs w:val="24"/>
        </w:rPr>
      </w:pPr>
      <w:r w:rsidRPr="009B500E">
        <w:rPr>
          <w:rFonts w:cstheme="majorHAnsi"/>
          <w:sz w:val="24"/>
          <w:szCs w:val="24"/>
        </w:rPr>
        <w:t>RESULTS</w:t>
      </w:r>
    </w:p>
    <w:p w14:paraId="67CA1E4F" w14:textId="77777777" w:rsidR="009B500E" w:rsidRDefault="009B500E" w:rsidP="009B500E">
      <w:pPr>
        <w:spacing w:after="0" w:line="240" w:lineRule="auto"/>
        <w:rPr>
          <w:rFonts w:asciiTheme="majorHAnsi" w:hAnsiTheme="majorHAnsi" w:cstheme="majorHAnsi"/>
          <w:b/>
          <w:szCs w:val="24"/>
        </w:rPr>
      </w:pPr>
    </w:p>
    <w:p w14:paraId="4FF9B1A9" w14:textId="77777777" w:rsidR="000C7EE5" w:rsidRPr="009B500E" w:rsidRDefault="00661FF5" w:rsidP="009B500E">
      <w:pPr>
        <w:spacing w:after="0" w:line="240" w:lineRule="auto"/>
        <w:rPr>
          <w:rFonts w:asciiTheme="majorHAnsi" w:hAnsiTheme="majorHAnsi" w:cstheme="majorHAnsi"/>
          <w:szCs w:val="24"/>
        </w:rPr>
      </w:pPr>
      <w:r>
        <w:rPr>
          <w:rFonts w:asciiTheme="majorHAnsi" w:hAnsiTheme="majorHAnsi" w:cstheme="majorHAnsi"/>
          <w:b/>
          <w:szCs w:val="24"/>
        </w:rPr>
        <w:t xml:space="preserve">The RCDome </w:t>
      </w:r>
      <w:r w:rsidR="00921C18" w:rsidRPr="009B500E">
        <w:rPr>
          <w:rFonts w:asciiTheme="majorHAnsi" w:hAnsiTheme="majorHAnsi" w:cstheme="majorHAnsi"/>
          <w:b/>
          <w:szCs w:val="24"/>
        </w:rPr>
        <w:t>Compendium Composition</w:t>
      </w:r>
    </w:p>
    <w:p w14:paraId="39218EFD" w14:textId="77777777" w:rsidR="00925876"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final canonicalized vocabulary comprises 53 RCD-related entities (Supplementary Note S4)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(Database S1).</w:t>
      </w:r>
    </w:p>
    <w:p w14:paraId="57775DA5" w14:textId="77777777" w:rsidR="008A62B5" w:rsidRPr="009B500E" w:rsidRDefault="008A62B5" w:rsidP="009B500E">
      <w:pPr>
        <w:spacing w:after="0" w:line="240" w:lineRule="auto"/>
        <w:rPr>
          <w:rFonts w:asciiTheme="majorHAnsi" w:hAnsiTheme="majorHAnsi" w:cstheme="majorHAnsi"/>
          <w:szCs w:val="24"/>
        </w:rPr>
      </w:pPr>
    </w:p>
    <w:p w14:paraId="195065B3" w14:textId="77777777" w:rsidR="00661FF5"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11 synonym merges) (Dataset S1). These comprise 19 RCD modalities, 7 subtypes, 2 triggers, 13 functional/contextual categories, and 12 generic/umbrella/taxon concepts (Supplementary Table S3).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 a form formally excluded by the five-criteria admission framework (see Material and Methods) —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3C5A46F0" w14:textId="77777777" w:rsidR="00661FF5" w:rsidRDefault="00661FF5" w:rsidP="009B500E">
      <w:pPr>
        <w:spacing w:after="0" w:line="240" w:lineRule="auto"/>
        <w:rPr>
          <w:rFonts w:asciiTheme="majorHAnsi" w:hAnsiTheme="majorHAnsi" w:cstheme="majorHAnsi"/>
          <w:szCs w:val="24"/>
        </w:rPr>
      </w:pPr>
    </w:p>
    <w:p w14:paraId="6E6046E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53 RCD-related entities, gene coverage is highly heterogeneous: the largest forms, Apoptosis (6,229 entries) and Autophagy (4,790),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108; WikiPathways: Senescence and Autophagy in Cancer, 105; and XDeathDB: Mitotic death, 239) represent newly integrated categories not present in the original NCCD 2018-derived vocabulary. Every gene-RCD association carries full provenance to its source database — ten RCD-specific curated databases (FerrDB v3, RCDdb, iPCD, LncRCD, iLIR, HADb, HAMdb, ATD, AMT-DB, ncFO), five pathway and molecular databases (KEGG, Reactome, Gene Ontology, MSigDB/GSEA, WikiPathways), NCBI Gene, and six omic-annotation resources (TCGA, GEO, CPTAC, CCLE, GDSC, DepMap), supplemented by the AI-assisted Elicit extraction (20 independent resources, Supplementary Table S2) —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(Supplementary Figure S2).</w:t>
      </w:r>
      <w:r w:rsidRPr="009B500E">
        <w:rPr>
          <w:rFonts w:asciiTheme="majorHAnsi" w:hAnsiTheme="majorHAnsi" w:cstheme="majorHAnsi"/>
          <w:szCs w:val="24"/>
        </w:rPr>
      </w:r>
    </w:p>
    <w:p w14:paraId="7E8C93A2" w14:textId="77777777" w:rsidR="004C566E" w:rsidRPr="009B500E" w:rsidRDefault="004C566E" w:rsidP="009B500E">
      <w:pPr>
        <w:spacing w:after="0" w:line="240" w:lineRule="auto"/>
        <w:rPr>
          <w:rFonts w:asciiTheme="majorHAnsi" w:hAnsiTheme="majorHAnsi" w:cstheme="majorHAnsi"/>
          <w:b/>
          <w:szCs w:val="24"/>
        </w:rPr>
      </w:pPr>
    </w:p>
    <w:p w14:paraId="7208A2F6"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 entity census and operational definitions</w:t>
      </w:r>
    </w:p>
    <w:p w14:paraId="5060B3F9" w14:textId="77777777" w:rsidR="00A82E1A" w:rsidRPr="009B500E" w:rsidRDefault="00000000" w:rsidP="009B500E">
      <w:pPr>
        <w:spacing w:after="0" w:line="240" w:lineRule="auto"/>
        <w:rPr>
          <w:rFonts w:asciiTheme="majorHAnsi" w:hAnsiTheme="majorHAnsi" w:cstheme="majorHAnsi"/>
          <w:szCs w:val="24"/>
        </w:rPr>
      </w:pPr>
      <w:r>
        <w:t>The RCDome identified 53 canonicalized RCD-related entities, represented by 22,473 gene-RCD pairs in the unified evidence matrix. Of these, 20 carried the verbatim operational definitions of the Nomenclature Committee on Cell Death (NCCD; Galluzzi et al. 2018), 12 carried the expanded operational definitions of the multi-optosis dataset (Rodrigues et al. 2025) — of which five (cuproptosis, disulfidptosis, erebosis, alkaliptosis, and oxeiptosis) were not described by the NCCD and had been AI-extracted from a 6,603-PDF corpus and human-validated —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(Supplementary Table S11) The ontological adjudication of each entity — the pre- and post-adjudication levels and the Q1–Q13 evidence trail under the BG0–BG6 hard gates — is documented in Supplementary Table S12.</w:t>
      </w:r>
    </w:p>
    <w:p w14:paraId="28E533FF" w14:textId="77777777" w:rsidR="009B500E" w:rsidRDefault="009B500E" w:rsidP="009B500E">
      <w:pPr>
        <w:spacing w:after="0" w:line="240" w:lineRule="auto"/>
        <w:rPr>
          <w:rFonts w:asciiTheme="majorHAnsi" w:hAnsiTheme="majorHAnsi" w:cstheme="majorHAnsi"/>
          <w:szCs w:val="24"/>
        </w:rPr>
      </w:pPr>
    </w:p>
    <w:p w14:paraId="7C087D9F" w14:textId="77777777" w:rsidR="00A82E1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Among the 25 multi-optosis-anchored entities the overall score S ranged from 9.70 (apoptosis) to 4.15 (necrosis), and among the 28 RCDome-drafted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6CC8419B" w14:textId="77777777" w:rsidR="009B500E" w:rsidRDefault="009B500E" w:rsidP="009B500E">
      <w:pPr>
        <w:spacing w:after="0" w:line="240" w:lineRule="auto"/>
        <w:rPr>
          <w:rFonts w:asciiTheme="majorHAnsi" w:hAnsiTheme="majorHAnsi" w:cstheme="majorHAnsi"/>
          <w:szCs w:val="24"/>
        </w:rPr>
      </w:pPr>
    </w:p>
    <w:p w14:paraId="5989D975" w14:textId="77777777" w:rsidR="00A82E1A" w:rsidRPr="009B500E" w:rsidRDefault="00000000" w:rsidP="009B500E">
      <w:pPr>
        <w:spacing w:after="0" w:line="240" w:lineRule="auto"/>
        <w:rPr>
          <w:rFonts w:asciiTheme="majorHAnsi" w:hAnsiTheme="majorHAnsi" w:cstheme="majorHAnsi"/>
          <w:szCs w:val="24"/>
        </w:rPr>
      </w:pPr>
      <w:r>
        <w:t xml:space="preserve">Each entity's </w:t>
      </w:r>
      <w:r w:rsidR="00661FF5">
        <w:t xml:space="preserve">operational </w:t>
      </w:r>
      <w: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inflammatory status (no); the overlap description (phosphatidylserine-exposure clearance, apoptosis/efferocytosis-like); the six criteria RS1–RS6 (4/4/4/4/5/5) with overall score S = 4.15; and the full provenance chain (founding PMID 16910766, Lang </w:t>
      </w:r>
      <w:r>
        <w:rPr>
          <w:i/>
        </w:rPr>
        <w:t>et al.</w:t>
      </w:r>
      <w:r>
        <w:t xml:space="preserve"> 2006; authoring source </w:t>
      </w:r>
      <w:r>
        <w:lastRenderedPageBreak/>
        <w:t xml:space="preserve">Rodrigues </w:t>
      </w:r>
      <w:r>
        <w:rPr>
          <w:i/>
        </w:rPr>
        <w:t>et al.</w:t>
      </w:r>
      <w:r>
        <w:t>, RCDome; source databases Elicit_Phase3 and NCBI_Gene; channels B and E).</w:t>
      </w:r>
    </w:p>
    <w:p w14:paraId="18684AFA" w14:textId="77777777" w:rsidR="004B02F0" w:rsidRDefault="004B02F0" w:rsidP="009B500E">
      <w:pPr>
        <w:spacing w:after="0" w:line="240" w:lineRule="auto"/>
        <w:rPr>
          <w:rFonts w:asciiTheme="majorHAnsi" w:hAnsiTheme="majorHAnsi" w:cstheme="majorHAnsi"/>
          <w:szCs w:val="24"/>
        </w:rPr>
      </w:pPr>
    </w:p>
    <w:p w14:paraId="74111AC1" w14:textId="77777777" w:rsidR="00A82E1A" w:rsidRPr="009B500E" w:rsidRDefault="00000000" w:rsidP="009B500E">
      <w:pPr>
        <w:spacing w:after="0" w:line="240" w:lineRule="auto"/>
        <w:rPr>
          <w:rFonts w:asciiTheme="majorHAnsi" w:hAnsiTheme="majorHAnsi" w:cstheme="majorHAnsi"/>
          <w:szCs w:val="24"/>
        </w:rPr>
      </w:pPr>
      <w: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13 partially corroborated (subtypes, umbrellas, and legacy terms without a single coining paper), and one NCCD-locked definition whose draft complement only was unscored. DeepSeek full-text validation of the 33 non-NCCD entities — using PMC full text where available and Consensus full-text-derived takeaways otherwise — returned 6 fully validated and 26 with minor wording gaps.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r>
        <w:rPr>
          <w:i/>
        </w:rPr>
      </w:r>
      <w:r/>
    </w:p>
    <w:p w14:paraId="4F3C5852" w14:textId="77777777" w:rsidR="004B02F0" w:rsidRDefault="004B02F0" w:rsidP="009B500E">
      <w:pPr>
        <w:spacing w:after="0" w:line="240" w:lineRule="auto"/>
        <w:rPr>
          <w:rFonts w:asciiTheme="majorHAnsi" w:hAnsiTheme="majorHAnsi" w:cstheme="majorHAnsi"/>
          <w:szCs w:val="24"/>
        </w:rPr>
      </w:pPr>
    </w:p>
    <w:p w14:paraId="59152584" w14:textId="77777777" w:rsidR="00A82E1A" w:rsidRPr="009B500E" w:rsidRDefault="00000000" w:rsidP="009B500E">
      <w:pPr>
        <w:spacing w:after="0" w:line="240" w:lineRule="auto"/>
        <w:rPr>
          <w:rFonts w:asciiTheme="majorHAnsi" w:hAnsiTheme="majorHAnsi" w:cstheme="majorHAnsi"/>
          <w:szCs w:val="24"/>
        </w:rPr>
      </w:pPr>
      <w:r>
        <w:t>Four of the de novo drafts — lysoptosis, PANoptosis, regulated necrosis, and triaptosis —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r>
        <w:rPr>
          <w:i/>
        </w:rPr>
      </w:r>
      <w:r/>
    </w:p>
    <w:p w14:paraId="1B4D3017" w14:textId="77777777" w:rsidR="004B02F0" w:rsidRDefault="004B02F0" w:rsidP="009B500E">
      <w:pPr>
        <w:spacing w:after="0" w:line="240" w:lineRule="auto"/>
        <w:rPr>
          <w:rFonts w:asciiTheme="majorHAnsi" w:hAnsiTheme="majorHAnsi" w:cstheme="majorHAnsi"/>
          <w:szCs w:val="24"/>
        </w:rPr>
      </w:pPr>
    </w:p>
    <w:p w14:paraId="7B3AB4D9" w14:textId="2BA92CEA" w:rsidR="0065188A" w:rsidRPr="009B500E" w:rsidRDefault="00000000" w:rsidP="009B500E">
      <w:pPr>
        <w:spacing w:after="0" w:line="240" w:lineRule="auto"/>
        <w:rPr>
          <w:rFonts w:asciiTheme="majorHAnsi" w:hAnsiTheme="majorHAnsi" w:cstheme="majorHAnsi"/>
          <w:szCs w:val="24"/>
        </w:rPr>
      </w:pPr>
      <w:commentRangeStart w:id="0"/>
      <w:r w:rsidRPr="002E2E0A">
        <w:rPr>
          <w:rFonts w:asciiTheme="majorHAnsi" w:hAnsiTheme="majorHAnsi" w:cstheme="majorHAnsi"/>
          <w:color w:val="EE0000"/>
          <w:szCs w:val="24"/>
          <w:highlight w:val="cyan"/>
        </w:rPr>
        <w:t>Two ontology corrections were applied following the biological curation: MPT-driven necrosis was reclassified from the trigger level (L3) to the modality level (L1), while the mitochondrial permeability transition (MPT) itself remains a trigger (L3) —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(Supplementary Table S11).</w:t>
      </w:r>
      <w:r w:rsidRPr="009B500E">
        <w:rPr>
          <w:rFonts w:asciiTheme="majorHAnsi" w:hAnsiTheme="majorHAnsi" w:cstheme="majorHAnsi"/>
          <w:szCs w:val="24"/>
        </w:rPr>
      </w:r>
      <w:r w:rsidRPr="002E2E0A">
        <w:rPr>
          <w:rFonts w:asciiTheme="majorHAnsi" w:hAnsiTheme="majorHAnsi" w:cstheme="majorHAnsi"/>
          <w:szCs w:val="24"/>
          <w:highlight w:val="yellow"/>
        </w:rPr>
      </w:r>
      <w:r w:rsidRPr="009B500E">
        <w:rPr>
          <w:rFonts w:asciiTheme="majorHAnsi" w:hAnsiTheme="majorHAnsi" w:cstheme="majorHAnsi"/>
          <w:szCs w:val="24"/>
        </w:rPr>
      </w:r>
      <w:commentRangeEnd w:id="0"/>
      <w:r w:rsidR="002E2E0A">
        <w:rPr>
          <w:rStyle w:val="Refdecomentrio"/>
        </w:rPr>
      </w:r>
      <w:r w:rsidRPr="009B500E">
        <w:rPr>
          <w:rFonts w:asciiTheme="majorHAnsi" w:hAnsiTheme="majorHAnsi" w:cstheme="majorHAnsi"/>
          <w:szCs w:val="24"/>
        </w:rPr>
      </w:r>
      <w:r w:rsidRPr="002E2E0A">
        <w:rPr>
          <w:rFonts w:asciiTheme="majorHAnsi" w:hAnsiTheme="majorHAnsi" w:cstheme="majorHAnsi"/>
          <w:szCs w:val="24"/>
          <w:highlight w:val="yellow"/>
        </w:rPr>
      </w:r>
      <w:r w:rsidR="002E2E0A" w:rsidRPr="002E2E0A">
        <w:rPr>
          <w:rFonts w:asciiTheme="majorHAnsi" w:hAnsiTheme="majorHAnsi" w:cstheme="majorHAnsi"/>
          <w:szCs w:val="24"/>
          <w:highlight w:val="yellow"/>
        </w:rPr>
      </w:r>
      <w:r w:rsidRPr="009B500E">
        <w:rPr>
          <w:rFonts w:asciiTheme="majorHAnsi" w:hAnsiTheme="majorHAnsi" w:cstheme="majorHAnsi"/>
          <w:szCs w:val="24"/>
        </w:rPr>
      </w:r>
      <w:r w:rsidRPr="00661FF5">
        <w:rPr>
          <w:rFonts w:asciiTheme="majorHAnsi" w:hAnsiTheme="majorHAnsi" w:cstheme="majorHAnsi"/>
          <w:szCs w:val="24"/>
          <w:highlight w:val="green"/>
        </w:rPr>
      </w:r>
    </w:p>
    <w:p w14:paraId="1638E883" w14:textId="77777777" w:rsidR="004B02F0" w:rsidRDefault="004B02F0" w:rsidP="009B500E">
      <w:pPr>
        <w:spacing w:after="0" w:line="240" w:lineRule="auto"/>
        <w:rPr>
          <w:rFonts w:asciiTheme="majorHAnsi" w:hAnsiTheme="majorHAnsi" w:cstheme="majorHAnsi"/>
          <w:b/>
          <w:szCs w:val="24"/>
        </w:rPr>
      </w:pPr>
    </w:p>
    <w:p w14:paraId="203CB0D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Compendium Completeness</w:t>
      </w:r>
    </w:p>
    <w:p w14:paraId="535944B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Following the consolidation, 31 of 71 matrix columns are 100% populated with traceable data.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22,214 of 22,473 rows (98.8%) with at least one traceable PMID across four evidence channels (pmid_list, llm_pmids, epmc_pmids, elicit_pmids). A targeted Phase 2E extension searched Europe PMC full-text with DeepSeek LLM for all pairs lacking a co-occurrence PMID; none showed additional evidence, confirming these 442 DATABASE_ONLY (2.0%)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versioning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r w:rsidRPr="00E23161">
        <w:rPr>
          <w:rFonts w:asciiTheme="majorHAnsi" w:hAnsiTheme="majorHAnsi" w:cstheme="majorHAnsi"/>
          <w:color w:val="auto"/>
          <w:szCs w:val="24"/>
        </w:rPr>
      </w:r>
      <w:r w:rsidRPr="00E23161">
        <w:rPr>
          <w:rFonts w:asciiTheme="majorHAnsi" w:hAnsiTheme="majorHAnsi" w:cstheme="majorHAnsi"/>
          <w:color w:val="auto"/>
          <w:szCs w:val="24"/>
        </w:rPr>
      </w:r>
      <w:r w:rsidRPr="009B500E">
        <w:rPr>
          <w:rFonts w:asciiTheme="majorHAnsi" w:hAnsiTheme="majorHAnsi" w:cstheme="majorHAnsi"/>
          <w:szCs w:val="24"/>
        </w:rPr>
      </w:r>
      <w:r/>
    </w:p>
    <w:p w14:paraId="22AD9F5C" w14:textId="77777777" w:rsidR="00EA778E" w:rsidRPr="009B500E" w:rsidRDefault="00EA778E" w:rsidP="009B500E">
      <w:pPr>
        <w:spacing w:after="0" w:line="240" w:lineRule="auto"/>
        <w:rPr>
          <w:rFonts w:asciiTheme="majorHAnsi" w:hAnsiTheme="majorHAnsi" w:cstheme="majorHAnsi"/>
          <w:szCs w:val="24"/>
        </w:rPr>
      </w:pPr>
    </w:p>
    <w:p w14:paraId="79C74A76" w14:textId="77777777" w:rsidR="000C7EE5" w:rsidRPr="009B500E" w:rsidRDefault="00921C18" w:rsidP="009B500E">
      <w:pPr>
        <w:spacing w:after="0" w:line="240" w:lineRule="auto"/>
        <w:rPr>
          <w:rFonts w:asciiTheme="majorHAnsi" w:hAnsiTheme="majorHAnsi" w:cstheme="majorHAnsi"/>
          <w:szCs w:val="24"/>
        </w:rPr>
      </w:pPr>
      <w:r>
        <w:rPr>
          <w:b/>
        </w:rPr>
        <w:t>Phase 2A/D Validation: Scale and Coverage</w:t>
      </w:r>
    </w:p>
    <w:p w14:paraId="6D8079FD" w14:textId="77777777" w:rsidR="00CA1683" w:rsidRDefault="00000000">
      <w:r>
        <w:t>Validation was performed on all 21,568 unique gene-RCD combinations. Of the compendium's 22,473 total rows, 22,214 carry PMIDs (98.8%), corresponding to 21,309 of these 21,568 unique combinations. Each was independently validated through a two-call LLM architecture against PubMed abstracts.</w:t>
      </w:r>
    </w:p>
    <w:p w14:paraId="74D4D91E" w14:textId="77777777" w:rsidR="00EA778E" w:rsidRPr="009B500E" w:rsidRDefault="00EA778E" w:rsidP="009B500E">
      <w:pPr>
        <w:spacing w:after="0" w:line="240" w:lineRule="auto"/>
        <w:rPr>
          <w:rFonts w:asciiTheme="majorHAnsi" w:hAnsiTheme="majorHAnsi" w:cstheme="majorHAnsi"/>
          <w:szCs w:val="24"/>
        </w:rPr>
      </w:pPr>
    </w:p>
    <w:p w14:paraId="249A37A1"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Validation Performance</w:t>
      </w:r>
    </w:p>
    <w:p w14:paraId="4B54EC56"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two-call majority-vote architecture reclassified evidence tiers, and the mechanistic_class versus evidence_tier concordance was 79.2%. The resulting tier distribution is reported below. All 100 PMIDs retrieved per pair are stored in the unified matrix.</w:t>
      </w:r>
    </w:p>
    <w:p w14:paraId="13FB78B6" w14:textId="77777777" w:rsidR="00EA778E" w:rsidRPr="009B500E" w:rsidRDefault="00EA778E" w:rsidP="009B500E">
      <w:pPr>
        <w:spacing w:after="0" w:line="240" w:lineRule="auto"/>
        <w:rPr>
          <w:rFonts w:asciiTheme="majorHAnsi" w:hAnsiTheme="majorHAnsi" w:cstheme="majorHAnsi"/>
          <w:b/>
          <w:szCs w:val="24"/>
        </w:rPr>
      </w:pPr>
    </w:p>
    <w:p w14:paraId="31528CF3"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Evidence Tier Distribution</w:t>
      </w:r>
    </w:p>
    <w:p w14:paraId="46F60DE9"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68806FFF"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ET1 (Gold Standard), 2,864 pairs (12.7%), reflects multi-database consensus with RCDdb PMID support</w:t>
      </w:r>
    </w:p>
    <w:p w14:paraId="22556700"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ET2 (Strong Evidence), 5,686 pairs (25.3%), reflects three or more independent sources or LLM-confirmed</w:t>
      </w:r>
    </w:p>
    <w:p w14:paraId="415D2AEA"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ET3 (Moderate Evidence), 8,212 pairs (36.5%), reflects two sources with LLM partial confirmation</w:t>
      </w:r>
    </w:p>
    <w:p w14:paraId="2E442A87"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ET4 (Weak Evidence), 5,711 pairs (25.4%), reflects single source without LLM confirmation, or LLM unable to verify</w:t>
      </w:r>
    </w:p>
    <w:p w14:paraId="08203684" w14:textId="77777777" w:rsidR="00EA778E" w:rsidRPr="009B500E" w:rsidRDefault="00EA778E" w:rsidP="009B500E">
      <w:pPr>
        <w:spacing w:after="0" w:line="240" w:lineRule="auto"/>
        <w:rPr>
          <w:rFonts w:asciiTheme="majorHAnsi" w:hAnsiTheme="majorHAnsi" w:cstheme="majorHAnsi"/>
          <w:b/>
          <w:szCs w:val="24"/>
        </w:rPr>
      </w:pPr>
    </w:p>
    <w:p w14:paraId="56D825A4"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Mechanistic Classification</w:t>
      </w:r>
    </w:p>
    <w:p w14:paraId="3D28ED8E"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662E266B"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MECHANISTIC, 3,063 pairs (13.6%), validated by both LLM knowledge and PubMed abstracts</w:t>
      </w:r>
    </w:p>
    <w:p w14:paraId="1384BBCD" w14:textId="77777777" w:rsidR="000C7EE5"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LITERATURE_GAP, 1,519 pairs (6.8%), LLM training recognizes but abstracts lack explicit statements ; CONTEXT_GAP, 6,170 pairs (27.5%), PubMed confirms but LLM training does not recognize ; CO_OCCURRENCE, 2,416 pairs (10.8%), high paper counts but no mechanistic evidence ; INSUFFICIENT_DATA, 8,863 pairs (39.4%), few papers; LLM cannot determine involvement ; DATABASE_ONLY, 442 pairs (2.0%), gene and RCD term never co-occur in PubMed ; TECHNICAL_FAILURE, 0 pairs (0%), no API failures in the final run</w:t>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r w:rsidR="004B02F0">
        <w:rPr>
          <w:rFonts w:asciiTheme="majorHAnsi" w:hAnsiTheme="majorHAnsi" w:cstheme="majorHAnsi"/>
          <w:szCs w:val="24"/>
        </w:rPr>
      </w:r>
      <w:r w:rsidRPr="009B500E">
        <w:rPr>
          <w:rFonts w:asciiTheme="majorHAnsi" w:hAnsiTheme="majorHAnsi" w:cstheme="majorHAnsi"/>
          <w:szCs w:val="24"/>
        </w:rPr>
      </w:r>
    </w:p>
    <w:p w14:paraId="662574A6" w14:textId="77777777" w:rsidR="00EA778E" w:rsidRPr="009B500E" w:rsidRDefault="00EA778E" w:rsidP="009B500E">
      <w:pPr>
        <w:spacing w:after="0" w:line="240" w:lineRule="auto"/>
        <w:rPr>
          <w:rFonts w:asciiTheme="majorHAnsi" w:hAnsiTheme="majorHAnsi" w:cstheme="majorHAnsi"/>
          <w:szCs w:val="24"/>
        </w:rPr>
      </w:pPr>
    </w:p>
    <w:p w14:paraId="45F8E197"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Together, the seven mechanistic classes account for all 22,473 validated rows.</w:t>
      </w:r>
    </w:p>
    <w:p w14:paraId="77F33D29" w14:textId="77777777" w:rsidR="004B02F0" w:rsidRDefault="004B02F0" w:rsidP="009B500E">
      <w:pPr>
        <w:spacing w:after="0" w:line="240" w:lineRule="auto"/>
        <w:rPr>
          <w:rFonts w:asciiTheme="majorHAnsi" w:hAnsiTheme="majorHAnsi" w:cstheme="majorHAnsi"/>
          <w:szCs w:val="24"/>
        </w:rPr>
      </w:pPr>
    </w:p>
    <w:p w14:paraId="497E4FE5" w14:textId="77777777" w:rsidR="0023385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 265 regulators (155 pro-survival, 110 pro-death) and 16 executors — while 150 were literature gaps, 471 context gaps, 428 co-occurrence, 316 insufficient-data, and 185 database-only. Overall, 1,576 of the 1,832 pairs (86.0%) now carry at least one PMID.</w:t>
      </w:r>
    </w:p>
    <w:p w14:paraId="0DCBE3BA" w14:textId="77777777" w:rsidR="00EA778E" w:rsidRPr="009B500E" w:rsidRDefault="00EA778E" w:rsidP="009B500E">
      <w:pPr>
        <w:spacing w:after="0" w:line="240" w:lineRule="auto"/>
        <w:rPr>
          <w:rFonts w:asciiTheme="majorHAnsi" w:hAnsiTheme="majorHAnsi" w:cstheme="majorHAnsi"/>
          <w:b/>
          <w:szCs w:val="24"/>
        </w:rPr>
      </w:pPr>
    </w:p>
    <w:p w14:paraId="61EC20BF"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Phase 3 Benchmark Results</w:t>
      </w:r>
    </w:p>
    <w:p w14:paraId="3AB138D9"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Extraction Summary. 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(Supplementary Table S13). The low yield for Triaptosis reflects its status as a newly named RCD form (2024) with only three genes currently recorded in the RCDome matrix and minimal published literature; this result is consistent with the form's emerging evidence grade D (the lowest of the four A-D evidence grades).</w:t>
      </w:r>
      <w:r w:rsidRPr="009B500E">
        <w:rPr>
          <w:rFonts w:asciiTheme="majorHAnsi" w:hAnsiTheme="majorHAnsi" w:cstheme="majorHAnsi"/>
          <w:bCs/>
          <w:szCs w:val="24"/>
        </w:rPr>
      </w:r>
    </w:p>
    <w:p w14:paraId="3BDEA12B" w14:textId="77777777" w:rsidR="00B204AE" w:rsidRPr="009B500E" w:rsidRDefault="00B204AE" w:rsidP="009B500E">
      <w:pPr>
        <w:spacing w:after="0" w:line="240" w:lineRule="auto"/>
        <w:rPr>
          <w:rFonts w:asciiTheme="majorHAnsi" w:hAnsiTheme="majorHAnsi" w:cstheme="majorHAnsi"/>
          <w:szCs w:val="24"/>
        </w:rPr>
      </w:pPr>
    </w:p>
    <w:p w14:paraId="66D9BB45" w14:textId="77777777" w:rsidR="0019489D" w:rsidRPr="009B500E" w:rsidRDefault="00921C18" w:rsidP="009B500E">
      <w:pPr>
        <w:spacing w:after="0" w:line="240" w:lineRule="auto"/>
        <w:rPr>
          <w:rFonts w:asciiTheme="majorHAnsi" w:hAnsiTheme="majorHAnsi" w:cstheme="majorHAnsi"/>
          <w:szCs w:val="24"/>
        </w:rPr>
      </w:pPr>
      <w:r w:rsidRPr="00916CE4">
        <w:rPr>
          <w:bCs/>
          <w:i/>
        </w:rPr>
        <w:t>The raw and post-governance record counts are equal (784) because the post-export governance normalizes roles (192 EXECUTOR-to-REGULATOR downgrades) rather than removing records; zero records were rejected by the allow-list filter.</w:t>
      </w:r>
    </w:p>
    <w:p w14:paraId="49F23F4D" w14:textId="77777777" w:rsidR="00EA778E" w:rsidRPr="009B500E" w:rsidRDefault="00EA778E" w:rsidP="009B500E">
      <w:pPr>
        <w:spacing w:after="0" w:line="240" w:lineRule="auto"/>
        <w:rPr>
          <w:rFonts w:asciiTheme="majorHAnsi" w:hAnsiTheme="majorHAnsi" w:cstheme="majorHAnsi"/>
          <w:b/>
          <w:szCs w:val="24"/>
        </w:rPr>
      </w:pPr>
    </w:p>
    <w:p w14:paraId="6D7342C3" w14:textId="77777777" w:rsidR="0019489D" w:rsidRPr="009B500E" w:rsidRDefault="00921C18"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Gate Results. All five Elicit governance gates passed at their pre-registered thresholds (Supplementary Table S14).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`required_for_death`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r w:rsidRPr="009B500E">
        <w:rPr>
          <w:rFonts w:asciiTheme="majorHAnsi" w:hAnsiTheme="majorHAnsi" w:cstheme="majorHAnsi"/>
          <w:bCs/>
          <w:szCs w:val="24"/>
        </w:rPr>
      </w:r>
      <w:r w:rsidRPr="00707921">
        <w:rPr>
          <w:rFonts w:asciiTheme="majorHAnsi" w:hAnsiTheme="majorHAnsi" w:cstheme="majorHAnsi"/>
          <w:bCs/>
          <w:szCs w:val="24"/>
          <w:highlight w:val="green"/>
        </w:rPr>
      </w:r>
      <w:r w:rsidRPr="009B500E">
        <w:rPr>
          <w:rFonts w:asciiTheme="majorHAnsi" w:hAnsiTheme="majorHAnsi" w:cstheme="majorHAnsi"/>
          <w:bCs/>
          <w:szCs w:val="24"/>
        </w:rPr>
      </w:r>
    </w:p>
    <w:p w14:paraId="79D53237" w14:textId="77777777" w:rsidR="00EA778E" w:rsidRPr="009B500E" w:rsidRDefault="00EA778E" w:rsidP="009B500E">
      <w:pPr>
        <w:spacing w:after="0" w:line="240" w:lineRule="auto"/>
        <w:rPr>
          <w:rFonts w:asciiTheme="majorHAnsi" w:hAnsiTheme="majorHAnsi" w:cstheme="majorHAnsi"/>
          <w:b/>
          <w:color w:val="EE0000"/>
          <w:szCs w:val="24"/>
        </w:rPr>
      </w:pPr>
    </w:p>
    <w:p w14:paraId="02F46018"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Governance Impact.</w:t>
      </w:r>
      <w:r w:rsidRPr="009B500E">
        <w:rPr>
          <w:rFonts w:asciiTheme="majorHAnsi" w:hAnsiTheme="majorHAnsi" w:cstheme="majorHAnsi"/>
          <w:szCs w:val="24"/>
        </w:rPr>
        <w:t xml:space="preserve"> The 192 EXECUTOR downgrades (88 Ferroptosis, 104 Cuproptosis) represent the single most impactful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741732C9" w14:textId="77777777" w:rsidR="00707921" w:rsidRDefault="00707921" w:rsidP="009B500E">
      <w:pPr>
        <w:spacing w:after="0" w:line="240" w:lineRule="auto"/>
        <w:rPr>
          <w:rFonts w:asciiTheme="majorHAnsi" w:hAnsiTheme="majorHAnsi" w:cstheme="majorHAnsi"/>
          <w:szCs w:val="24"/>
        </w:rPr>
      </w:pPr>
    </w:p>
    <w:p w14:paraId="39044075" w14:textId="77777777" w:rsidR="0019489D" w:rsidRPr="009B500E" w:rsidRDefault="00921C18" w:rsidP="009B500E">
      <w:pPr>
        <w:spacing w:after="0" w:line="240" w:lineRule="auto"/>
        <w:rPr>
          <w:rFonts w:asciiTheme="majorHAnsi" w:hAnsiTheme="majorHAnsi" w:cstheme="majorHAnsi"/>
          <w:color w:val="EE0000"/>
          <w:szCs w:val="24"/>
        </w:rPr>
      </w:pPr>
      <w:r w:rsidRPr="00707921">
        <w:rPr>
          <w:rFonts w:asciiTheme="majorHAnsi" w:hAnsiTheme="majorHAnsi" w:cstheme="majorHAnsi"/>
          <w:b/>
          <w:bCs/>
          <w:szCs w:val="24"/>
        </w:rPr>
        <w:lastRenderedPageBreak/>
        <w:t>Scalability Assessment</w:t>
      </w:r>
      <w:r w:rsidRPr="009B500E">
        <w:rPr>
          <w:rFonts w:asciiTheme="majorHAnsi" w:hAnsiTheme="majorHAnsi" w:cstheme="majorHAnsi"/>
          <w:szCs w:val="24"/>
        </w:rPr>
        <w:t>. The benchmark extracted 784 governed records from 154 papers. Production search depth was determined empirically (see Search Depth Determination below) rather than extrapolated; the measured Ferroptosis scaling series from 50 to 1,000 results per search is reported in Supplementary Table S15. The benchmark validates the methodology for production deployment; the scaling strategy prioritizes the P1 forms (those with 100+ genes in the matrix) for full extraction, with P2 and P3 forms following as capacity allows.</w:t>
      </w:r>
    </w:p>
    <w:p w14:paraId="7329A796" w14:textId="77777777" w:rsidR="00EA778E" w:rsidRPr="009B500E" w:rsidRDefault="00EA778E" w:rsidP="009B500E">
      <w:pPr>
        <w:spacing w:after="0" w:line="240" w:lineRule="auto"/>
        <w:rPr>
          <w:rFonts w:asciiTheme="majorHAnsi" w:hAnsiTheme="majorHAnsi" w:cstheme="majorHAnsi"/>
          <w:b/>
          <w:szCs w:val="24"/>
        </w:rPr>
      </w:pPr>
    </w:p>
    <w:p w14:paraId="200F1297" w14:textId="77777777" w:rsidR="0019489D"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Comparison with Pre-Governance Baseline. 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required_for_death evidence, and only 24% of records had traceable PMIDs. The benchmark demonstrates that post-export governance eliminates all three failure modes simultaneously: allow-list compliance from 75.4% to 100% (a +33% relative increase), EXECUTOR precision from 47% to 100% (a +113% relative increase), and traceability from 24% to 98% (a +310% relative increase) (Figure 2B). The governance framework does not merely improve extraction quality -- it transforms an unreliable AI extraction into a verifiable, auditable evidence pipeline.</w:t>
      </w:r>
      <w:r w:rsidRPr="009B500E">
        <w:rPr>
          <w:rFonts w:asciiTheme="majorHAnsi" w:hAnsiTheme="majorHAnsi" w:cstheme="majorHAnsi"/>
          <w:szCs w:val="24"/>
        </w:rPr>
      </w:r>
    </w:p>
    <w:p w14:paraId="7D48F050" w14:textId="77777777" w:rsidR="00EA778E" w:rsidRPr="009B500E" w:rsidRDefault="00EA778E" w:rsidP="009B500E">
      <w:pPr>
        <w:spacing w:after="0" w:line="240" w:lineRule="auto"/>
        <w:rPr>
          <w:rFonts w:asciiTheme="majorHAnsi" w:hAnsiTheme="majorHAnsi" w:cstheme="majorHAnsi"/>
          <w:b/>
          <w:szCs w:val="24"/>
        </w:rPr>
      </w:pPr>
    </w:p>
    <w:p w14:paraId="72381583"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b/>
          <w:szCs w:val="24"/>
        </w:rPr>
        <w:t>Search Depth Determination.</w:t>
      </w:r>
    </w:p>
    <w:p w14:paraId="6C9E2485"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To determine the production search depth, we measured how Elicit's paper yield scales with the maxResults parameter across a five-point series using Ferroptosis (1,724 allow-list genes) as the test form. Elicit's API documentation specifies a 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09EBEBBF" w14:textId="77777777" w:rsidR="00EA778E" w:rsidRPr="009B500E" w:rsidRDefault="00EA778E" w:rsidP="009B500E">
      <w:pPr>
        <w:spacing w:after="0" w:line="240" w:lineRule="auto"/>
        <w:rPr>
          <w:rFonts w:asciiTheme="majorHAnsi" w:hAnsiTheme="majorHAnsi" w:cstheme="majorHAnsi"/>
          <w:szCs w:val="24"/>
        </w:rPr>
      </w:pPr>
    </w:p>
    <w:p w14:paraId="3ABFA161" w14:textId="77777777" w:rsidR="00BA2B2A"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49ED968" w14:textId="77777777" w:rsidR="00EA778E" w:rsidRPr="009B500E" w:rsidRDefault="00EA778E" w:rsidP="009B500E">
      <w:pPr>
        <w:spacing w:after="0" w:line="240" w:lineRule="auto"/>
        <w:rPr>
          <w:rFonts w:asciiTheme="majorHAnsi" w:hAnsiTheme="majorHAnsi" w:cstheme="majorHAnsi"/>
          <w:szCs w:val="24"/>
        </w:rPr>
      </w:pPr>
    </w:p>
    <w:p w14:paraId="3D075C73"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Elicit literature-mining layer yielded 4,602 gene-RCD associations across 50 RCD forms, triaged into three evidence statuses: 3,803 genuine (each carrying a body-level verbatim sentence and a DOI, with a PMID in 98.3% of cases), 798 association_only (database-backed associations whose Elicit classification was not retained), and 1 retracted (an Elicit-only association for which full-text search found no supporting paper). Among the 3,803 genuine rows, the functional classification was dominated by regulators: REGULATOR 3,347; EXECUTOR 323; MARKER 119; UNCERTAIN 10; CANDIDATE_MODULE 3. Direction of effect </w:t>
      </w:r>
      <w:r w:rsidRPr="009B500E">
        <w:rPr>
          <w:rFonts w:asciiTheme="majorHAnsi" w:hAnsiTheme="majorHAnsi" w:cstheme="majorHAnsi"/>
          <w:szCs w:val="24"/>
        </w:rPr>
        <w:lastRenderedPageBreak/>
        <w:t>was predominantly PROMOTES (2,397) versus PROTECTS (963), with 1,392 genes required for death. Evidence type: GENETIC_PERTURBATION 2,079; EXPRESSION_CORRELATION 801; PHARMACOLOGICAL 670; CITATION_ONLY 3.</w:t>
      </w:r>
    </w:p>
    <w:p w14:paraId="5E72704E" w14:textId="77777777" w:rsidR="00EA778E" w:rsidRPr="009B500E" w:rsidRDefault="00EA778E" w:rsidP="009B500E">
      <w:pPr>
        <w:spacing w:after="0" w:line="240" w:lineRule="auto"/>
        <w:rPr>
          <w:rFonts w:asciiTheme="majorHAnsi" w:hAnsiTheme="majorHAnsi" w:cstheme="majorHAnsi"/>
          <w:szCs w:val="24"/>
        </w:rPr>
      </w:pPr>
    </w:p>
    <w:p w14:paraId="674B59F1"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2B processed 167,868 free PMC full-text articles across 21,309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50C66B2F" w14:textId="77777777" w:rsidR="00EA778E" w:rsidRPr="009B500E" w:rsidRDefault="00EA778E" w:rsidP="009B500E">
      <w:pPr>
        <w:spacing w:after="0" w:line="240" w:lineRule="auto"/>
        <w:rPr>
          <w:rFonts w:asciiTheme="majorHAnsi" w:hAnsiTheme="majorHAnsi" w:cstheme="majorHAnsi"/>
          <w:szCs w:val="24"/>
        </w:rPr>
      </w:pPr>
    </w:p>
    <w:p w14:paraId="670AD4D8"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Phase 2C full-text Europe PMC recovery added 3,058 MECHANISTIC classifications, in addition to the 3,063 MECHANISTIC pairs from Phase 2A/D abstract validation.</w:t>
      </w:r>
    </w:p>
    <w:p w14:paraId="25945C74"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7AB9CE4" w14:textId="77777777" w:rsidR="00EA778E" w:rsidRPr="009B500E" w:rsidRDefault="00EA778E" w:rsidP="009B500E">
      <w:pPr>
        <w:spacing w:after="0" w:line="240" w:lineRule="auto"/>
        <w:rPr>
          <w:rFonts w:asciiTheme="majorHAnsi" w:hAnsiTheme="majorHAnsi" w:cstheme="majorHAnsi"/>
          <w:szCs w:val="24"/>
        </w:rPr>
      </w:pPr>
    </w:p>
    <w:p w14:paraId="1DAEAD00" w14:textId="77777777" w:rsidR="00380FB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four-fold enrichment of strong-tier and a two-fold enrichment of mechanistic pairs relative to the compendium as a whole.</w:t>
      </w:r>
    </w:p>
    <w:p w14:paraId="512F8821" w14:textId="77777777" w:rsidR="00EA778E" w:rsidRPr="009B500E" w:rsidRDefault="00EA778E" w:rsidP="009B500E">
      <w:pPr>
        <w:spacing w:after="0" w:line="240" w:lineRule="auto"/>
        <w:rPr>
          <w:rFonts w:asciiTheme="majorHAnsi" w:hAnsiTheme="majorHAnsi" w:cstheme="majorHAnsi"/>
          <w:szCs w:val="24"/>
        </w:rPr>
      </w:pPr>
    </w:p>
    <w:p w14:paraId="27863D7F"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Governance Literature Survey Results</w:t>
      </w:r>
      <w:r w:rsidRPr="009B500E">
        <w:rPr>
          <w:rFonts w:asciiTheme="majorHAnsi" w:hAnsiTheme="majorHAnsi" w:cstheme="majorHAnsi"/>
          <w:szCs w:val="24"/>
        </w:rPr>
        <w:t xml:space="preserve">. The survey recovered 27,852 verbatim-anchored items from 1,308 papers, synthesized into 419 themes, of which 255 were AI-governance, 71 human-clinical (excluded), and 93 ambiguous. The AI-relevant literature converged on five recurring principles — evaluation and benchmarking, detection and mitigation, human oversight and accountability, transparency and explainability, and ethics and regulation — all </w:t>
      </w:r>
      <w:r w:rsidRPr="009B500E">
        <w:rPr>
          <w:rFonts w:asciiTheme="majorHAnsi" w:hAnsiTheme="majorHAnsi" w:cstheme="majorHAnsi"/>
          <w:szCs w:val="24"/>
        </w:rPr>
        <w:lastRenderedPageBreak/>
        <w:t>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63F1ED01" w14:textId="77777777" w:rsidR="00EA778E" w:rsidRPr="009B500E" w:rsidRDefault="00EA778E" w:rsidP="009B500E">
      <w:pPr>
        <w:spacing w:after="0" w:line="240" w:lineRule="auto"/>
        <w:rPr>
          <w:rFonts w:asciiTheme="majorHAnsi" w:hAnsiTheme="majorHAnsi" w:cstheme="majorHAnsi"/>
          <w:szCs w:val="24"/>
        </w:rPr>
      </w:pPr>
    </w:p>
    <w:p w14:paraId="531E1E39" w14:textId="77777777" w:rsidR="002E19E0" w:rsidRPr="009B500E" w:rsidRDefault="00921C18" w:rsidP="009B500E">
      <w:pPr>
        <w:spacing w:after="0" w:line="240" w:lineRule="auto"/>
        <w:rPr>
          <w:rFonts w:asciiTheme="majorHAnsi" w:hAnsiTheme="majorHAnsi" w:cstheme="majorHAnsi"/>
          <w:color w:val="EE0000"/>
          <w:szCs w:val="24"/>
        </w:rPr>
      </w:pPr>
      <w:r w:rsidRPr="009B500E">
        <w:rPr>
          <w:rFonts w:asciiTheme="majorHAnsi" w:hAnsiTheme="majorHAnsi" w:cstheme="majorHAnsi"/>
          <w:b/>
          <w:bCs/>
          <w:szCs w:val="24"/>
        </w:rPr>
        <w:t xml:space="preserve">Model-selection benchmark. </w:t>
      </w:r>
      <w:r w:rsidRPr="009B500E">
        <w:rPr>
          <w:rFonts w:asciiTheme="majorHAnsi" w:hAnsiTheme="majorHAnsi" w:cstheme="majorHAnsi"/>
          <w:szCs w:val="24"/>
        </w:rPr>
        <w:t>To select the functional-role classifier, three models were benchmarked on 26 well-established gene-RCD pairs (10 executors, 8 regulators, and 8 negative controls): the baseline deepseek-chat (81% combined accuracy, 38% false positives) and chain-of-thought deepseek-reasoner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engine for the full 22K-pair matrix. Structured-output mode (guaranteed JSON) was also adopted across the extraction pipeline to eliminate parsing failures.</w:t>
      </w:r>
    </w:p>
    <w:p w14:paraId="457A48E6" w14:textId="77777777" w:rsidR="00EA778E" w:rsidRPr="009B500E" w:rsidRDefault="00EA778E" w:rsidP="009B500E">
      <w:pPr>
        <w:spacing w:after="0" w:line="240" w:lineRule="auto"/>
        <w:rPr>
          <w:rFonts w:asciiTheme="majorHAnsi" w:hAnsiTheme="majorHAnsi" w:cstheme="majorHAnsi"/>
          <w:b/>
          <w:color w:val="EE0000"/>
          <w:szCs w:val="24"/>
        </w:rPr>
      </w:pPr>
    </w:p>
    <w:p w14:paraId="7F4B715F"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Chain-of-Thought Classification of the Full Matrix</w:t>
      </w:r>
    </w:p>
    <w:p w14:paraId="0C495734"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Chain-of-thought </w:t>
      </w:r>
      <w:r w:rsidR="00B930D3">
        <w:rPr>
          <w:rFonts w:asciiTheme="majorHAnsi" w:hAnsiTheme="majorHAnsi" w:cstheme="majorHAnsi"/>
          <w:szCs w:val="24"/>
        </w:rPr>
        <w:t xml:space="preserve">(CoT) </w:t>
      </w:r>
      <w:r w:rsidRPr="009B500E">
        <w:rPr>
          <w:rFonts w:asciiTheme="majorHAnsi" w:hAnsiTheme="majorHAnsi" w:cstheme="majorHAnsi"/>
          <w:szCs w:val="24"/>
        </w:rPr>
        <w:t xml:space="preserve">classification was applied to the complete matrix to add a mechanistic verdict, functional role, and direction to every </w:t>
      </w:r>
      <w:r w:rsidR="00705A6F">
        <w:rPr>
          <w:rFonts w:asciiTheme="majorHAnsi" w:hAnsiTheme="majorHAnsi" w:cstheme="majorHAnsi"/>
          <w:szCs w:val="24"/>
        </w:rPr>
        <w:t>gene-RCD</w:t>
      </w:r>
      <w:r w:rsidRPr="009B500E">
        <w:rPr>
          <w:rFonts w:asciiTheme="majorHAnsi" w:hAnsiTheme="majorHAnsi" w:cstheme="majorHAnsi"/>
          <w:szCs w:val="24"/>
        </w:rPr>
        <w:t xml:space="preserve"> pair — information the two-call binary validation (Phase 2A/D) and the full-text recovery phases did not capture uniformly. Rather than a single model answer, each pair received three independent chain-of-thought classifications with a self-governance check (verify-role), merged by majority vote, so that one inconsistent sample could not dominate the final verdict.</w:t>
      </w:r>
    </w:p>
    <w:p w14:paraId="74A32BF2" w14:textId="77777777" w:rsidR="00871F46" w:rsidRPr="009B500E" w:rsidRDefault="00871F46" w:rsidP="009B500E">
      <w:pPr>
        <w:spacing w:after="0" w:line="240" w:lineRule="auto"/>
        <w:rPr>
          <w:rFonts w:asciiTheme="majorHAnsi" w:hAnsiTheme="majorHAnsi" w:cstheme="majorHAnsi"/>
          <w:szCs w:val="24"/>
        </w:rPr>
      </w:pPr>
    </w:p>
    <w:p w14:paraId="32D9DCC0"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Of the 21,568 unique gene-RCD pairs, 10,016 (46.4%) were classified as mechanistically involved (YES) and 11,552 (53.6%) as not mechanistically involved (NO). Among the mechanistically-involved pairs, 469 (4.7%) were executors — genes that directly execute the death pathway — and 9,489 (94.7%) were regulators that promote or inhibit it. Across the 21,568 unique gene-RCD pairs, roles resolved as 9,489 regulators, 469 executors, 5 markers, and 11,605 with an unresolved role; direction (across all role-resolved associations) resolved as PROMOTES for 5,070, PROTECTS for 4,755, and UNCLEAR for 11,743 — a near-even pro-death versus anti-death balance. Overall, 5,928 of 9,265 genes (64.0%) had at least one mechanistically-involved association. Classification yield varied markedly by source database: the fraction of associations classified as mechanistically involved ranged from 21.7% (XDeathDB) to 90.0% (ncFO) (Supplementary Figure S3).</w:t>
      </w:r>
      <w:r w:rsidR="00705A6F">
        <w:rPr>
          <w:rFonts w:asciiTheme="majorHAnsi" w:hAnsiTheme="majorHAnsi" w:cstheme="majorHAnsi"/>
          <w:szCs w:val="24"/>
        </w:rPr>
      </w:r>
      <w:r w:rsidRPr="009B500E">
        <w:rPr>
          <w:rFonts w:asciiTheme="majorHAnsi" w:hAnsiTheme="majorHAnsi" w:cstheme="majorHAnsi"/>
          <w:szCs w:val="24"/>
        </w:rPr>
      </w:r>
      <w:r w:rsidRPr="000C564C">
        <w:rPr>
          <w:rFonts w:asciiTheme="majorHAnsi" w:hAnsiTheme="majorHAnsi" w:cstheme="majorHAnsi"/>
          <w:szCs w:val="24"/>
          <w:highlight w:val="green"/>
        </w:rPr>
      </w:r>
    </w:p>
    <w:p w14:paraId="6AF672B6" w14:textId="77777777" w:rsidR="004B02F0" w:rsidRDefault="004B02F0" w:rsidP="009B500E">
      <w:pPr>
        <w:spacing w:after="0" w:line="240" w:lineRule="auto"/>
        <w:rPr>
          <w:rFonts w:asciiTheme="majorHAnsi" w:hAnsiTheme="majorHAnsi" w:cstheme="majorHAnsi"/>
          <w:szCs w:val="24"/>
        </w:rPr>
      </w:pPr>
    </w:p>
    <w:p w14:paraId="0B9B9C78" w14:textId="77777777" w:rsidR="00C73316"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classification was internally audited: 84 self-inconsistent rows (mechanistic NO with a confident role or direction) were repaired, and 231 rows with genuine uncertainty — 178 regulators with unclear direction and 53 mechanistically-involved pairs with unresolved role — were retained as honest uncertainty rather than forced into a confident category. Two </w:t>
      </w:r>
      <w:r w:rsidR="00705A6F">
        <w:rPr>
          <w:rFonts w:asciiTheme="majorHAnsi" w:hAnsiTheme="majorHAnsi" w:cstheme="majorHAnsi"/>
          <w:szCs w:val="24"/>
        </w:rPr>
        <w:lastRenderedPageBreak/>
        <w:t>gene-RCD</w:t>
      </w:r>
      <w:r w:rsidRPr="009B500E">
        <w:rPr>
          <w:rFonts w:asciiTheme="majorHAnsi" w:hAnsiTheme="majorHAnsi" w:cstheme="majorHAnsi"/>
          <w:szCs w:val="24"/>
        </w:rPr>
        <w:t xml:space="preserve"> pairs (</w:t>
      </w:r>
      <w:r w:rsidRPr="000C564C">
        <w:rPr>
          <w:rFonts w:asciiTheme="majorHAnsi" w:hAnsiTheme="majorHAnsi" w:cstheme="majorHAnsi"/>
          <w:i/>
          <w:iCs/>
          <w:szCs w:val="24"/>
        </w:rPr>
        <w:t>NLRX1</w:t>
      </w:r>
      <w:r w:rsidRPr="009B500E">
        <w:rPr>
          <w:rFonts w:asciiTheme="majorHAnsi" w:hAnsiTheme="majorHAnsi" w:cstheme="majorHAnsi"/>
          <w:szCs w:val="24"/>
        </w:rPr>
        <w:t xml:space="preserve"> and </w:t>
      </w:r>
      <w:r w:rsidRPr="000C564C">
        <w:rPr>
          <w:rFonts w:asciiTheme="majorHAnsi" w:hAnsiTheme="majorHAnsi" w:cstheme="majorHAnsi"/>
          <w:i/>
          <w:iCs/>
          <w:szCs w:val="24"/>
        </w:rPr>
        <w:t>PPIF</w:t>
      </w:r>
      <w:r w:rsidRPr="009B500E">
        <w:rPr>
          <w:rFonts w:asciiTheme="majorHAnsi" w:hAnsiTheme="majorHAnsi" w:cstheme="majorHAnsi"/>
          <w:szCs w:val="24"/>
        </w:rPr>
        <w:t xml:space="preserve"> with MPT-driven necrosis) were classified separately with a five-vote majority, completing full pair coverage (21,568/21,568).</w:t>
      </w:r>
    </w:p>
    <w:p w14:paraId="6BCE4DE1" w14:textId="77777777" w:rsidR="00871F46" w:rsidRPr="009B500E" w:rsidRDefault="00871F46" w:rsidP="009B500E">
      <w:pPr>
        <w:spacing w:after="0" w:line="240" w:lineRule="auto"/>
        <w:rPr>
          <w:rFonts w:asciiTheme="majorHAnsi" w:hAnsiTheme="majorHAnsi" w:cstheme="majorHAnsi"/>
          <w:b/>
          <w:color w:val="EE0000"/>
          <w:szCs w:val="24"/>
        </w:rPr>
      </w:pPr>
    </w:p>
    <w:p w14:paraId="648EA9F8"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RCDome Web Application</w:t>
      </w:r>
    </w:p>
    <w:p w14:paraId="501B8B66" w14:textId="77777777" w:rsidR="00D11423"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compendium is exposed through RCDome, a Shiny web application with a multi-layer navigation. The Home page renders the atlas as a girded-cupola dome — 53 entity nodes colored by ontological level (L1 gold through L5 orange) along the rim, with a gene constellation beneath — surrounded by seven module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r>
        <w:t>The dome is the visual signature of the platform: its cupola rim carries the 53 canonicalized RCD-related entities as nodes colored by their adjudicated ontological level — L1 modalities (19, gold), L2 subtypes (7, blue), L3 triggers (2, green), L4 Functional/contextual (13, purple), and L5 Generic/umbrella/taxon (12, orange) — over a constellation of the 9,265 HGNC-validated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4BBFAF01" w14:textId="77777777" w:rsidR="00D11423" w:rsidRDefault="00D11423" w:rsidP="009B500E">
      <w:pPr>
        <w:spacing w:after="0" w:line="240" w:lineRule="auto"/>
        <w:rPr>
          <w:rFonts w:asciiTheme="majorHAnsi" w:hAnsiTheme="majorHAnsi" w:cstheme="majorHAnsi"/>
          <w:szCs w:val="24"/>
        </w:rPr>
      </w:pPr>
    </w:p>
    <w:p w14:paraId="13A9A93C"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application source code and compendium are available at </w:t>
      </w:r>
      <w:hyperlink r:id="rId45" w:history="1">
        <w:r w:rsidR="00D11423" w:rsidRPr="001F557B">
          <w:rPr>
            <w:rStyle w:val="Hyperlink"/>
            <w:rFonts w:asciiTheme="majorHAnsi" w:hAnsiTheme="majorHAnsi" w:cstheme="majorHAnsi"/>
            <w:szCs w:val="24"/>
          </w:rPr>
          <w:t>https://github.com/BioCancerInformatics/RCDome</w:t>
        </w:r>
      </w:hyperlink>
      <w:r w:rsidRPr="009B500E">
        <w:rPr>
          <w:rFonts w:asciiTheme="majorHAnsi" w:hAnsiTheme="majorHAnsi" w:cstheme="majorHAnsi"/>
          <w:szCs w:val="24"/>
        </w:rPr>
        <w:t>.</w:t>
      </w:r>
      <w:r w:rsidR="00D11423">
        <w:rPr>
          <w:rFonts w:asciiTheme="majorHAnsi" w:hAnsiTheme="majorHAnsi" w:cstheme="majorHAnsi"/>
          <w:szCs w:val="24"/>
        </w:rPr>
        <w:t xml:space="preserve"> </w:t>
      </w:r>
      <w:r w:rsidRPr="009B500E">
        <w:rPr>
          <w:rFonts w:asciiTheme="majorHAnsi" w:hAnsiTheme="majorHAnsi" w:cstheme="majorHAnsi"/>
          <w:szCs w:val="24"/>
        </w:rPr>
        <w:t xml:space="preserve">The </w:t>
      </w:r>
      <w:r w:rsidRPr="00D11423">
        <w:rPr>
          <w:rFonts w:asciiTheme="majorHAnsi" w:hAnsiTheme="majorHAnsi" w:cstheme="majorHAnsi"/>
          <w:i/>
          <w:iCs/>
          <w:szCs w:val="24"/>
        </w:rPr>
        <w:t>Gene Catalog</w:t>
      </w:r>
      <w:r w:rsidRPr="009B500E">
        <w:rPr>
          <w:rFonts w:asciiTheme="majorHAnsi" w:hAnsiTheme="majorHAnsi" w:cstheme="majorHAnsi"/>
          <w:szCs w:val="24"/>
        </w:rPr>
        <w:t xml:space="preserve"> module exposes the complete 22,473-row × 71-column matrix (</w:t>
      </w:r>
      <w:r w:rsidRPr="00D11423">
        <w:rPr>
          <w:rFonts w:asciiTheme="majorHAnsi" w:hAnsiTheme="majorHAnsi" w:cstheme="majorHAnsi"/>
          <w:szCs w:val="24"/>
          <w:highlight w:val="green"/>
        </w:rPr>
        <w:t>Database S1</w:t>
      </w:r>
      <w:r w:rsidRPr="009B500E">
        <w:rPr>
          <w:rFonts w:asciiTheme="majorHAnsi" w:hAnsiTheme="majorHAnsi" w:cstheme="majorHAnsi"/>
          <w:szCs w:val="24"/>
        </w:rPr>
        <w:t>) as a filterable, sortable table with nine columns — gene, biotype, RCD entity, cancer gene, confidence tier, mechanistic, role, direction, and source databases — and a Direction/Role source selector that switches the displayed annotation between the DeepSeek chain-of-thought classification and the Elicit extraction.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p>
    <w:p w14:paraId="6ECE1D8A" w14:textId="77777777" w:rsidR="004B02F0" w:rsidRDefault="004B02F0" w:rsidP="009B500E">
      <w:pPr>
        <w:spacing w:after="0" w:line="240" w:lineRule="auto"/>
        <w:rPr>
          <w:rFonts w:asciiTheme="majorHAnsi" w:hAnsiTheme="majorHAnsi" w:cstheme="majorHAnsi"/>
          <w:szCs w:val="24"/>
        </w:rPr>
      </w:pPr>
    </w:p>
    <w:p w14:paraId="7450208E"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seven modules — Compendium Browser, Gene-Centric Explorer, Pathway Diagrams, Literature Consultation, Definition Comparator, Discovery Timeline, and Integration Toolkit — are exposed as cards on the Home page, with the interactive dome as the primary entry point.</w:t>
      </w:r>
    </w:p>
    <w:p w14:paraId="40FDD74E" w14:textId="77777777" w:rsidR="004B02F0" w:rsidRDefault="004B02F0" w:rsidP="009B500E">
      <w:pPr>
        <w:spacing w:after="0" w:line="240" w:lineRule="auto"/>
        <w:rPr>
          <w:rFonts w:asciiTheme="majorHAnsi" w:hAnsiTheme="majorHAnsi" w:cstheme="majorHAnsi"/>
          <w:szCs w:val="24"/>
        </w:rPr>
      </w:pPr>
    </w:p>
    <w:p w14:paraId="65399E94" w14:textId="77777777" w:rsidR="00FD2A2E"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application was built iteratively with AI assistance (DeepSeek and Consensus classification, AI-generated pathway figures and descriptions) under the governance rules described in the Methods. Every value exposed in the interface was verified against the compendium matrix (Knock Test), and every AI-generated element is traceable to its source. Detailed AI usage, token, runtime, and cost figures for every AI-assisted phase are reported in Supplementary Note S5 (AI usage, tokens, and cost).</w:t>
      </w:r>
      <w:r/>
    </w:p>
    <w:p w14:paraId="6E858C66" w14:textId="77777777" w:rsidR="000B2C2A" w:rsidRPr="009B500E" w:rsidRDefault="000B2C2A" w:rsidP="009B500E">
      <w:pPr>
        <w:spacing w:after="0" w:line="240" w:lineRule="auto"/>
        <w:rPr>
          <w:rFonts w:asciiTheme="majorHAnsi" w:hAnsiTheme="majorHAnsi" w:cstheme="majorHAnsi"/>
          <w:b/>
          <w:szCs w:val="24"/>
        </w:rPr>
      </w:pPr>
    </w:p>
    <w:p w14:paraId="14680FD5" w14:textId="77777777" w:rsidR="00B04B4F" w:rsidRDefault="00000000">
      <w: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S6) validated the board at 100% golden accuracy, 100% census accuracy, 100% fact-stability, a 0.047% governance violation rate, and 98.7% articulation conformity; a two-test Q&amp;A benchmark (n = 100 per test) validated the Q&amp;A at 100% positive accuracy and 100% negative controls, Wilson 95% CI 96.3–100%, two-sided binomial p = 0.010.</w:t>
      </w:r>
      <w:r/>
    </w:p>
    <w:p w14:paraId="77340BB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Practical utility of the web application</w:t>
      </w:r>
    </w:p>
    <w:p w14:paraId="22B21AD6"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interface is built for extraction as much as for browsing. A Direction/Role source selector switches the displayed annotation between the DeepSeek chain-of-thought classification and the Elicit extraction, so a researcher can compare the two analyses side by side without conflating them. Four download buttons export the filtered gene table, the complete 71-column matrix, the per-entity comparison (Elicit versus DeepSeek executor and regulator counts for all 53 entities), and the death core — the 469 executor pairs, exported with full provenance columns. Every association PMID resolves to a verified article title (all 10,141 curated titles matched exactly against PubMed), and each row carries its source databases, evidence tier, and per-analysis verdicts. In practice, a researcher can, in a single session, filter to a mechanism of interest, download the underlying matrix, and trace any claim back to its original database or publication.</w:t>
      </w:r>
    </w:p>
    <w:p w14:paraId="25BC55CA" w14:textId="77777777" w:rsidR="000B2C2A" w:rsidRPr="009B500E" w:rsidRDefault="000B2C2A" w:rsidP="009B500E">
      <w:pPr>
        <w:spacing w:after="0" w:line="240" w:lineRule="auto"/>
        <w:rPr>
          <w:rFonts w:asciiTheme="majorHAnsi" w:hAnsiTheme="majorHAnsi" w:cstheme="majorHAnsi"/>
          <w:b/>
          <w:color w:val="EE0000"/>
          <w:szCs w:val="24"/>
        </w:rPr>
      </w:pPr>
    </w:p>
    <w:p w14:paraId="4533FC40" w14:textId="77777777" w:rsidR="002E19E0" w:rsidRPr="00CC1DA5" w:rsidRDefault="00921C18" w:rsidP="009B500E">
      <w:pPr>
        <w:spacing w:after="0" w:line="240" w:lineRule="auto"/>
        <w:rPr>
          <w:rFonts w:asciiTheme="majorHAnsi" w:hAnsiTheme="majorHAnsi" w:cstheme="majorHAnsi"/>
          <w:color w:val="EE0000"/>
          <w:szCs w:val="24"/>
          <w:highlight w:val="yellow"/>
        </w:rPr>
      </w:pPr>
      <w:r w:rsidRPr="00CC1DA5">
        <w:rPr>
          <w:rFonts w:asciiTheme="majorHAnsi" w:hAnsiTheme="majorHAnsi" w:cstheme="majorHAnsi"/>
          <w:b/>
          <w:color w:val="EE0000"/>
          <w:szCs w:val="24"/>
          <w:highlight w:val="yellow"/>
        </w:rPr>
        <w:t>Pending Work</w:t>
      </w:r>
    </w:p>
    <w:p w14:paraId="7661033B" w14:textId="77777777" w:rsidR="002E19E0" w:rsidRPr="009B500E" w:rsidRDefault="002E19E0" w:rsidP="009B500E">
      <w:pPr>
        <w:spacing w:after="0" w:line="240" w:lineRule="auto"/>
        <w:rPr>
          <w:rFonts w:asciiTheme="majorHAnsi" w:hAnsiTheme="majorHAnsi" w:cstheme="majorHAnsi"/>
          <w:color w:val="EE0000"/>
          <w:szCs w:val="24"/>
        </w:rPr>
      </w:pPr>
      <w:r w:rsidRPr="00CC1DA5">
        <w:rPr>
          <w:rFonts w:asciiTheme="majorHAnsi" w:hAnsiTheme="majorHAnsi" w:cstheme="majorHAnsi"/>
          <w:color w:val="EE0000"/>
          <w:szCs w:val="24"/>
          <w:highlight w:val="yellow"/>
        </w:rPr>
        <w:t>The compendium and validation pipeline reported here constitute a living platform. The six gene symbols renamed during matrix consolidation (IL1RL1 to IL33R, AATK to LMTK1, TNFAIP8L1 to TIPE1, TNFAIP8L2 to TIPE2, TNFAIP8L3 to TIPE3, ENSG00000274276 to CBSL) were reconciled in the chain-of-thought validation results, and the two newly added MPT-driven necrosis gene associations (NLRX1 and PPIF) were classified through the same pipeline. The RCD entities module presents all 53 RCD-related entities through the decoder; the RCDchat literature-consultation module and the Network module are implemented and being refined.</w:t>
      </w:r>
    </w:p>
    <w:p w14:paraId="02C5E26D" w14:textId="77777777" w:rsidR="00EA778E" w:rsidRPr="009B500E" w:rsidRDefault="00EA778E" w:rsidP="009B500E">
      <w:pPr>
        <w:pStyle w:val="Ttulo2"/>
        <w:spacing w:before="0" w:line="240" w:lineRule="auto"/>
        <w:rPr>
          <w:rFonts w:cstheme="majorHAnsi"/>
          <w:sz w:val="24"/>
          <w:szCs w:val="24"/>
        </w:rPr>
      </w:pPr>
    </w:p>
    <w:p w14:paraId="7C8C29F7" w14:textId="77777777" w:rsidR="00925876" w:rsidRPr="009B500E" w:rsidRDefault="00921C18" w:rsidP="009B500E">
      <w:pPr>
        <w:pStyle w:val="Ttulo2"/>
        <w:spacing w:before="0" w:line="240" w:lineRule="auto"/>
        <w:rPr>
          <w:rFonts w:cstheme="majorHAnsi"/>
          <w:sz w:val="24"/>
          <w:szCs w:val="24"/>
        </w:rPr>
      </w:pPr>
      <w:r w:rsidRPr="009B500E">
        <w:rPr>
          <w:rFonts w:cstheme="majorHAnsi"/>
          <w:sz w:val="24"/>
          <w:szCs w:val="24"/>
        </w:rPr>
        <w:t>DISCUSSION</w:t>
      </w:r>
    </w:p>
    <w:p w14:paraId="2832D5AE"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RCDome was built to answer a single question: “Where did this gene-RCD association come from, and what is the evidence?” Every architectural decision follows from that question. The four-channel compilation architecture ensures that no single source type dominates: Channel A (PubMed Boolean) maximizes recall, Channel B (curated databases) provides precision, Channel C (AI-assisted screening) captures recent discoveries, and Channel D (manual curation) serves as the ultimate arbiter. The two-call independent LLM validation architecture prevents any single model from biasing the verification: one call draws on internal knowledge, the other on PubMed abstracts, and only concordance between them yields a CONFIRMED classification. The five-criteria RCD form admission framework ensures that the controlled vocabulary is not merely a list of terms encountered in the literature but a set of mechanistically distinguishable entities. Every design choice was made to maximize one thing: traceability.</w:t>
      </w:r>
    </w:p>
    <w:p w14:paraId="413C42D0" w14:textId="77777777" w:rsidR="00EA778E" w:rsidRPr="009B500E" w:rsidRDefault="00EA778E" w:rsidP="009B500E">
      <w:pPr>
        <w:spacing w:after="0" w:line="240" w:lineRule="auto"/>
        <w:rPr>
          <w:rFonts w:asciiTheme="majorHAnsi" w:hAnsiTheme="majorHAnsi" w:cstheme="majorHAnsi"/>
          <w:szCs w:val="24"/>
        </w:rPr>
      </w:pPr>
    </w:p>
    <w:p w14:paraId="3FDBEDC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ontology_curator_verified flag was set to TRUE for all 53 entities following bulk human approval (logged 2026-09-05). Automated quality filters exclude non-HGNC symbols and </w:t>
      </w:r>
      <w:r w:rsidRPr="009B500E">
        <w:rPr>
          <w:rFonts w:asciiTheme="majorHAnsi" w:hAnsiTheme="majorHAnsi" w:cstheme="majorHAnsi"/>
          <w:szCs w:val="24"/>
        </w:rPr>
        <w:lastRenderedPageBreak/>
        <w:t>NCBI Gene keyword-only associations following a spot audit that revealed zero overlap with known RCD executioner and regulator genes — a decision that removed 10,857 rows but protected the compendium from systematic noise. Governance, in RCDome, is not a statement of values; it is executable code.</w:t>
      </w:r>
    </w:p>
    <w:p w14:paraId="733E627B" w14:textId="77777777" w:rsidR="00EA778E" w:rsidRPr="009B500E" w:rsidRDefault="00EA778E" w:rsidP="009B500E">
      <w:pPr>
        <w:spacing w:after="0" w:line="240" w:lineRule="auto"/>
        <w:rPr>
          <w:rFonts w:asciiTheme="majorHAnsi" w:hAnsiTheme="majorHAnsi" w:cstheme="majorHAnsi"/>
          <w:szCs w:val="24"/>
        </w:rPr>
      </w:pPr>
    </w:p>
    <w:p w14:paraId="3B54EB71" w14:textId="77777777" w:rsidR="00463DD3"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RCDome compendium is a diagnostic of the field, and several findings took us by surprise. The sheer number of RCD entities — 53 RCD-related entities consolidated from 62 original name strings —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3D9111D" w14:textId="77777777" w:rsidR="00463DD3" w:rsidRDefault="00463DD3" w:rsidP="009B500E">
      <w:pPr>
        <w:spacing w:after="0" w:line="240" w:lineRule="auto"/>
        <w:rPr>
          <w:rFonts w:asciiTheme="majorHAnsi" w:hAnsiTheme="majorHAnsi" w:cstheme="majorHAnsi"/>
          <w:szCs w:val="24"/>
        </w:rPr>
      </w:pPr>
    </w:p>
    <w:p w14:paraId="79724ED0"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disparity in gene coverage is striking. Apoptosis accounts for 6,229 entries. Pyronecrosis has one. This is not a flaw in the compilation; it is a map of where research effort has been concentrated. Apoptosis has been studied for over fifty years. Several of the most recently described forms are known from a single discovery paper. The compendium makes this imbalance explicit, and it is sobering. The mechanistic classification produced an even more sobering result. Of the 22,473 gene-RCD associations, only 3,063 (13.6% of the 22,473 validated rows) are MECHANISTIC — meaning both LLM knowledge and PubMed abstract evidence support a functional role. For the remaining 86.3% of validated rows, the literature is either insufficient, ambiguous, or silent. A further 2,416 pairs (10.8%) reflect CO_OCCURRENCE: the gene and RCD term appear together in published articles, but without evidence of a functional relationship. For 8,863 pairs (39.4%), the literature is simply insufficient to determine the nature of the association. An additional 1,519 pairs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442 pairs (2.0%) are classified as DATABASE_ONLY. These are gene-RCD associations contributed by 10 independent curated databases for which no supporting PMID was found in any indexed literature source — despite exhaustive search via NCBI PubMed, Europe PMC full-text recovery, and a targeted DeepSeek LLM campaign. They represent the irreducible uncertainty of the compendium: knowledge that has entered the database ecosystem without a verifiable paper trail by our analysis. They are flagged for expert manual review. Taken together, these findings suggest that the RCD field has outgrown its information infrastructure. Databases have accumulated associations faster than the literature has verified them. RCDome does not solve this problem — but it makes it quantitatively measurable.</w:t>
      </w:r>
      <w:r w:rsidR="00897A3F">
        <w:rPr>
          <w:rFonts w:asciiTheme="majorHAnsi" w:hAnsiTheme="majorHAnsi" w:cstheme="majorHAnsi"/>
          <w:szCs w:val="24"/>
        </w:rPr>
      </w:r>
      <w:r w:rsidRPr="009B500E">
        <w:rPr>
          <w:rFonts w:asciiTheme="majorHAnsi" w:hAnsiTheme="majorHAnsi" w:cstheme="majorHAnsi"/>
          <w:szCs w:val="24"/>
        </w:rPr>
      </w:r>
    </w:p>
    <w:p w14:paraId="31467421" w14:textId="77777777" w:rsidR="00EA778E" w:rsidRPr="009B500E" w:rsidRDefault="00EA778E" w:rsidP="009B500E">
      <w:pPr>
        <w:spacing w:after="0" w:line="240" w:lineRule="auto"/>
        <w:rPr>
          <w:rFonts w:asciiTheme="majorHAnsi" w:hAnsiTheme="majorHAnsi" w:cstheme="majorHAnsi"/>
          <w:szCs w:val="24"/>
        </w:rPr>
      </w:pPr>
    </w:p>
    <w:p w14:paraId="76E1E57C" w14:textId="77777777" w:rsidR="00897A3F"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 62 original name strings across 20 resources —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532DBB89" w14:textId="77777777" w:rsidR="00897A3F" w:rsidRDefault="00897A3F" w:rsidP="009B500E">
      <w:pPr>
        <w:spacing w:after="0" w:line="240" w:lineRule="auto"/>
        <w:rPr>
          <w:rFonts w:asciiTheme="majorHAnsi" w:hAnsiTheme="majorHAnsi" w:cstheme="majorHAnsi"/>
          <w:szCs w:val="24"/>
        </w:rPr>
      </w:pPr>
    </w:p>
    <w:p w14:paraId="1C80496B" w14:textId="77777777" w:rsidR="00925876"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008D4EC3" w14:textId="77777777" w:rsidR="00925876" w:rsidRPr="009B500E" w:rsidRDefault="00925876" w:rsidP="009B500E">
      <w:pPr>
        <w:spacing w:after="0" w:line="240" w:lineRule="auto"/>
        <w:rPr>
          <w:rFonts w:asciiTheme="majorHAnsi" w:hAnsiTheme="majorHAnsi" w:cstheme="majorHAnsi"/>
          <w:szCs w:val="24"/>
        </w:rPr>
      </w:pPr>
    </w:p>
    <w:p w14:paraId="48134DD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What the atlas reveals about the biology of regulated cell death</w:t>
      </w:r>
    </w:p>
    <w:p w14:paraId="279E9B2F" w14:textId="77777777" w:rsidR="00B147AA"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full-matrix classification, read as a whole, paints a picture that surprised us. The death-executing machinery is remarkably small: only 469 </w:t>
      </w:r>
      <w:r w:rsidR="00705A6F">
        <w:rPr>
          <w:rFonts w:asciiTheme="majorHAnsi" w:hAnsiTheme="majorHAnsi" w:cstheme="majorHAnsi"/>
          <w:szCs w:val="24"/>
        </w:rPr>
        <w:t>gene-RCD</w:t>
      </w:r>
      <w:r w:rsidRPr="009B500E">
        <w:rPr>
          <w:rFonts w:asciiTheme="majorHAnsi" w:hAnsiTheme="majorHAnsi" w:cstheme="majorHAnsi"/>
          <w:szCs w:val="24"/>
        </w:rPr>
        <w:t xml:space="preserve"> pairs (4.7% of the mechanistically-involved set) are executors — the genes that directly pore, cleave, or permeabilize to kill the cell. Everything else is regulation: 9,489 pairs (94.7%) are regulators that promote or inhibit death without executing it. Regulated cell death, in other words, is not a collection of lethal machines but a vast regulatory network built around a small core of executioners (</w:t>
      </w:r>
      <w:r w:rsidRPr="00897A3F">
        <w:rPr>
          <w:rFonts w:asciiTheme="majorHAnsi" w:hAnsiTheme="majorHAnsi" w:cstheme="majorHAnsi"/>
          <w:szCs w:val="24"/>
          <w:highlight w:val="green"/>
        </w:rPr>
        <w:t>Figure 3A).</w:t>
      </w:r>
    </w:p>
    <w:p w14:paraId="0AB42A1A" w14:textId="77777777" w:rsidR="00897A3F" w:rsidRPr="009B500E" w:rsidRDefault="00897A3F" w:rsidP="009B500E">
      <w:pPr>
        <w:spacing w:after="0" w:line="240" w:lineRule="auto"/>
        <w:rPr>
          <w:rFonts w:asciiTheme="majorHAnsi" w:hAnsiTheme="majorHAnsi" w:cstheme="majorHAnsi"/>
          <w:szCs w:val="24"/>
        </w:rPr>
      </w:pPr>
    </w:p>
    <w:p w14:paraId="3CBFDA9F"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signal is sharply stratified by ontological level. The L1 modalities — the bona fide death forms — carry 64.6% of their pairs as mechanistically involved, whereas the L5 concepts (Autophagy, Programmed cell death) carry only 31.5%, despite being the largest association hubs. Most genes associated with autophagy are associated with the process, not with its lethal outcome; the DeepSeek layer makes that distinction explicit at this scale (Figure 3B). This stratification is biologically informative, but it should not be read as an independent validation of the ontology: L1 was defined precisely to concentrate mechanistic forms, so a higher mechanistic fraction in L1 is in part expected by construction.</w:t>
      </w:r>
      <w:r w:rsidRPr="00897A3F">
        <w:rPr>
          <w:rFonts w:asciiTheme="majorHAnsi" w:hAnsiTheme="majorHAnsi" w:cstheme="majorHAnsi"/>
          <w:szCs w:val="24"/>
          <w:highlight w:val="green"/>
        </w:rPr>
      </w:r>
      <w:r w:rsidRPr="009B500E">
        <w:rPr>
          <w:rFonts w:asciiTheme="majorHAnsi" w:hAnsiTheme="majorHAnsi" w:cstheme="majorHAnsi"/>
          <w:szCs w:val="24"/>
        </w:rPr>
      </w:r>
    </w:p>
    <w:p w14:paraId="2732E1ED" w14:textId="77777777" w:rsidR="004B02F0" w:rsidRDefault="004B02F0" w:rsidP="009B500E">
      <w:pPr>
        <w:spacing w:after="0" w:line="240" w:lineRule="auto"/>
        <w:rPr>
          <w:rFonts w:asciiTheme="majorHAnsi" w:hAnsiTheme="majorHAnsi" w:cstheme="majorHAnsi"/>
          <w:szCs w:val="24"/>
        </w:rPr>
      </w:pPr>
    </w:p>
    <w:p w14:paraId="6612049B"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direction of regulation is nearly balanced — 5,070 promoters versus 4,755 protectors (across all role-resolved associations) — consistent with death as a decision that cells weigh in both directions, not a one-way cascade. And 64% of the 9,265 genes have at least one mechanistically-involved association, confirming that RCD is woven through a large fraction of the human genome (Figure 3C). Taken together, these numbers change how the field should be read: the core of regulated cell death is small, and most of the compiled network is regulation of death, not execution of it (Figure 3D). Gene coverage is highly heterogeneous across the 53 entities, from Apoptosis (5,897 genes) and Autophagy (4,634) to Pyronecrosis (1 gene) (Figure 4). Where a subtype carries more genes than its parent — Autosis (1,105 genes) against Autophagy-dependent cell death (110) — the difference reflects the depth of database indexing, not ontological inheritance; parent–child gene inventories are not expected to be nested subsets.</w:t>
      </w:r>
      <w:r w:rsidR="00897A3F">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000B2C2A" w:rsidRPr="009B500E">
        <w:rPr>
          <w:rFonts w:asciiTheme="majorHAnsi" w:hAnsiTheme="majorHAnsi" w:cstheme="majorHAnsi"/>
          <w:szCs w:val="24"/>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r w:rsidRPr="00897A3F">
        <w:rPr>
          <w:rFonts w:asciiTheme="majorHAnsi" w:hAnsiTheme="majorHAnsi" w:cstheme="majorHAnsi"/>
          <w:szCs w:val="24"/>
          <w:highlight w:val="green"/>
        </w:rPr>
      </w:r>
      <w:r w:rsidRPr="009B500E">
        <w:rPr>
          <w:rFonts w:asciiTheme="majorHAnsi" w:hAnsiTheme="majorHAnsi" w:cstheme="majorHAnsi"/>
          <w:szCs w:val="24"/>
        </w:rPr>
      </w:r>
    </w:p>
    <w:p w14:paraId="5C47A166" w14:textId="77777777" w:rsidR="000B2C2A" w:rsidRPr="009B500E" w:rsidRDefault="000B2C2A" w:rsidP="009B500E">
      <w:pPr>
        <w:spacing w:after="0" w:line="240" w:lineRule="auto"/>
        <w:rPr>
          <w:rFonts w:asciiTheme="majorHAnsi" w:hAnsiTheme="majorHAnsi" w:cstheme="majorHAnsi"/>
          <w:b/>
          <w:szCs w:val="24"/>
        </w:rPr>
      </w:pPr>
    </w:p>
    <w:p w14:paraId="43079FE5"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The value and limits of the automated classifications</w:t>
      </w:r>
    </w:p>
    <w:p w14:paraId="168DE5DE"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 xml:space="preserve">The two independent classifications — DeepSeek (the chain-of-thought full-matrix classification) and Elicit (the original AI-assisted extraction) — give every </w:t>
      </w:r>
      <w:r w:rsidR="00705A6F">
        <w:rPr>
          <w:rFonts w:asciiTheme="majorHAnsi" w:hAnsiTheme="majorHAnsi" w:cstheme="majorHAnsi"/>
          <w:szCs w:val="24"/>
        </w:rPr>
        <w:t>gene-RCD</w:t>
      </w:r>
      <w:r w:rsidRPr="009B500E">
        <w:rPr>
          <w:rFonts w:asciiTheme="majorHAnsi" w:hAnsiTheme="majorHAnsi" w:cstheme="majorHAnsi"/>
          <w:szCs w:val="24"/>
        </w:rPr>
        <w:t xml:space="preserve"> pair a separately-preserved, comparable verdict. The DeepSeek run classified all 21,568 pairs: 10,016 (46.4%) mechanistically involved and 11,552 (53.6%) not, with 469 executors and 9,489 regulators. The RCDome interface exposes these side by side through a source selector, and a researcher can extract the filtered table, the complete 71-column matrix, the per-entity comparison, or the 469-pair death core for their own work.</w:t>
      </w:r>
    </w:p>
    <w:p w14:paraId="5CB828AC" w14:textId="77777777" w:rsidR="004B02F0" w:rsidRDefault="004B02F0" w:rsidP="009B500E">
      <w:pPr>
        <w:spacing w:after="0" w:line="240" w:lineRule="auto"/>
        <w:rPr>
          <w:rFonts w:asciiTheme="majorHAnsi" w:hAnsiTheme="majorHAnsi" w:cstheme="majorHAnsi"/>
          <w:szCs w:val="24"/>
        </w:rPr>
      </w:pPr>
    </w:p>
    <w:p w14:paraId="1FFD43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 the classifications were never graded against their own outputs. On these agnostic reference sets,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5202FBA7" w14:textId="77777777" w:rsidR="004B02F0" w:rsidRDefault="004B02F0" w:rsidP="009B500E">
      <w:pPr>
        <w:spacing w:after="0" w:line="240" w:lineRule="auto"/>
        <w:rPr>
          <w:rFonts w:asciiTheme="majorHAnsi" w:hAnsiTheme="majorHAnsi" w:cstheme="majorHAnsi"/>
          <w:szCs w:val="24"/>
        </w:rPr>
      </w:pPr>
    </w:p>
    <w:p w14:paraId="577D2802"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7774B59B" w14:textId="77777777" w:rsidR="000B2C2A" w:rsidRPr="009B500E" w:rsidRDefault="000B2C2A" w:rsidP="009B500E">
      <w:pPr>
        <w:spacing w:after="0" w:line="240" w:lineRule="auto"/>
        <w:rPr>
          <w:rFonts w:asciiTheme="majorHAnsi" w:hAnsiTheme="majorHAnsi" w:cstheme="majorHAnsi"/>
          <w:b/>
          <w:szCs w:val="24"/>
        </w:rPr>
      </w:pPr>
    </w:p>
    <w:p w14:paraId="5367F631"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65C8B71" w14:textId="77777777" w:rsidR="004B02F0" w:rsidRDefault="004B02F0" w:rsidP="009B500E">
      <w:pPr>
        <w:spacing w:after="0" w:line="240" w:lineRule="auto"/>
        <w:rPr>
          <w:rFonts w:asciiTheme="majorHAnsi" w:hAnsiTheme="majorHAnsi" w:cstheme="majorHAnsi"/>
          <w:szCs w:val="24"/>
        </w:rPr>
      </w:pPr>
    </w:p>
    <w:p w14:paraId="375E5F7E"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A823EC3" w14:textId="77777777" w:rsidR="004B02F0" w:rsidRDefault="004B02F0" w:rsidP="009B500E">
      <w:pPr>
        <w:spacing w:after="0" w:line="240" w:lineRule="auto"/>
        <w:rPr>
          <w:rFonts w:asciiTheme="majorHAnsi" w:hAnsiTheme="majorHAnsi" w:cstheme="majorHAnsi"/>
          <w:szCs w:val="24"/>
        </w:rPr>
      </w:pPr>
    </w:p>
    <w:p w14:paraId="31AE9E73" w14:textId="77777777" w:rsidR="0065188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szCs w:val="24"/>
        </w:rPr>
        <w:t>The automated channels (DeepSeek, Elicit, Consensus) preserve association and evidence for every pair, but the final ontological adjudication — what counts as a modality, subtype, trigger, or umbrella — is curator-governed, consistent with the governance rules of this project.</w:t>
      </w:r>
    </w:p>
    <w:p w14:paraId="130172EE" w14:textId="77777777" w:rsidR="004B02F0" w:rsidRDefault="004B02F0" w:rsidP="009B500E">
      <w:pPr>
        <w:spacing w:after="0" w:line="240" w:lineRule="auto"/>
        <w:rPr>
          <w:rFonts w:asciiTheme="majorHAnsi" w:hAnsiTheme="majorHAnsi" w:cstheme="majorHAnsi"/>
          <w:b/>
          <w:szCs w:val="24"/>
        </w:rPr>
      </w:pPr>
    </w:p>
    <w:p w14:paraId="39A2BD13"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Limitations</w:t>
      </w:r>
    </w:p>
    <w:p w14:paraId="333C469D" w14:textId="77777777" w:rsidR="00B147AA" w:rsidRPr="009B500E" w:rsidRDefault="00000000" w:rsidP="009B500E">
      <w:pPr>
        <w:spacing w:after="0" w:line="240" w:lineRule="auto"/>
        <w:rPr>
          <w:rFonts w:asciiTheme="majorHAnsi" w:hAnsiTheme="majorHAnsi" w:cstheme="majorHAnsi"/>
          <w:szCs w:val="24"/>
        </w:rPr>
      </w:pPr>
      <w:r>
        <w:t>Two limitations are explicitly acknowledged. First, the Consensus evidence-channel classification is incomplete: 9,634 of 21,568 pairs were processed before the monthly call ceiling was reached, and the remainder will resume at the next reset; until then the third analysis is partial and the final three-way consensus is pending. Twenty-eight of the 53 RCD-related entities were not covered by the previous multi-optosis operational-definition set and therefore required RCDome-specific definition work; in the current decoder, all 53 entities have an operational definition anchored to a reference PMID.</w:t>
      </w:r>
    </w:p>
    <w:p w14:paraId="2A6DBE2B" w14:textId="77777777" w:rsidR="000B2C2A" w:rsidRPr="009B500E" w:rsidRDefault="000B2C2A" w:rsidP="009B500E">
      <w:pPr>
        <w:spacing w:after="0" w:line="240" w:lineRule="auto"/>
        <w:rPr>
          <w:rFonts w:asciiTheme="majorHAnsi" w:hAnsiTheme="majorHAnsi" w:cstheme="majorHAnsi"/>
          <w:b/>
          <w:szCs w:val="24"/>
        </w:rPr>
      </w:pPr>
    </w:p>
    <w:p w14:paraId="4F2535E3" w14:textId="77777777" w:rsidR="000B2C2A" w:rsidRPr="009B500E" w:rsidRDefault="000B2C2A" w:rsidP="009B500E">
      <w:pPr>
        <w:spacing w:after="0" w:line="240" w:lineRule="auto"/>
        <w:rPr>
          <w:rFonts w:asciiTheme="majorHAnsi" w:hAnsiTheme="majorHAnsi" w:cstheme="majorHAnsi"/>
          <w:b/>
          <w:bCs/>
          <w:szCs w:val="24"/>
        </w:rPr>
      </w:pPr>
      <w:r w:rsidRPr="009B500E">
        <w:rPr>
          <w:rFonts w:asciiTheme="majorHAnsi" w:hAnsiTheme="majorHAnsi" w:cstheme="majorHAnsi"/>
          <w:b/>
          <w:bCs/>
          <w:szCs w:val="24"/>
        </w:rPr>
        <w:t>Data and Code Availability</w:t>
      </w:r>
    </w:p>
    <w:p w14:paraId="61911D21" w14:textId="77777777" w:rsidR="000B2C2A" w:rsidRPr="009B500E" w:rsidRDefault="000B2C2A" w:rsidP="009B500E">
      <w:pPr>
        <w:spacing w:after="0" w:line="240" w:lineRule="auto"/>
        <w:rPr>
          <w:rFonts w:asciiTheme="majorHAnsi" w:hAnsiTheme="majorHAnsi" w:cstheme="majorHAnsi"/>
          <w:szCs w:val="24"/>
        </w:rPr>
      </w:pPr>
      <w:r>
        <w:t>The RCDome compendium matrix (Database S1; 22,473 rows × 71 columns), extraction pipeline, and the RCDome web application source code are available at https://github.com/BioCancerInformatics/RCDome. The 20 source databases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w:t>
      </w:r>
      <w:r w:rsidR="00603234"/>
      <w:r/>
      <w:r/>
      <w:r/>
    </w:p>
    <w:p w14:paraId="171768C3" w14:textId="77777777" w:rsidR="000B2C2A" w:rsidRPr="009B500E" w:rsidRDefault="000B2C2A" w:rsidP="009B500E">
      <w:pPr>
        <w:spacing w:after="0" w:line="240" w:lineRule="auto"/>
        <w:rPr>
          <w:rFonts w:asciiTheme="majorHAnsi" w:hAnsiTheme="majorHAnsi" w:cstheme="majorHAnsi"/>
          <w:szCs w:val="24"/>
        </w:rPr>
      </w:pPr>
    </w:p>
    <w:p w14:paraId="781AB849" w14:textId="77777777" w:rsidR="000B2C2A" w:rsidRPr="009B500E" w:rsidRDefault="000B2C2A" w:rsidP="009B500E">
      <w:pPr>
        <w:spacing w:after="0" w:line="240" w:lineRule="auto"/>
        <w:rPr>
          <w:rFonts w:asciiTheme="majorHAnsi" w:hAnsiTheme="majorHAnsi" w:cstheme="majorHAnsi"/>
          <w:b/>
          <w:szCs w:val="24"/>
        </w:rPr>
      </w:pPr>
    </w:p>
    <w:p w14:paraId="341CB23F" w14:textId="77777777" w:rsidR="00B147AA" w:rsidRDefault="00000000" w:rsidP="009B500E">
      <w:pPr>
        <w:spacing w:after="0" w:line="240" w:lineRule="auto"/>
        <w:rPr>
          <w:rFonts w:asciiTheme="majorHAnsi" w:hAnsiTheme="majorHAnsi" w:cstheme="majorHAnsi"/>
          <w:b/>
          <w:szCs w:val="24"/>
        </w:rPr>
      </w:pPr>
      <w:r w:rsidRPr="009B500E">
        <w:rPr>
          <w:rFonts w:asciiTheme="majorHAnsi" w:hAnsiTheme="majorHAnsi" w:cstheme="majorHAnsi"/>
          <w:b/>
          <w:szCs w:val="24"/>
        </w:rPr>
        <w:t>FIGURE LEGENDS</w:t>
      </w:r>
    </w:p>
    <w:p w14:paraId="4BEED9C0" w14:textId="77777777" w:rsidR="00180EB9" w:rsidRPr="009B500E" w:rsidRDefault="00180EB9" w:rsidP="009B500E">
      <w:pPr>
        <w:spacing w:after="0" w:line="240" w:lineRule="auto"/>
        <w:rPr>
          <w:rFonts w:asciiTheme="majorHAnsi" w:hAnsiTheme="majorHAnsi" w:cstheme="majorHAnsi"/>
          <w:szCs w:val="24"/>
        </w:rPr>
      </w:pPr>
    </w:p>
    <w:p w14:paraId="252483CD"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 the gene symbol followed only by “cell death” — so that evidence is retrieved without form-name priming. The three analyses are preserved in separate columns and are never conflated. The resulting consolidated matrix (22,473 rows and 71 columns) powers the RCDome web application, whose interface comprises the interactive dome, the Explore RCDome guide, the Gene Catalog, the RCD entities browser, the Network module and RCDchat. Boxes are color-coded for visual distinction, and arrows indicate the flow of data through the pipeline.</w:t>
      </w:r>
      <w:r w:rsidRPr="002E2E0A">
        <w:rPr>
          <w:rFonts w:asciiTheme="majorHAnsi" w:hAnsiTheme="majorHAnsi" w:cstheme="majorHAnsi"/>
          <w:bCs/>
          <w:szCs w:val="24"/>
        </w:rPr>
      </w:r>
    </w:p>
    <w:p w14:paraId="04E11C47" w14:textId="77777777" w:rsidR="000B2C2A" w:rsidRPr="009B500E" w:rsidRDefault="000B2C2A" w:rsidP="009B500E">
      <w:pPr>
        <w:spacing w:after="0" w:line="240" w:lineRule="auto"/>
        <w:rPr>
          <w:rFonts w:asciiTheme="majorHAnsi" w:hAnsiTheme="majorHAnsi" w:cstheme="majorHAnsi"/>
          <w:szCs w:val="24"/>
        </w:rPr>
      </w:pPr>
    </w:p>
    <w:p w14:paraId="4B068A3D" w14:textId="77777777" w:rsidR="00B147AA"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2. Benchmark evaluation of the three independent analyses.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 the self-provided loop was adopted because it requires no external reference. (B) Elicit post-export governance benchmark on the 784 records extracted across three forms (393 ferroptosis, 390 cuproptosis and 1 triaptosis): allow-list compliance improved from 75.4% to 100%, executor precision improved from 47% to 100%; after governance no unsupported EXECUTOR classification remained (all 192 were downgraded to REGULATOR), and publication traceability from 24% to 98%. (C) Consensus query-formulation benchmark against the same 26-pair benchmark set: the form-biased query reached 92% combined accuracy with 12% false positives, whereas the neutral query — the gene symbol followed only by “cell death” — reached 100% combined accuracy with zero false positives. Green bars denote combined accuracy (panels A and C) or post-governance values (panel B); salmon bars denote false positives (panels A and C) or pre-governance values (panel B).</w:t>
      </w:r>
      <w:r w:rsidRPr="009B500E">
        <w:rPr>
          <w:rFonts w:asciiTheme="majorHAnsi" w:hAnsiTheme="majorHAnsi" w:cstheme="majorHAnsi"/>
          <w:bCs/>
          <w:szCs w:val="24"/>
        </w:rPr>
      </w:r>
      <w:r w:rsidRPr="009B500E">
        <w:rPr>
          <w:rFonts w:asciiTheme="majorHAnsi" w:hAnsiTheme="majorHAnsi" w:cstheme="majorHAnsi"/>
          <w:bCs/>
          <w:szCs w:val="24"/>
        </w:rPr>
      </w:r>
    </w:p>
    <w:p w14:paraId="54F213B6" w14:textId="77777777" w:rsidR="000B2C2A" w:rsidRPr="009B500E" w:rsidRDefault="000B2C2A" w:rsidP="009B500E">
      <w:pPr>
        <w:spacing w:after="0" w:line="240" w:lineRule="auto"/>
        <w:rPr>
          <w:rFonts w:asciiTheme="majorHAnsi" w:hAnsiTheme="majorHAnsi" w:cstheme="majorHAnsi"/>
          <w:b/>
          <w:szCs w:val="24"/>
        </w:rPr>
      </w:pPr>
    </w:p>
    <w:p w14:paraId="65EB06E1" w14:textId="77777777" w:rsidR="00B147AA" w:rsidRPr="009B500E" w:rsidRDefault="00000000" w:rsidP="009B500E">
      <w:pPr>
        <w:spacing w:after="0" w:line="240" w:lineRule="auto"/>
        <w:rPr>
          <w:rFonts w:asciiTheme="majorHAnsi" w:hAnsiTheme="majorHAnsi" w:cstheme="majorHAnsi"/>
          <w:bCs/>
          <w:szCs w:val="24"/>
        </w:rPr>
      </w:pPr>
      <w:r w:rsidRPr="009B500E">
        <w:rPr>
          <w:rFonts w:asciiTheme="majorHAnsi" w:hAnsiTheme="majorHAnsi" w:cstheme="majorHAnsi"/>
          <w:b/>
          <w:szCs w:val="24"/>
        </w:rPr>
        <w:t>Figure 3. The death core and its regulatory network. (A) Role distribution across the 21,568 unique gene-RCD pairs classified by the DeepSeek chain-of-thought run: 11,605 unresolved, 9,489 regulators, 469 executors, and 5 markers. (B) Mechanistically-involved fraction by ontological level (L1 modalities, L2 subtypes, L3 triggers, L4 Functional/contextual categories, L5 Generic/umbrella/taxon concepts); the modalities carry the densest mechanistic signal (64.6%) while the Functional/contextual categories (L4) are the most dilute (23.6%), with the Generic/umbrella/taxon concepts at 31.5%. (C) Direction across all role-resolved associations: 5,070 promote and 4,755 protect (among the 9,489 regulators, 4,556 promote, 4,755 protect, and 178 have unclear direction), a near-even balance. (D) The executor core (orange, 469) drawn area-proportionally inside the regulatory network (blue, 9,489) and the unresolved associations (grey, 11,605), illustrating that the death-executing machinery is small and the regulatory network is vast.</w:t>
      </w:r>
      <w:r w:rsidRPr="009B500E">
        <w:rPr>
          <w:rFonts w:asciiTheme="majorHAnsi" w:hAnsiTheme="majorHAnsi" w:cstheme="majorHAnsi"/>
          <w:bCs/>
          <w:szCs w:val="24"/>
        </w:rPr>
      </w:r>
      <w:r w:rsidR="00705A6F">
        <w:rPr>
          <w:rFonts w:asciiTheme="majorHAnsi" w:hAnsiTheme="majorHAnsi" w:cstheme="majorHAnsi"/>
          <w:bCs/>
          <w:szCs w:val="24"/>
        </w:rPr>
      </w:r>
      <w:r w:rsidRPr="009B500E">
        <w:rPr>
          <w:rFonts w:asciiTheme="majorHAnsi" w:hAnsiTheme="majorHAnsi" w:cstheme="majorHAnsi"/>
          <w:bCs/>
          <w:szCs w:val="24"/>
        </w:rPr>
      </w:r>
    </w:p>
    <w:p w14:paraId="0473D6CF" w14:textId="77777777" w:rsidR="005739A1" w:rsidRPr="009B500E" w:rsidRDefault="005739A1" w:rsidP="009B500E">
      <w:pPr>
        <w:spacing w:after="0" w:line="240" w:lineRule="auto"/>
        <w:rPr>
          <w:rFonts w:asciiTheme="majorHAnsi" w:hAnsiTheme="majorHAnsi" w:cstheme="majorHAnsi"/>
          <w:szCs w:val="24"/>
        </w:rPr>
      </w:pPr>
    </w:p>
    <w:p w14:paraId="6B047A58" w14:textId="77777777" w:rsidR="009076EB" w:rsidRPr="009B500E" w:rsidRDefault="00000000" w:rsidP="009B500E">
      <w:pPr>
        <w:spacing w:after="0" w:line="240" w:lineRule="auto"/>
        <w:rPr>
          <w:rFonts w:asciiTheme="majorHAnsi" w:hAnsiTheme="majorHAnsi" w:cstheme="majorHAnsi"/>
          <w:szCs w:val="24"/>
        </w:rPr>
      </w:pPr>
      <w:r w:rsidRPr="009B500E">
        <w:rPr>
          <w:rFonts w:asciiTheme="majorHAnsi" w:hAnsiTheme="majorHAnsi" w:cstheme="majorHAnsi"/>
          <w:b/>
          <w:szCs w:val="24"/>
        </w:rPr>
        <w:t>Figure 4. Gene coverage of the 53 canonicalized RCD-related entities.</w:t>
      </w:r>
      <w:r w:rsidRPr="002E2E0A">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genes) and Autophagy (4,634) to Pyronecrosis (1 gene).</w:t>
      </w:r>
    </w:p>
    <w:p w14:paraId="25D6762F" w14:textId="77777777" w:rsidR="004B02F0" w:rsidRDefault="004B02F0" w:rsidP="009B500E">
      <w:pPr>
        <w:pStyle w:val="Ttulo2"/>
        <w:spacing w:before="0" w:line="240" w:lineRule="auto"/>
        <w:rPr>
          <w:rFonts w:cstheme="majorHAnsi"/>
          <w:sz w:val="24"/>
          <w:szCs w:val="24"/>
        </w:rPr>
      </w:pPr>
    </w:p>
    <w:p w14:paraId="2F80B86D" w14:textId="77777777" w:rsidR="004B02F0" w:rsidRDefault="004B02F0" w:rsidP="009B500E">
      <w:pPr>
        <w:pStyle w:val="Ttulo2"/>
        <w:spacing w:before="0" w:line="240" w:lineRule="auto"/>
        <w:rPr>
          <w:rFonts w:cstheme="majorHAnsi"/>
          <w:sz w:val="24"/>
          <w:szCs w:val="24"/>
        </w:rPr>
      </w:pPr>
    </w:p>
    <w:p w14:paraId="782FEEC8" w14:textId="77777777" w:rsidR="00180EB9" w:rsidRDefault="00180EB9" w:rsidP="009B500E">
      <w:pPr>
        <w:pStyle w:val="Ttulo2"/>
        <w:spacing w:before="0" w:line="240" w:lineRule="auto"/>
        <w:rPr>
          <w:rFonts w:cstheme="majorHAnsi"/>
          <w:sz w:val="24"/>
          <w:szCs w:val="24"/>
        </w:rPr>
        <w:sectPr w:rsidR="00180EB9" w:rsidSect="00034616">
          <w:pgSz w:w="11906" w:h="16838"/>
          <w:pgMar w:top="1417" w:right="1417" w:bottom="1417" w:left="1417" w:header="720" w:footer="720" w:gutter="0"/>
          <w:cols w:space="720"/>
          <w:docGrid w:linePitch="360"/>
        </w:sectPr>
      </w:pPr>
    </w:p>
    <w:p w14:paraId="61E86FE8" w14:textId="77777777" w:rsidR="00764347" w:rsidRDefault="00180EB9" w:rsidP="009B500E">
      <w:pPr>
        <w:pStyle w:val="Ttulo2"/>
        <w:spacing w:before="0" w:line="240" w:lineRule="auto"/>
        <w:rPr>
          <w:rFonts w:cstheme="majorHAnsi"/>
          <w:sz w:val="24"/>
          <w:szCs w:val="24"/>
        </w:rPr>
      </w:pPr>
      <w:r w:rsidRPr="009B500E">
        <w:rPr>
          <w:rFonts w:cstheme="majorHAnsi"/>
          <w:sz w:val="24"/>
          <w:szCs w:val="24"/>
        </w:rPr>
        <w:lastRenderedPageBreak/>
        <w:t>REFERENCES</w:t>
      </w:r>
    </w:p>
    <w:p w14:paraId="2D19FDDC" w14:textId="77777777" w:rsidR="00180EB9" w:rsidRPr="00180EB9" w:rsidRDefault="00180EB9" w:rsidP="00180EB9"/>
    <w:p w14:paraId="592CADF2"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1 Galluzzi L., Vitale I., Aaronson S. A., Abrams J. M., Adam D., Agostinis P., et al. (2018). Molecular mechanisms of cell death: recommendations of the Nomenclature Committee on Cell Death 2018. Cell Death Differ 25(3): 486-541.</w:t>
      </w:r>
    </w:p>
    <w:p w14:paraId="221A12A1"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2 Ghaderi D., Sahimi A., Esser B., Ruggles K. V. and Maimon R. (2026). Why biology must prioritize data reanalysis in the era of artificial intelligence. PLoS Biol 24(7): e3003888.</w:t>
      </w:r>
    </w:p>
    <w:p w14:paraId="5D496BAD" w14:textId="77777777" w:rsidR="005F5CFD" w:rsidRPr="009B500E" w:rsidRDefault="005F5CFD" w:rsidP="009B500E">
      <w:pPr>
        <w:pStyle w:val="EndNoteBibliography"/>
        <w:spacing w:after="0"/>
        <w:rPr>
          <w:rFonts w:asciiTheme="majorHAnsi" w:hAnsiTheme="majorHAnsi" w:cstheme="majorHAnsi"/>
          <w:szCs w:val="24"/>
          <w:lang w:val="fr-029"/>
        </w:rPr>
      </w:pPr>
      <w:r w:rsidRPr="009B500E">
        <w:rPr>
          <w:rFonts w:asciiTheme="majorHAnsi" w:hAnsiTheme="majorHAnsi" w:cstheme="majorHAnsi"/>
          <w:szCs w:val="24"/>
        </w:rPr>
        <w:t xml:space="preserve">3 Pandian N. and Kanneganti T. D. (2022). PANoptosis: A Unique Innate Immune Inflammatory Cell Death Modality. </w:t>
      </w:r>
      <w:r w:rsidRPr="009B500E">
        <w:rPr>
          <w:rFonts w:asciiTheme="majorHAnsi" w:hAnsiTheme="majorHAnsi" w:cstheme="majorHAnsi"/>
          <w:szCs w:val="24"/>
          <w:lang w:val="fr-029"/>
        </w:rPr>
        <w:t>J Immunol 209(9): 1625-1633.</w:t>
      </w:r>
    </w:p>
    <w:p w14:paraId="64B4A6BC"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fr-029"/>
        </w:rPr>
        <w:t xml:space="preserve">4 Perez-Riverol Y., Zorin A., Dass G., Vu M. T., Xu P., Glont M., et al. </w:t>
      </w:r>
      <w:r w:rsidRPr="009B500E">
        <w:rPr>
          <w:rFonts w:asciiTheme="majorHAnsi" w:hAnsiTheme="majorHAnsi" w:cstheme="majorHAnsi"/>
          <w:szCs w:val="24"/>
          <w:lang w:val="pt-BR"/>
        </w:rPr>
        <w:t>(2019). Quantifying the impact of public omics data. Nat Commun 10(1): 3512.</w:t>
      </w:r>
    </w:p>
    <w:p w14:paraId="016D60CE" w14:textId="77777777" w:rsidR="005F5CFD" w:rsidRPr="009B500E" w:rsidRDefault="005F5CFD" w:rsidP="009B500E">
      <w:pPr>
        <w:pStyle w:val="EndNoteBibliography"/>
        <w:spacing w:after="0"/>
        <w:rPr>
          <w:rFonts w:asciiTheme="majorHAnsi" w:hAnsiTheme="majorHAnsi" w:cstheme="majorHAnsi"/>
          <w:szCs w:val="24"/>
          <w:lang w:val="pt-BR"/>
        </w:rPr>
      </w:pPr>
      <w:r w:rsidRPr="009B500E">
        <w:rPr>
          <w:rFonts w:asciiTheme="majorHAnsi" w:hAnsiTheme="majorHAnsi" w:cstheme="majorHAnsi"/>
          <w:szCs w:val="24"/>
          <w:lang w:val="pt-BR"/>
        </w:rPr>
        <w:t xml:space="preserve">5 Rodrigues de Souza E., Almeida Cordeiro Nogueira H., da Silva Francisco Junior R., Garcia A. B. and Medina-Acosta E. (2025). </w:t>
      </w:r>
      <w:r w:rsidRPr="009B500E">
        <w:rPr>
          <w:rFonts w:asciiTheme="majorHAnsi" w:hAnsiTheme="majorHAnsi" w:cstheme="majorHAnsi"/>
          <w:szCs w:val="24"/>
        </w:rPr>
        <w:t xml:space="preserve">Integrated multi-optosis model for pan-cancer candidate biomarker and therapy target discovery. </w:t>
      </w:r>
      <w:r w:rsidRPr="009B500E">
        <w:rPr>
          <w:rFonts w:asciiTheme="majorHAnsi" w:hAnsiTheme="majorHAnsi" w:cstheme="majorHAnsi"/>
          <w:szCs w:val="24"/>
          <w:lang w:val="pt-BR"/>
        </w:rPr>
        <w:t>Front Bioinform 5: 1630518.</w:t>
      </w:r>
    </w:p>
    <w:p w14:paraId="5C275E87"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pt-BR"/>
        </w:rPr>
        <w:t xml:space="preserve">6 Rodrigues de Souza E., Almeida Cordeiro Nogueira H., dos Santos Lopes V. and Medina-Acosta E. (2026). </w:t>
      </w:r>
      <w:r w:rsidRPr="009B500E">
        <w:rPr>
          <w:rFonts w:asciiTheme="majorHAnsi" w:hAnsiTheme="majorHAnsi" w:cstheme="majorHAnsi"/>
          <w:szCs w:val="24"/>
        </w:rPr>
        <w:t>A Pan-Cancer Multi-Omic SuperLearner for Regulated Cell Death Survival Topologies. bioRxiv: 2026.2005.2029.728842.</w:t>
      </w:r>
    </w:p>
    <w:p w14:paraId="6D625AE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lang w:val="de-DE"/>
        </w:rPr>
        <w:t xml:space="preserve">7 Wang X., Wang Q., Zhao J., Chen J., Wu R., Pan J., et al. </w:t>
      </w:r>
      <w:r w:rsidRPr="009B500E">
        <w:rPr>
          <w:rFonts w:asciiTheme="majorHAnsi" w:hAnsiTheme="majorHAnsi" w:cstheme="majorHAnsi"/>
          <w:szCs w:val="24"/>
        </w:rPr>
        <w:t>(2024). RCDdb: A manually curated database and analysis platform for regulated cell death. Comput Struct Biotechnol J 23: 3211-3221.</w:t>
      </w:r>
    </w:p>
    <w:p w14:paraId="71453603"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8 Zhang W., Zhu Y., Liu H., Zhang Y., Liu H., Adegboro A. A., et al. (2024). Pan-cancer evaluation of regulated cell death to predict overall survival and immune checkpoint inhibitor response. NPJ Precis Oncol 8(1): 77.</w:t>
      </w:r>
    </w:p>
    <w:p w14:paraId="07360E00" w14:textId="77777777" w:rsidR="005F5CFD" w:rsidRPr="009B500E" w:rsidRDefault="005F5CFD" w:rsidP="009B500E">
      <w:pPr>
        <w:pStyle w:val="EndNoteBibliography"/>
        <w:spacing w:after="0"/>
        <w:rPr>
          <w:rFonts w:asciiTheme="majorHAnsi" w:hAnsiTheme="majorHAnsi" w:cstheme="majorHAnsi"/>
          <w:szCs w:val="24"/>
        </w:rPr>
      </w:pPr>
      <w:r w:rsidRPr="009B500E">
        <w:rPr>
          <w:rFonts w:asciiTheme="majorHAnsi" w:hAnsiTheme="majorHAnsi" w:cstheme="majorHAnsi"/>
          <w:szCs w:val="24"/>
        </w:rPr>
        <w:t>9 Zhou N., Peng L., Luo Q., Yin T., Sun H., Zhang Y., et al. (2026). FerrDb V3: expanding the manually curated resource for regulators and disease associations from ferroptosis to regulated cell death. Nucleic Acids Res 54(D1): D572-D582.</w:t>
      </w:r>
    </w:p>
    <w:p w14:paraId="3FC3C1AF" w14:textId="77777777" w:rsidR="0013202B" w:rsidRPr="009B500E" w:rsidRDefault="00921C18" w:rsidP="009B500E">
      <w:pPr>
        <w:spacing w:after="0" w:line="240" w:lineRule="auto"/>
        <w:rPr>
          <w:rFonts w:asciiTheme="majorHAnsi" w:hAnsiTheme="majorHAnsi" w:cstheme="majorHAnsi"/>
          <w:szCs w:val="24"/>
        </w:rPr>
      </w:pPr>
      <w:r w:rsidRPr="009B500E">
        <w:rPr>
          <w:rFonts w:asciiTheme="majorHAnsi" w:hAnsiTheme="majorHAnsi" w:cstheme="majorHAnsi"/>
          <w:szCs w:val="24"/>
        </w:rPr>
        <w:t>10 Zhou S., Huang Y., Xing J., Zhou X., Chen S., Chen J., Wang L., Jiang W. (2023). ncFO: A comprehensive resource of curated and predicted ncRNAs associated with ferroptosis. Genomics Proteomics Bioinformatics 21(2): 278-282.</w:t>
      </w:r>
    </w:p>
    <w:p w14:paraId="53EA2C71" w14:textId="77777777" w:rsidR="00B147AA" w:rsidRPr="009B500E" w:rsidRDefault="00B147AA" w:rsidP="009B500E">
      <w:pPr>
        <w:spacing w:after="0" w:line="240" w:lineRule="auto"/>
        <w:rPr>
          <w:rFonts w:asciiTheme="majorHAnsi" w:hAnsiTheme="majorHAnsi" w:cstheme="majorHAnsi"/>
          <w:szCs w:val="24"/>
        </w:rPr>
      </w:pPr>
    </w:p>
    <w:p w14:paraId="59B7CB08" w14:textId="77777777" w:rsidR="00764347" w:rsidRPr="009B500E" w:rsidRDefault="00764347" w:rsidP="009B500E">
      <w:pPr>
        <w:spacing w:after="0" w:line="240" w:lineRule="auto"/>
        <w:rPr>
          <w:rFonts w:asciiTheme="majorHAnsi" w:hAnsiTheme="majorHAnsi" w:cstheme="majorHAnsi"/>
          <w:b/>
          <w:bCs/>
          <w:szCs w:val="24"/>
        </w:rPr>
      </w:pPr>
    </w:p>
    <w:sectPr w:rsidR="00764347" w:rsidRPr="009B500E" w:rsidSect="00034616">
      <w:pgSz w:w="11906" w:h="16838"/>
      <w:pgMar w:top="1417" w:right="1417" w:bottom="1417" w:left="1417"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nrique Medina-Acosta" w:date="2026-09-12T18:07:00Z" w:initials="EM">
    <w:p w14:paraId="142CE38E" w14:textId="22A0E58B" w:rsidR="002E2E0A" w:rsidRDefault="002E2E0A">
      <w:pPr>
        <w:pStyle w:val="Textodecomentrio"/>
      </w:pPr>
      <w:r>
        <w:rPr>
          <w:rStyle w:val="Refdecomentrio"/>
        </w:rPr>
        <w:annotationRef/>
      </w:r>
      <w:r>
        <w:t xml:space="preserve">Really three which includes the expert adjudication (manual verification). </w:t>
      </w:r>
      <w:proofErr w:type="spellStart"/>
      <w:r>
        <w:t>MJst</w:t>
      </w:r>
      <w:proofErr w:type="spellEnd"/>
      <w:r>
        <w:t xml:space="preserve"> </w:t>
      </w:r>
      <w:proofErr w:type="spellStart"/>
      <w:r>
        <w:t>reientegraye</w:t>
      </w:r>
      <w:proofErr w:type="spellEnd"/>
      <w:r>
        <w:t xml:space="preserve"> </w:t>
      </w:r>
      <w:proofErr w:type="spellStart"/>
      <w:r>
        <w:t>witht</w:t>
      </w:r>
      <w:proofErr w:type="spellEnd"/>
      <w:r>
        <w:t xml:space="preserve"> eh </w:t>
      </w:r>
      <w:proofErr w:type="spellStart"/>
      <w:r>
        <w:t>asjuducaio</w:t>
      </w:r>
      <w:proofErr w:type="spellEnd"/>
      <w:r>
        <w:t xml:space="preserve"> </w:t>
      </w:r>
      <w:proofErr w:type="spellStart"/>
      <w:r>
        <w:t>rsualys</w:t>
      </w:r>
      <w:proofErr w:type="spellEnd"/>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2CE38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CB241AE" w16cex:dateUtc="2026-09-12T23: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2CE38E" w16cid:durableId="3CB241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DC935" w14:textId="77777777" w:rsidR="008725B9" w:rsidRDefault="008725B9" w:rsidP="007B760F">
      <w:pPr>
        <w:spacing w:after="0" w:line="240" w:lineRule="auto"/>
      </w:pPr>
      <w:r>
        <w:separator/>
      </w:r>
    </w:p>
  </w:endnote>
  <w:endnote w:type="continuationSeparator" w:id="0">
    <w:p w14:paraId="5EBBB3CF" w14:textId="77777777" w:rsidR="008725B9" w:rsidRDefault="008725B9"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6674F" w14:textId="77777777" w:rsidR="008725B9" w:rsidRDefault="008725B9" w:rsidP="007B760F">
      <w:pPr>
        <w:spacing w:after="0" w:line="240" w:lineRule="auto"/>
      </w:pPr>
      <w:r>
        <w:separator/>
      </w:r>
    </w:p>
  </w:footnote>
  <w:footnote w:type="continuationSeparator" w:id="0">
    <w:p w14:paraId="34AB2DB3" w14:textId="77777777" w:rsidR="008725B9" w:rsidRDefault="008725B9"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55CF67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10C33A0D"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nrique Medina-Acosta">
    <w15:presenceInfo w15:providerId="Windows Live" w15:userId="9c9d5c308c6afd8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aoFAHthmIw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113C4"/>
    <w:rsid w:val="00015DDB"/>
    <w:rsid w:val="00034616"/>
    <w:rsid w:val="00046DDD"/>
    <w:rsid w:val="0006063C"/>
    <w:rsid w:val="000664F9"/>
    <w:rsid w:val="00074187"/>
    <w:rsid w:val="00080633"/>
    <w:rsid w:val="00086164"/>
    <w:rsid w:val="000866BF"/>
    <w:rsid w:val="00087C1F"/>
    <w:rsid w:val="000A3379"/>
    <w:rsid w:val="000A4666"/>
    <w:rsid w:val="000A7619"/>
    <w:rsid w:val="000B2C2A"/>
    <w:rsid w:val="000C31F5"/>
    <w:rsid w:val="000C564C"/>
    <w:rsid w:val="000C5913"/>
    <w:rsid w:val="000C7EE5"/>
    <w:rsid w:val="000E73A4"/>
    <w:rsid w:val="000F5DEE"/>
    <w:rsid w:val="001045DA"/>
    <w:rsid w:val="0011206F"/>
    <w:rsid w:val="0012097B"/>
    <w:rsid w:val="0013202B"/>
    <w:rsid w:val="00142F60"/>
    <w:rsid w:val="0015074B"/>
    <w:rsid w:val="00162DC1"/>
    <w:rsid w:val="001761FA"/>
    <w:rsid w:val="00177951"/>
    <w:rsid w:val="001779F6"/>
    <w:rsid w:val="001800ED"/>
    <w:rsid w:val="00180EB9"/>
    <w:rsid w:val="00187DB0"/>
    <w:rsid w:val="0019489D"/>
    <w:rsid w:val="001C0439"/>
    <w:rsid w:val="001C3B9A"/>
    <w:rsid w:val="001D4FC0"/>
    <w:rsid w:val="001E0E68"/>
    <w:rsid w:val="001F6597"/>
    <w:rsid w:val="001F6A83"/>
    <w:rsid w:val="002068DF"/>
    <w:rsid w:val="00211292"/>
    <w:rsid w:val="0021654E"/>
    <w:rsid w:val="0022059B"/>
    <w:rsid w:val="002227B6"/>
    <w:rsid w:val="00223010"/>
    <w:rsid w:val="00230384"/>
    <w:rsid w:val="0023385D"/>
    <w:rsid w:val="002432F8"/>
    <w:rsid w:val="002469FE"/>
    <w:rsid w:val="00264E95"/>
    <w:rsid w:val="00264F46"/>
    <w:rsid w:val="0026702C"/>
    <w:rsid w:val="00267451"/>
    <w:rsid w:val="002705CC"/>
    <w:rsid w:val="00275E31"/>
    <w:rsid w:val="0029639D"/>
    <w:rsid w:val="002A6C84"/>
    <w:rsid w:val="002C584C"/>
    <w:rsid w:val="002E19E0"/>
    <w:rsid w:val="002E2E0A"/>
    <w:rsid w:val="002E33E8"/>
    <w:rsid w:val="002E5FF2"/>
    <w:rsid w:val="002E6434"/>
    <w:rsid w:val="002E6683"/>
    <w:rsid w:val="002F1AA1"/>
    <w:rsid w:val="002F5184"/>
    <w:rsid w:val="00304AEF"/>
    <w:rsid w:val="0030592D"/>
    <w:rsid w:val="00324D4C"/>
    <w:rsid w:val="003263A0"/>
    <w:rsid w:val="00326F90"/>
    <w:rsid w:val="003271F9"/>
    <w:rsid w:val="00333DF6"/>
    <w:rsid w:val="00334F5E"/>
    <w:rsid w:val="00353D70"/>
    <w:rsid w:val="00364152"/>
    <w:rsid w:val="00380C55"/>
    <w:rsid w:val="00380FBB"/>
    <w:rsid w:val="00381A47"/>
    <w:rsid w:val="00381DF2"/>
    <w:rsid w:val="00391E4B"/>
    <w:rsid w:val="003A135D"/>
    <w:rsid w:val="003A2688"/>
    <w:rsid w:val="003A4BA7"/>
    <w:rsid w:val="003B5CD4"/>
    <w:rsid w:val="003C4DF7"/>
    <w:rsid w:val="003D5F5C"/>
    <w:rsid w:val="003F3DE6"/>
    <w:rsid w:val="0041302C"/>
    <w:rsid w:val="00427439"/>
    <w:rsid w:val="00442ADB"/>
    <w:rsid w:val="0044319E"/>
    <w:rsid w:val="00444E7A"/>
    <w:rsid w:val="004450FD"/>
    <w:rsid w:val="00447C46"/>
    <w:rsid w:val="00451C06"/>
    <w:rsid w:val="00463DD3"/>
    <w:rsid w:val="00466538"/>
    <w:rsid w:val="004679FC"/>
    <w:rsid w:val="004708B6"/>
    <w:rsid w:val="0048064C"/>
    <w:rsid w:val="00491367"/>
    <w:rsid w:val="00495FA3"/>
    <w:rsid w:val="004A5E2F"/>
    <w:rsid w:val="004B02F0"/>
    <w:rsid w:val="004B5F51"/>
    <w:rsid w:val="004B7A26"/>
    <w:rsid w:val="004B7B0B"/>
    <w:rsid w:val="004C02C6"/>
    <w:rsid w:val="004C0F76"/>
    <w:rsid w:val="004C566E"/>
    <w:rsid w:val="004C6F14"/>
    <w:rsid w:val="004E0678"/>
    <w:rsid w:val="004E36FF"/>
    <w:rsid w:val="004E777D"/>
    <w:rsid w:val="004E7824"/>
    <w:rsid w:val="00505C00"/>
    <w:rsid w:val="00516472"/>
    <w:rsid w:val="00521B54"/>
    <w:rsid w:val="00526657"/>
    <w:rsid w:val="00533B0E"/>
    <w:rsid w:val="00536338"/>
    <w:rsid w:val="00541EEE"/>
    <w:rsid w:val="00570905"/>
    <w:rsid w:val="005739A1"/>
    <w:rsid w:val="005874C2"/>
    <w:rsid w:val="00593999"/>
    <w:rsid w:val="005A2A6D"/>
    <w:rsid w:val="005A5325"/>
    <w:rsid w:val="005A7DAD"/>
    <w:rsid w:val="005B369D"/>
    <w:rsid w:val="005C4538"/>
    <w:rsid w:val="005E1CBD"/>
    <w:rsid w:val="005E2A6F"/>
    <w:rsid w:val="005E3A73"/>
    <w:rsid w:val="005E4420"/>
    <w:rsid w:val="005F5CFD"/>
    <w:rsid w:val="00603234"/>
    <w:rsid w:val="00612139"/>
    <w:rsid w:val="006246B9"/>
    <w:rsid w:val="00635000"/>
    <w:rsid w:val="00637146"/>
    <w:rsid w:val="006408EE"/>
    <w:rsid w:val="0065188A"/>
    <w:rsid w:val="00655A19"/>
    <w:rsid w:val="00661FF5"/>
    <w:rsid w:val="00664FD0"/>
    <w:rsid w:val="00670D3F"/>
    <w:rsid w:val="0067483C"/>
    <w:rsid w:val="00676F2A"/>
    <w:rsid w:val="00685507"/>
    <w:rsid w:val="00694743"/>
    <w:rsid w:val="006A1146"/>
    <w:rsid w:val="006B0346"/>
    <w:rsid w:val="006C3B9E"/>
    <w:rsid w:val="006C42F9"/>
    <w:rsid w:val="006D136A"/>
    <w:rsid w:val="006D380F"/>
    <w:rsid w:val="00705A6F"/>
    <w:rsid w:val="00707921"/>
    <w:rsid w:val="00713BFF"/>
    <w:rsid w:val="00713EBB"/>
    <w:rsid w:val="00717B91"/>
    <w:rsid w:val="0072338A"/>
    <w:rsid w:val="00730A40"/>
    <w:rsid w:val="00731F91"/>
    <w:rsid w:val="007433C5"/>
    <w:rsid w:val="007478A9"/>
    <w:rsid w:val="0075796D"/>
    <w:rsid w:val="00760A8E"/>
    <w:rsid w:val="00764347"/>
    <w:rsid w:val="00777BD4"/>
    <w:rsid w:val="00783422"/>
    <w:rsid w:val="0078506A"/>
    <w:rsid w:val="00786491"/>
    <w:rsid w:val="00795995"/>
    <w:rsid w:val="007B760F"/>
    <w:rsid w:val="007B7E51"/>
    <w:rsid w:val="007C2253"/>
    <w:rsid w:val="008046DE"/>
    <w:rsid w:val="00810D11"/>
    <w:rsid w:val="0081379F"/>
    <w:rsid w:val="008147BF"/>
    <w:rsid w:val="00816B6F"/>
    <w:rsid w:val="00830D18"/>
    <w:rsid w:val="00840E12"/>
    <w:rsid w:val="00864C50"/>
    <w:rsid w:val="00871351"/>
    <w:rsid w:val="00871F46"/>
    <w:rsid w:val="008725B9"/>
    <w:rsid w:val="00896617"/>
    <w:rsid w:val="00897A3F"/>
    <w:rsid w:val="008A62B5"/>
    <w:rsid w:val="00901630"/>
    <w:rsid w:val="0090277D"/>
    <w:rsid w:val="009045FD"/>
    <w:rsid w:val="009076EB"/>
    <w:rsid w:val="0091541F"/>
    <w:rsid w:val="00916CE4"/>
    <w:rsid w:val="00917D83"/>
    <w:rsid w:val="00921C18"/>
    <w:rsid w:val="00925876"/>
    <w:rsid w:val="00931779"/>
    <w:rsid w:val="00935B55"/>
    <w:rsid w:val="00947DDC"/>
    <w:rsid w:val="00980C69"/>
    <w:rsid w:val="0098148B"/>
    <w:rsid w:val="00985363"/>
    <w:rsid w:val="00993354"/>
    <w:rsid w:val="009A2EA1"/>
    <w:rsid w:val="009A3061"/>
    <w:rsid w:val="009A460B"/>
    <w:rsid w:val="009B14C2"/>
    <w:rsid w:val="009B500E"/>
    <w:rsid w:val="009C5F08"/>
    <w:rsid w:val="00A00534"/>
    <w:rsid w:val="00A224F5"/>
    <w:rsid w:val="00A24850"/>
    <w:rsid w:val="00A30E1D"/>
    <w:rsid w:val="00A3490D"/>
    <w:rsid w:val="00A36429"/>
    <w:rsid w:val="00A4745B"/>
    <w:rsid w:val="00A63D1A"/>
    <w:rsid w:val="00A82408"/>
    <w:rsid w:val="00A82E1A"/>
    <w:rsid w:val="00A840DC"/>
    <w:rsid w:val="00AA1D8D"/>
    <w:rsid w:val="00AA511A"/>
    <w:rsid w:val="00AB0CA0"/>
    <w:rsid w:val="00AB48D6"/>
    <w:rsid w:val="00AC138D"/>
    <w:rsid w:val="00AC1A2B"/>
    <w:rsid w:val="00AE6AFF"/>
    <w:rsid w:val="00B04B4F"/>
    <w:rsid w:val="00B13B32"/>
    <w:rsid w:val="00B147AA"/>
    <w:rsid w:val="00B204AE"/>
    <w:rsid w:val="00B231C6"/>
    <w:rsid w:val="00B32292"/>
    <w:rsid w:val="00B32DFC"/>
    <w:rsid w:val="00B47730"/>
    <w:rsid w:val="00B731FF"/>
    <w:rsid w:val="00B7740E"/>
    <w:rsid w:val="00B82BB0"/>
    <w:rsid w:val="00B86FC4"/>
    <w:rsid w:val="00B9076D"/>
    <w:rsid w:val="00B930D3"/>
    <w:rsid w:val="00B966FA"/>
    <w:rsid w:val="00B97F4B"/>
    <w:rsid w:val="00BA2B2A"/>
    <w:rsid w:val="00BB5EC5"/>
    <w:rsid w:val="00BC2B1E"/>
    <w:rsid w:val="00BC2C18"/>
    <w:rsid w:val="00BC306B"/>
    <w:rsid w:val="00BD21B6"/>
    <w:rsid w:val="00BD7710"/>
    <w:rsid w:val="00BF0B02"/>
    <w:rsid w:val="00C00F6A"/>
    <w:rsid w:val="00C10047"/>
    <w:rsid w:val="00C11CC9"/>
    <w:rsid w:val="00C22E1A"/>
    <w:rsid w:val="00C26D91"/>
    <w:rsid w:val="00C347D2"/>
    <w:rsid w:val="00C54FC4"/>
    <w:rsid w:val="00C73316"/>
    <w:rsid w:val="00C84588"/>
    <w:rsid w:val="00C853F2"/>
    <w:rsid w:val="00C9752A"/>
    <w:rsid w:val="00C97EE4"/>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D01B24"/>
    <w:rsid w:val="00D11423"/>
    <w:rsid w:val="00D116F4"/>
    <w:rsid w:val="00D12587"/>
    <w:rsid w:val="00D16F02"/>
    <w:rsid w:val="00D569A8"/>
    <w:rsid w:val="00D710BD"/>
    <w:rsid w:val="00D71E3F"/>
    <w:rsid w:val="00D75735"/>
    <w:rsid w:val="00D87307"/>
    <w:rsid w:val="00DA091E"/>
    <w:rsid w:val="00DD6AA9"/>
    <w:rsid w:val="00DE0257"/>
    <w:rsid w:val="00DF7BA4"/>
    <w:rsid w:val="00E11301"/>
    <w:rsid w:val="00E23161"/>
    <w:rsid w:val="00E31565"/>
    <w:rsid w:val="00E33A79"/>
    <w:rsid w:val="00E4335B"/>
    <w:rsid w:val="00E54383"/>
    <w:rsid w:val="00E61543"/>
    <w:rsid w:val="00E7670C"/>
    <w:rsid w:val="00E82E99"/>
    <w:rsid w:val="00E859DE"/>
    <w:rsid w:val="00E91B38"/>
    <w:rsid w:val="00EA6C20"/>
    <w:rsid w:val="00EA778E"/>
    <w:rsid w:val="00EB23ED"/>
    <w:rsid w:val="00EC5F2D"/>
    <w:rsid w:val="00ED79E0"/>
    <w:rsid w:val="00EF0CC9"/>
    <w:rsid w:val="00EF1CCE"/>
    <w:rsid w:val="00EF63EC"/>
    <w:rsid w:val="00F21EC4"/>
    <w:rsid w:val="00F41A82"/>
    <w:rsid w:val="00F42F0E"/>
    <w:rsid w:val="00F46D86"/>
    <w:rsid w:val="00F51FFA"/>
    <w:rsid w:val="00F70510"/>
    <w:rsid w:val="00F7090A"/>
    <w:rsid w:val="00F75A43"/>
    <w:rsid w:val="00F83CAB"/>
    <w:rsid w:val="00FA7725"/>
    <w:rsid w:val="00FB41C5"/>
    <w:rsid w:val="00FC261A"/>
    <w:rsid w:val="00FC693F"/>
    <w:rsid w:val="00FD2A2E"/>
    <w:rsid w:val="00FD37F8"/>
    <w:rsid w:val="00FF2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413904C"/>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C2A"/>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pcm2019.shinyapps.io/XDeathDB"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microsoft.com/office/2011/relationships/commentsExtended" Target="commentsExtended.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hyperlink" Target="https://github.com/BioCancerInformatics/RCDome" TargetMode="Externa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49" Type="http://schemas.openxmlformats.org/officeDocument/2006/relationships/theme" Target="theme/theme1.xm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microsoft.com/office/2016/09/relationships/commentsIds" Target="commentsIds.xml"/><Relationship Id="rId48" Type="http://schemas.microsoft.com/office/2011/relationships/people" Target="people.xm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rest.genenames.org" TargetMode="External"/><Relationship Id="rId46" Type="http://schemas.openxmlformats.org/officeDocument/2006/relationships/hyperlink" Target="https://github.com/BioCancerInformatics/RCDome" TargetMode="External"/><Relationship Id="rId20" Type="http://schemas.openxmlformats.org/officeDocument/2006/relationships/hyperlink" Target="http://auto2disease.nwsuaflmz.com" TargetMode="External"/><Relationship Id="rId41" Type="http://schemas.openxmlformats.org/officeDocument/2006/relationships/comments" Target="comments.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674</TotalTime>
  <Pages>1</Pages>
  <Words>17781</Words>
  <Characters>97798</Characters>
  <Application>Microsoft Office Word</Application>
  <DocSecurity>0</DocSecurity>
  <Lines>814</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115349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152</cp:revision>
  <dcterms:created xsi:type="dcterms:W3CDTF">2013-12-23T23:15:00Z</dcterms:created>
  <dcterms:modified xsi:type="dcterms:W3CDTF">2026-09-12T23:08:00Z</dcterms:modified>
  <cp:category/>
</cp:coreProperties>
</file>