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All extraction scripts are available in the extraction code snippets/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(5, blue), L3 triggers (2, green), L4 Functional/contextual (11, purple), and L5 Generic/umbrella/legacy/taxon/emerging (19,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 xml:space="preserve">The </w:t>
      </w:r>
      <w:r w:rsidR="00603234">
        <w:t xml:space="preserve">RCDome </w:t>
      </w:r>
      <w:r>
        <w:t xml:space="preserve">compendium matrix (Database S1; 22,473 rows × 71 columns), extraction pipeline, and the RCDome web application source code are available at </w:t>
      </w:r>
      <w:hyperlink r:id="rId46" w:history="1">
        <w:r w:rsidR="00603234" w:rsidRPr="008258AF">
          <w:rPr>
            <w:rStyle w:val="Hyperlink"/>
          </w:rPr>
          <w:t>https://github.com/BioCancerInformatics/RCDome</w:t>
        </w:r>
      </w:hyperlink>
      <w:r>
        <w:t xml:space="preserve">. The 20 source databases are publicly </w:t>
      </w:r>
      <w:r>
        <w:lastRenderedPageBreak/>
        <w:t>accessible at the URLs listed in Supplementary Table S2. All extraction scripts, integration code, and the RCDome Shiny application source code are available at. The complete extraction pipeline is orchestrated by master_extract.py, which executes all 21 channel_*.py extraction scripts in sequence, producing timestamped, traceability-compliant CSV outputs in the output databases/ directory. The repository also includes automated smoke tests with continuous integration that verify the mechanistic classification mapping, the chain-of-thought governance rules, and the benchmark scoring.</w:t>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