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C02067">
        <w:rPr>
          <w:rFonts w:asciiTheme="majorHAnsi" w:hAnsiTheme="majorHAnsi" w:cstheme="majorHAnsi"/>
          <w:szCs w:val="24"/>
          <w:highlight w:val="green"/>
        </w:rPr>
        <w:t>Supplementary Note S3</w:t>
      </w:r>
      <w:r w:rsidRPr="002D15AA">
        <w:rPr>
          <w:rFonts w:asciiTheme="majorHAnsi" w:hAnsiTheme="majorHAnsi" w:cstheme="majorHAnsi"/>
          <w:szCs w:val="24"/>
        </w:rPr>
        <w:t xml:space="preserve">; Figure 2C). The full extraction </w:t>
      </w:r>
      <w:r w:rsidRPr="002D15AA">
        <w:rPr>
          <w:rFonts w:asciiTheme="majorHAnsi" w:hAnsiTheme="majorHAnsi" w:cstheme="majorHAnsi"/>
          <w:szCs w:val="24"/>
        </w:rPr>
        <w:lastRenderedPageBreak/>
        <w:t>runs over all 21,568 unique pairs with a checkpoint file for resumption, subject to a monthly call ceiling.</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