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t>cell-type-specific and differentiation-associated phenomena); L5 (generic/umbrella/generic/umbrella/taxon).</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generic/umbrella/generic/umbrella/taxon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pPr/>
      <w:r>
        <w:t>Supplementary Figure S1. Evaluation architecture of RCDome V026. RCDome decomposes its curation into three objects that answer distinct scientific questions and are therefore assessed independently and never conflated. (A) The RCD entity — what kind of cell-death entity is this? — is classified biologically and ontologically through modality criteria (MC1–MC5: machinery, trigger, morphology, nomenclature, distinguishability), an evidence checklist (Q1–Q13), biological gates (BG0–BG6, with G1 machinery and G2 necessity obligatory), and a final ontological level (L1–L5); complementary descriptors record evidence maturity, species scope, relationship type, and parent entity. (B) The gene–RCD association — is gene X mechanistically linked to this entity? — is qualified by evidence tier (ET1–ET4) and a distinct confidence tier (CT1–CT4 or confidence_score), and annotated with mechanistic role and direction (EXECUTOR, REGULATOR, MARKER; positive/negative/mixed). (C) Pipeline quality — can the automated extraction be trusted? — is assessed through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Supplementary Figure S2. 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r w:rsidRPr="00CD1CF5">
        <w:rPr>
          <w:rFonts w:asciiTheme="majorHAnsi" w:hAnsiTheme="majorHAnsi" w:cstheme="majorHAnsi"/>
          <w:bCs/>
          <w:szCs w:val="24"/>
        </w:rPr>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r w:rsidRPr="00FE7B70">
        <w:rPr>
          <w:rFonts w:asciiTheme="majorHAnsi" w:hAnsiTheme="majorHAnsi" w:cstheme="majorHAnsi"/>
          <w:bCs/>
          <w:szCs w:val="24"/>
        </w:rPr>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