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 the complete evaluation architecture — RCD entity classification, gene–RCD association evidence, and pipeline Elicit governance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(0.25·RS1 + 0.25·RS2 + 0.20·RS3 + 0.15·RS4 + 0.10·RS5 + 0.05·RS6) recomputed bitwise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7–10, CT2 = 4–6, CT3 = 2–3, CT4 = 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