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5922C" w14:textId="77777777" w:rsidR="00925876" w:rsidRPr="002D15AA" w:rsidRDefault="00921C18" w:rsidP="002D15AA">
      <w:pPr>
        <w:pStyle w:val="Ttulo1"/>
        <w:spacing w:before="0" w:line="240" w:lineRule="auto"/>
        <w:rPr>
          <w:rFonts w:cstheme="majorHAnsi"/>
          <w:sz w:val="24"/>
          <w:szCs w:val="24"/>
        </w:rPr>
      </w:pPr>
      <w:r w:rsidRPr="002D15AA">
        <w:rPr>
          <w:rFonts w:cstheme="majorHAnsi"/>
          <w:color w:val="000000"/>
          <w:sz w:val="24"/>
          <w:szCs w:val="24"/>
        </w:rPr>
        <w:t xml:space="preserve">RCDome: A Multi-Database </w:t>
      </w:r>
      <w:r w:rsidRPr="002D15AA">
        <w:rPr>
          <w:rFonts w:cstheme="majorHAnsi"/>
          <w:color w:val="EE0000"/>
          <w:sz w:val="24"/>
          <w:szCs w:val="24"/>
        </w:rPr>
        <w:t xml:space="preserve">Human Gene </w:t>
      </w:r>
      <w:r w:rsidRPr="002D15AA">
        <w:rPr>
          <w:rFonts w:cstheme="majorHAnsi"/>
          <w:color w:val="000000"/>
          <w:sz w:val="24"/>
          <w:szCs w:val="24"/>
        </w:rPr>
        <w:t>Atlas of Regulated Cell Death</w:t>
      </w:r>
    </w:p>
    <w:p w14:paraId="655586C3" w14:textId="77777777" w:rsidR="00521B54" w:rsidRPr="002D15AA" w:rsidRDefault="00521B54" w:rsidP="002D15AA">
      <w:pPr>
        <w:spacing w:after="0" w:line="240" w:lineRule="auto"/>
        <w:rPr>
          <w:rFonts w:asciiTheme="majorHAnsi" w:hAnsiTheme="majorHAnsi" w:cstheme="majorHAnsi"/>
          <w:b/>
          <w:bCs/>
          <w:szCs w:val="24"/>
        </w:rPr>
      </w:pPr>
    </w:p>
    <w:p w14:paraId="1D1FCC7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Running title:</w:t>
      </w:r>
      <w:r w:rsidRPr="002D15AA">
        <w:rPr>
          <w:rFonts w:asciiTheme="majorHAnsi" w:hAnsiTheme="majorHAnsi" w:cstheme="majorHAnsi"/>
          <w:szCs w:val="24"/>
        </w:rPr>
        <w:t xml:space="preserve"> RCDome:</w:t>
      </w:r>
      <w:r w:rsidR="002E2E0A" w:rsidRPr="002D15AA">
        <w:rPr>
          <w:rFonts w:asciiTheme="majorHAnsi" w:hAnsiTheme="majorHAnsi" w:cstheme="majorHAnsi"/>
          <w:szCs w:val="24"/>
        </w:rPr>
        <w:t xml:space="preserve"> </w:t>
      </w:r>
      <w:r w:rsidRPr="002D15AA">
        <w:rPr>
          <w:rFonts w:asciiTheme="majorHAnsi" w:hAnsiTheme="majorHAnsi" w:cstheme="majorHAnsi"/>
          <w:szCs w:val="24"/>
        </w:rPr>
        <w:t>Human RCD Gene Atlas</w:t>
      </w:r>
    </w:p>
    <w:p w14:paraId="67F2F094" w14:textId="77777777" w:rsidR="00637146" w:rsidRPr="002D15AA" w:rsidRDefault="00637146" w:rsidP="002D15AA">
      <w:pPr>
        <w:spacing w:after="0" w:line="240" w:lineRule="auto"/>
        <w:rPr>
          <w:rFonts w:asciiTheme="majorHAnsi" w:hAnsiTheme="majorHAnsi" w:cstheme="majorHAnsi"/>
          <w:szCs w:val="24"/>
        </w:rPr>
      </w:pPr>
    </w:p>
    <w:p w14:paraId="6E043C53" w14:textId="77777777" w:rsidR="00925876" w:rsidRPr="002D15AA" w:rsidRDefault="00637146"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Emanuell Rodrigues de Souza</w:t>
      </w:r>
      <w:r w:rsidRPr="002D15AA">
        <w:rPr>
          <w:rFonts w:asciiTheme="majorHAnsi" w:hAnsiTheme="majorHAnsi" w:cstheme="majorHAnsi"/>
          <w:b/>
          <w:bCs/>
          <w:szCs w:val="24"/>
          <w:vertAlign w:val="superscript"/>
          <w:lang w:val="pt-BR"/>
        </w:rPr>
        <w:t>#</w:t>
      </w:r>
      <w:r w:rsidRPr="002D15AA">
        <w:rPr>
          <w:rFonts w:asciiTheme="majorHAnsi" w:hAnsiTheme="majorHAnsi" w:cstheme="majorHAnsi"/>
          <w:szCs w:val="24"/>
          <w:lang w:val="pt-BR"/>
        </w:rPr>
        <w:t>, Victor dos Santos Lopes</w:t>
      </w:r>
      <w:r w:rsidRPr="002D15AA">
        <w:rPr>
          <w:rFonts w:asciiTheme="majorHAnsi" w:hAnsiTheme="majorHAnsi" w:cstheme="majorHAnsi"/>
          <w:b/>
          <w:bCs/>
          <w:szCs w:val="24"/>
          <w:vertAlign w:val="superscript"/>
          <w:lang w:val="pt-BR"/>
        </w:rPr>
        <w:t>#</w:t>
      </w:r>
      <w:r w:rsidRPr="002D15AA">
        <w:rPr>
          <w:rFonts w:asciiTheme="majorHAnsi" w:hAnsiTheme="majorHAnsi" w:cstheme="majorHAnsi"/>
          <w:szCs w:val="24"/>
          <w:lang w:val="pt-BR"/>
        </w:rPr>
        <w:t>, Higor Almeida Cordeiro Nogueira, and Enrique Medina-Acosta</w:t>
      </w:r>
      <w:r w:rsidRPr="002D15AA">
        <w:rPr>
          <w:rFonts w:asciiTheme="majorHAnsi" w:hAnsiTheme="majorHAnsi" w:cstheme="majorHAnsi"/>
          <w:b/>
          <w:bCs/>
          <w:szCs w:val="24"/>
          <w:vertAlign w:val="superscript"/>
          <w:lang w:val="pt-BR"/>
        </w:rPr>
        <w:t>*</w:t>
      </w:r>
    </w:p>
    <w:p w14:paraId="338B1ED6" w14:textId="77777777" w:rsidR="00637146" w:rsidRPr="002D15AA" w:rsidRDefault="00637146" w:rsidP="002D15AA">
      <w:pPr>
        <w:spacing w:after="0" w:line="240" w:lineRule="auto"/>
        <w:rPr>
          <w:rFonts w:asciiTheme="majorHAnsi" w:hAnsiTheme="majorHAnsi" w:cstheme="majorHAnsi"/>
          <w:szCs w:val="24"/>
          <w:lang w:val="pt-BR"/>
        </w:rPr>
      </w:pPr>
    </w:p>
    <w:p w14:paraId="7B2AB3C2"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Laborat</w:t>
      </w:r>
      <w:r w:rsidR="00670D3F" w:rsidRPr="002D15AA">
        <w:rPr>
          <w:rFonts w:asciiTheme="majorHAnsi" w:hAnsiTheme="majorHAnsi" w:cstheme="majorHAnsi"/>
          <w:szCs w:val="24"/>
          <w:lang w:val="pt-BR"/>
        </w:rPr>
        <w:t>ó</w:t>
      </w:r>
      <w:r w:rsidRPr="002D15AA">
        <w:rPr>
          <w:rFonts w:asciiTheme="majorHAnsi" w:hAnsiTheme="majorHAnsi" w:cstheme="majorHAnsi"/>
          <w:szCs w:val="24"/>
          <w:lang w:val="pt-BR"/>
        </w:rPr>
        <w:t>rio de Biotecnologia, Centro de Bioci</w:t>
      </w:r>
      <w:r w:rsidR="00637146" w:rsidRPr="002D15AA">
        <w:rPr>
          <w:rFonts w:asciiTheme="majorHAnsi" w:hAnsiTheme="majorHAnsi" w:cstheme="majorHAnsi"/>
          <w:szCs w:val="24"/>
          <w:lang w:val="pt-BR"/>
        </w:rPr>
        <w:t>ên</w:t>
      </w:r>
      <w:r w:rsidRPr="002D15AA">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303F0646" w14:textId="77777777" w:rsidR="00381A47" w:rsidRPr="002D15AA" w:rsidRDefault="00381A47" w:rsidP="002D15AA">
      <w:pPr>
        <w:spacing w:after="0" w:line="240" w:lineRule="auto"/>
        <w:rPr>
          <w:rFonts w:asciiTheme="majorHAnsi" w:hAnsiTheme="majorHAnsi" w:cstheme="majorHAnsi"/>
          <w:szCs w:val="24"/>
          <w:lang w:val="pt-BR"/>
        </w:rPr>
      </w:pPr>
    </w:p>
    <w:p w14:paraId="7CE07B60"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w:t>
      </w:r>
      <w:r w:rsidRPr="00B4410A">
        <w:rPr>
          <w:rFonts w:asciiTheme="majorHAnsi" w:hAnsiTheme="majorHAnsi" w:cstheme="majorHAnsi"/>
          <w:b/>
          <w:bCs/>
          <w:szCs w:val="24"/>
          <w:lang w:val="pt-BR"/>
        </w:rPr>
        <w:t>Corresponding author</w:t>
      </w:r>
      <w:r w:rsidRPr="002D15AA">
        <w:rPr>
          <w:rFonts w:asciiTheme="majorHAnsi" w:hAnsiTheme="majorHAnsi" w:cstheme="majorHAnsi"/>
          <w:szCs w:val="24"/>
          <w:lang w:val="pt-BR"/>
        </w:rPr>
        <w:t xml:space="preserve">: Enrique Medina-Acosta: </w:t>
      </w:r>
    </w:p>
    <w:p w14:paraId="4AEA0ACF" w14:textId="77777777" w:rsidR="007B760F" w:rsidRPr="002D15AA" w:rsidRDefault="007B760F" w:rsidP="002D15AA">
      <w:pPr>
        <w:spacing w:after="0" w:line="240" w:lineRule="auto"/>
        <w:rPr>
          <w:rFonts w:asciiTheme="majorHAnsi" w:hAnsiTheme="majorHAnsi" w:cstheme="majorHAnsi"/>
          <w:szCs w:val="24"/>
          <w:lang w:val="pt-BR"/>
        </w:rPr>
      </w:pPr>
    </w:p>
    <w:p w14:paraId="0FAD87A3"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b/>
          <w:bCs/>
          <w:szCs w:val="24"/>
          <w:lang w:val="pt-BR"/>
        </w:rPr>
        <w:t>Author e-mails</w:t>
      </w:r>
      <w:r w:rsidRPr="002D15AA">
        <w:rPr>
          <w:rFonts w:asciiTheme="majorHAnsi" w:hAnsiTheme="majorHAnsi" w:cstheme="majorHAnsi"/>
          <w:szCs w:val="24"/>
          <w:lang w:val="pt-BR"/>
        </w:rPr>
        <w:t>:</w:t>
      </w:r>
    </w:p>
    <w:p w14:paraId="0F3922ED"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Emanuell Rodrigues de Souza: </w:t>
      </w:r>
      <w:hyperlink r:id="rId8" w:history="1">
        <w:r w:rsidR="007B760F" w:rsidRPr="002D15AA">
          <w:rPr>
            <w:rStyle w:val="Hyperlink"/>
            <w:rFonts w:asciiTheme="majorHAnsi" w:hAnsiTheme="majorHAnsi" w:cstheme="majorHAnsi"/>
            <w:szCs w:val="24"/>
            <w:lang w:val="pt-BR"/>
          </w:rPr>
          <w:t>souza.ers00@gmail.com</w:t>
        </w:r>
      </w:hyperlink>
    </w:p>
    <w:p w14:paraId="1DFDA61B"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Victor dos Santos Lopes: </w:t>
      </w:r>
      <w:hyperlink r:id="rId9" w:history="1">
        <w:r w:rsidR="007B760F" w:rsidRPr="002D15AA">
          <w:rPr>
            <w:rStyle w:val="Hyperlink"/>
            <w:rFonts w:asciiTheme="majorHAnsi" w:hAnsiTheme="majorHAnsi" w:cstheme="majorHAnsi"/>
            <w:szCs w:val="24"/>
            <w:lang w:val="pt-BR"/>
          </w:rPr>
          <w:t>victor94santos.lopes@gmail.com</w:t>
        </w:r>
      </w:hyperlink>
    </w:p>
    <w:p w14:paraId="26DA22A4" w14:textId="77777777" w:rsidR="007B760F"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Higor Almeida Cordeiro Nogueira: </w:t>
      </w:r>
      <w:hyperlink r:id="rId10" w:history="1">
        <w:r w:rsidR="007B760F" w:rsidRPr="002D15AA">
          <w:rPr>
            <w:rStyle w:val="Hyperlink"/>
            <w:rFonts w:asciiTheme="majorHAnsi" w:hAnsiTheme="majorHAnsi" w:cstheme="majorHAnsi"/>
            <w:szCs w:val="24"/>
            <w:lang w:val="pt-BR"/>
          </w:rPr>
          <w:t>higoralmeida1995@gmail.com</w:t>
        </w:r>
      </w:hyperlink>
    </w:p>
    <w:p w14:paraId="196FB65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Enrique Medina-Acosta: </w:t>
      </w:r>
      <w:hyperlink r:id="rId11" w:history="1">
        <w:r w:rsidR="007B760F" w:rsidRPr="002D15AA">
          <w:rPr>
            <w:rStyle w:val="Hyperlink"/>
            <w:rFonts w:asciiTheme="majorHAnsi" w:hAnsiTheme="majorHAnsi" w:cstheme="majorHAnsi"/>
            <w:szCs w:val="24"/>
          </w:rPr>
          <w:t>quique@uenf.br</w:t>
        </w:r>
      </w:hyperlink>
    </w:p>
    <w:p w14:paraId="6DB2C307" w14:textId="77777777" w:rsidR="00334F5E" w:rsidRPr="002D15AA" w:rsidRDefault="00334F5E" w:rsidP="002D15AA">
      <w:pPr>
        <w:spacing w:after="0" w:line="240" w:lineRule="auto"/>
        <w:rPr>
          <w:rFonts w:asciiTheme="majorHAnsi" w:hAnsiTheme="majorHAnsi" w:cstheme="majorHAnsi"/>
          <w:szCs w:val="24"/>
        </w:rPr>
      </w:pPr>
    </w:p>
    <w:p w14:paraId="7DF0CFD0" w14:textId="77777777" w:rsidR="00381A47" w:rsidRPr="002D15AA" w:rsidRDefault="00381A47" w:rsidP="002D15AA">
      <w:pPr>
        <w:spacing w:after="0" w:line="240" w:lineRule="auto"/>
        <w:rPr>
          <w:rFonts w:asciiTheme="majorHAnsi" w:hAnsiTheme="majorHAnsi" w:cstheme="majorHAnsi"/>
          <w:szCs w:val="24"/>
          <w:vertAlign w:val="superscript"/>
        </w:rPr>
        <w:sectPr w:rsidR="00381A47" w:rsidRPr="002D15AA" w:rsidSect="00034616">
          <w:headerReference w:type="default" r:id="rId12"/>
          <w:pgSz w:w="11906" w:h="16838"/>
          <w:pgMar w:top="1417" w:right="1417" w:bottom="1417" w:left="1417" w:header="720" w:footer="720" w:gutter="0"/>
          <w:cols w:space="720"/>
          <w:docGrid w:linePitch="360"/>
        </w:sectPr>
      </w:pPr>
      <w:r w:rsidRPr="002D15AA">
        <w:rPr>
          <w:rFonts w:asciiTheme="majorHAnsi" w:hAnsiTheme="majorHAnsi" w:cstheme="majorHAnsi"/>
          <w:b/>
          <w:bCs/>
          <w:szCs w:val="24"/>
          <w:vertAlign w:val="superscript"/>
        </w:rPr>
        <w:t xml:space="preserve"># </w:t>
      </w:r>
      <w:r w:rsidRPr="00981CE3">
        <w:rPr>
          <w:rFonts w:asciiTheme="majorHAnsi" w:hAnsiTheme="majorHAnsi" w:cstheme="majorHAnsi"/>
          <w:b/>
          <w:bCs/>
          <w:szCs w:val="24"/>
        </w:rPr>
        <w:t>Authors share fi</w:t>
      </w:r>
      <w:r w:rsidR="00CC3CB8" w:rsidRPr="00981CE3">
        <w:rPr>
          <w:rFonts w:asciiTheme="majorHAnsi" w:hAnsiTheme="majorHAnsi" w:cstheme="majorHAnsi"/>
          <w:b/>
          <w:bCs/>
          <w:szCs w:val="24"/>
        </w:rPr>
        <w:t>r</w:t>
      </w:r>
      <w:r w:rsidRPr="00981CE3">
        <w:rPr>
          <w:rFonts w:asciiTheme="majorHAnsi" w:hAnsiTheme="majorHAnsi" w:cstheme="majorHAnsi"/>
          <w:b/>
          <w:bCs/>
          <w:szCs w:val="24"/>
        </w:rPr>
        <w:t>st authorship</w:t>
      </w:r>
    </w:p>
    <w:p w14:paraId="1A614A89" w14:textId="77777777" w:rsidR="003334EE" w:rsidRPr="002D15AA" w:rsidRDefault="003334EE" w:rsidP="002D15AA">
      <w:pPr>
        <w:pStyle w:val="Ttulo2"/>
        <w:spacing w:before="0" w:line="240" w:lineRule="auto"/>
        <w:rPr>
          <w:rFonts w:cstheme="majorHAnsi"/>
          <w:sz w:val="24"/>
          <w:szCs w:val="24"/>
        </w:rPr>
      </w:pPr>
      <w:r w:rsidRPr="002D15AA">
        <w:rPr>
          <w:rFonts w:cstheme="majorHAnsi"/>
          <w:sz w:val="24"/>
          <w:szCs w:val="24"/>
        </w:rPr>
        <w:lastRenderedPageBreak/>
        <w:t>ABSTRACT</w:t>
      </w:r>
    </w:p>
    <w:p w14:paraId="217539DF" w14:textId="593E1CB0" w:rsidR="00007354" w:rsidRPr="002D15AA" w:rsidRDefault="00000000" w:rsidP="002D15AA">
      <w:pPr>
        <w:spacing w:line="240" w:lineRule="auto"/>
        <w:rPr>
          <w:rFonts w:asciiTheme="majorHAnsi" w:hAnsiTheme="majorHAnsi" w:cstheme="majorHAnsi"/>
          <w:szCs w:val="24"/>
        </w:rPr>
      </w:pPr>
      <w:r>
        <w:t>Regulated cell death (RCD) governs tissue homeostasis, development, and disease, and is executed or regulated by specific genes. Yet for the researcher asking which genes execute or regulate a given RCD form, the answer should be simple, but it is not: gene lists for the same form seldom match across databases, many associations carry no traceable source, and the vast majority have never been systematically checked against the primary literature. We therefore built RCDome to answer the most basic question a researcher should be able to ask: where did this gene-RCD association come from, and what is the evidence? RCDome is a multi-database human gene atlas constructed through a staged architecture that integrates multi-source gene-RCD compilation, literature-based validation and evidence recovery, mechanistic classification, human-governed ontological adjudication, and deployment as an interactive web resource. Five complementary evidence channels, comprising PubMed Boolean search, curated databases, AI-assisted screening, manual curation, and Elicit systematic review, were integrated into a unified matrix. Sixty-two original name strings were canonicalized into 53 RCD-related entities, whose operational definitions and ontological levels were curator-adjudicated. Gene-RCD associations were systematically evaluated through an independent two-call large language model (LLM) validation architecture, Europe PMC full-text recovery and deep evidence extraction, and an independent Consensus literature-search channel. Source-grounding controls rejected extracted evidence not found verbatim in the source document, while the governance contract was enforced as executable code. The compendium holds 22,473 association rows spanning 9,265 unique HGNC-validated genes (21,568 unique gene-RCD pairs). Chain-of-thought classification resolved 10,016 pairs (46.4%) as mechanistically involved; of these, only 469 (4.7%) are executors, 9,489 (94.7%) are regulators, 5 are markers, and 53 remain unresolved, revealing a small death-executing core embedded in a vast regulatory network. Under a separate seven-class mechanistic criterion applied to all 22,473 rows, only 3,063 (13.6%) were mechanistically confirmed and 442 (2.0%) were database-only with no verifiable paper trail. RCDome makes the field's evidence landscape measurable and traceable and illustrates that AI-assisted scientific curation can be verifiable, human-governed, and explicit about its own uncertainty. The compendium, extraction pipeline, and web application are publicly available.</w:t>
      </w:r>
    </w:p>
    <w:p w14:paraId="2939DA28" w14:textId="77777777" w:rsidR="00DC6C16"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bCs/>
          <w:szCs w:val="24"/>
        </w:rPr>
        <w:t xml:space="preserve">Keywords: </w:t>
      </w:r>
      <w:r w:rsidRPr="002D15AA">
        <w:rPr>
          <w:rFonts w:asciiTheme="majorHAnsi" w:hAnsiTheme="majorHAnsi" w:cstheme="majorHAnsi"/>
          <w:szCs w:val="24"/>
        </w:rPr>
        <w:t>AI governance, AI-assisted curation, large language models, regulated cell death, verifiable AI</w:t>
      </w:r>
    </w:p>
    <w:p w14:paraId="2B730893" w14:textId="77777777" w:rsidR="003334EE" w:rsidRPr="002D15AA" w:rsidRDefault="003334EE" w:rsidP="002D15AA">
      <w:pPr>
        <w:pStyle w:val="Ttulo2"/>
        <w:spacing w:before="0" w:line="240" w:lineRule="auto"/>
        <w:rPr>
          <w:rFonts w:cstheme="majorHAnsi"/>
          <w:sz w:val="24"/>
          <w:szCs w:val="24"/>
        </w:rPr>
      </w:pPr>
    </w:p>
    <w:p w14:paraId="771CB349" w14:textId="77777777" w:rsidR="00925876" w:rsidRPr="002D15AA" w:rsidRDefault="00637146" w:rsidP="002D15AA">
      <w:pPr>
        <w:pStyle w:val="Ttulo2"/>
        <w:spacing w:before="0" w:line="240" w:lineRule="auto"/>
        <w:rPr>
          <w:rFonts w:cstheme="majorHAnsi"/>
          <w:sz w:val="24"/>
          <w:szCs w:val="24"/>
        </w:rPr>
      </w:pPr>
      <w:r w:rsidRPr="002D15AA">
        <w:rPr>
          <w:rFonts w:cstheme="majorHAnsi"/>
          <w:sz w:val="24"/>
          <w:szCs w:val="24"/>
        </w:rPr>
        <w:t>INTRODUCTION</w:t>
      </w:r>
    </w:p>
    <w:p w14:paraId="2316E717" w14:textId="436E9DC2"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Regulated cell death (RCD) governs tissue homeostasis, development, and disease pathogenesis through genetically encoded entities that eliminate superfluous, damaged, or dangerous cells </w:t>
      </w:r>
      <w:r w:rsidRPr="00426C1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w:t>
      </w:r>
      <w:r w:rsidRPr="00426C1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w:t>
      </w:r>
      <w:r w:rsidRPr="00426C1E">
        <w:rPr>
          <w:rFonts w:asciiTheme="majorHAnsi" w:hAnsiTheme="majorHAnsi" w:cstheme="majorHAnsi"/>
          <w:szCs w:val="24"/>
          <w:highlight w:val="magenta"/>
        </w:rPr>
        <w:t>The NCCD’s operational-definition list totals 20 entities: these 15 plus anoikis, autosis, efferocytosis, mitotic death, and programmed cell death, all retained verbatim in RCDome</w:t>
      </w:r>
      <w:r w:rsidRPr="002D15AA">
        <w:rPr>
          <w:rFonts w:asciiTheme="majorHAnsi" w:hAnsiTheme="majorHAnsi" w:cstheme="majorHAnsi"/>
          <w:szCs w:val="24"/>
        </w:rPr>
        <w:t xml:space="preserve">. Building on this framework, </w:t>
      </w:r>
      <w:r w:rsidRPr="002D15AA">
        <w:rPr>
          <w:rFonts w:asciiTheme="majorHAnsi" w:hAnsiTheme="majorHAnsi" w:cstheme="majorHAnsi"/>
          <w:szCs w:val="24"/>
        </w:rPr>
        <w:lastRenderedPageBreak/>
        <w:t>our group compiled gene-level associations for 25</w:t>
      </w:r>
      <w:r w:rsidR="00426C1E">
        <w:rPr>
          <w:rFonts w:asciiTheme="majorHAnsi" w:hAnsiTheme="majorHAnsi" w:cstheme="majorHAnsi"/>
          <w:szCs w:val="24"/>
        </w:rPr>
        <w:t xml:space="preserve"> RCD</w:t>
      </w:r>
      <w:r w:rsidRPr="002D15AA">
        <w:rPr>
          <w:rFonts w:asciiTheme="majorHAnsi" w:hAnsiTheme="majorHAnsi" w:cstheme="majorHAnsi"/>
          <w:szCs w:val="24"/>
        </w:rPr>
        <w:t xml:space="preserve"> forms and provided tentative operational definitions for forms not covered in the NCCD consensus </w:t>
      </w:r>
      <w:r w:rsidRPr="00426C1E">
        <w:rPr>
          <w:rFonts w:asciiTheme="majorHAnsi" w:hAnsiTheme="majorHAnsi" w:cstheme="majorHAnsi"/>
          <w:szCs w:val="24"/>
          <w:highlight w:val="yellow"/>
        </w:rPr>
        <w:t>{Rodrigues de Souza, 2025 #782030;Rodrigues de Souza, 2026 #784804}.</w:t>
      </w:r>
      <w:r w:rsidRPr="002D15AA">
        <w:rPr>
          <w:rFonts w:asciiTheme="majorHAnsi" w:hAnsiTheme="majorHAnsi" w:cstheme="majorHAnsi"/>
          <w:szCs w:val="24"/>
        </w:rPr>
        <w:t xml:space="preserve"> Since that compilation, the RCD landscape has continued to expand, with the recognition of necrosis by sodium overload (NECSO), mitoxyperilysis, triaptosis, spectosis, floatptosis, lysozincrosis, and metalloptosis </w:t>
      </w:r>
      <w:r w:rsidRPr="00426C1E">
        <w:rPr>
          <w:rFonts w:asciiTheme="majorHAnsi" w:hAnsiTheme="majorHAnsi" w:cstheme="majorHAnsi"/>
          <w:szCs w:val="24"/>
          <w:highlight w:val="magenta"/>
        </w:rPr>
        <w:t>(forms that had emerged in the literature before this compilation),</w:t>
      </w:r>
      <w:r w:rsidRPr="002D15AA">
        <w:rPr>
          <w:rFonts w:asciiTheme="majorHAnsi" w:hAnsiTheme="majorHAnsi" w:cstheme="majorHAnsi"/>
          <w:szCs w:val="24"/>
        </w:rPr>
        <w:t xml:space="preserve"> alongside the proliferation of specialized databases; the field now encompasses dozens of RCD forms. Each RCD form </w:t>
      </w:r>
      <w:r w:rsidRPr="00426C1E">
        <w:rPr>
          <w:rFonts w:asciiTheme="majorHAnsi" w:hAnsiTheme="majorHAnsi" w:cstheme="majorHAnsi"/>
          <w:szCs w:val="24"/>
          <w:highlight w:val="yellow"/>
        </w:rPr>
        <w:t xml:space="preserve">is </w:t>
      </w:r>
      <w:r w:rsidR="00426C1E" w:rsidRPr="00426C1E">
        <w:rPr>
          <w:rFonts w:asciiTheme="majorHAnsi" w:hAnsiTheme="majorHAnsi" w:cstheme="majorHAnsi"/>
          <w:szCs w:val="24"/>
          <w:highlight w:val="yellow"/>
        </w:rPr>
        <w:t>claimed to be</w:t>
      </w:r>
      <w:r w:rsidR="00426C1E">
        <w:rPr>
          <w:rFonts w:asciiTheme="majorHAnsi" w:hAnsiTheme="majorHAnsi" w:cstheme="majorHAnsi"/>
          <w:szCs w:val="24"/>
        </w:rPr>
        <w:t xml:space="preserve"> </w:t>
      </w:r>
      <w:r w:rsidRPr="002D15AA">
        <w:rPr>
          <w:rFonts w:asciiTheme="majorHAnsi" w:hAnsiTheme="majorHAnsi" w:cstheme="majorHAnsi"/>
          <w:szCs w:val="24"/>
        </w:rPr>
        <w:t>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40AC22AA" w14:textId="77777777" w:rsidR="00EC5F2D" w:rsidRPr="002D15AA" w:rsidRDefault="00EC5F2D" w:rsidP="002D15AA">
      <w:pPr>
        <w:spacing w:after="0" w:line="240" w:lineRule="auto"/>
        <w:rPr>
          <w:rFonts w:asciiTheme="majorHAnsi" w:hAnsiTheme="majorHAnsi" w:cstheme="majorHAnsi"/>
          <w:szCs w:val="24"/>
        </w:rPr>
      </w:pPr>
    </w:p>
    <w:p w14:paraId="26BAAE46" w14:textId="77777777" w:rsidR="00925876" w:rsidRPr="002D15AA" w:rsidRDefault="00921C18" w:rsidP="002D15AA">
      <w:pPr>
        <w:spacing w:after="0" w:line="240" w:lineRule="auto"/>
        <w:rPr>
          <w:rFonts w:asciiTheme="majorHAnsi" w:hAnsiTheme="majorHAnsi" w:cstheme="majorHAnsi"/>
          <w:szCs w:val="24"/>
          <w:highlight w:val="yellow"/>
        </w:rPr>
      </w:pPr>
      <w:r w:rsidRPr="002D15AA">
        <w:rPr>
          <w:rFonts w:asciiTheme="majorHAnsi" w:hAnsiTheme="majorHAnsi" w:cstheme="majorHAnsi"/>
          <w:szCs w:val="24"/>
        </w:rPr>
        <w:t xml:space="preserve">Specialized databases such as FerrDB v3 (22 RCD forms, 3,481 genes) </w:t>
      </w:r>
      <w:r w:rsidRPr="00426C1E">
        <w:rPr>
          <w:rFonts w:asciiTheme="majorHAnsi" w:hAnsiTheme="majorHAnsi" w:cstheme="majorHAnsi"/>
          <w:szCs w:val="24"/>
          <w:highlight w:val="yellow"/>
        </w:rPr>
        <w:t>{Zhou, 2026 #782033}</w:t>
      </w:r>
      <w:r w:rsidRPr="002D15AA">
        <w:rPr>
          <w:rFonts w:asciiTheme="majorHAnsi" w:hAnsiTheme="majorHAnsi" w:cstheme="majorHAnsi"/>
          <w:szCs w:val="24"/>
        </w:rPr>
        <w:t xml:space="preserve"> and RCDdb </w:t>
      </w:r>
      <w:r w:rsidRPr="00426C1E">
        <w:rPr>
          <w:rFonts w:asciiTheme="majorHAnsi" w:hAnsiTheme="majorHAnsi" w:cstheme="majorHAnsi"/>
          <w:szCs w:val="24"/>
          <w:highlight w:val="yellow"/>
        </w:rPr>
        <w:t>{Wang, 2024 #782694</w:t>
      </w:r>
      <w:r w:rsidRPr="002D15AA">
        <w:rPr>
          <w:rFonts w:asciiTheme="majorHAnsi" w:hAnsiTheme="majorHAnsi" w:cstheme="majorHAnsi"/>
          <w:szCs w:val="24"/>
        </w:rPr>
        <w:t xml:space="preserve">}, together with our prior compilation (25 RCD forms, 5,913 genes) </w:t>
      </w:r>
      <w:r w:rsidRPr="00426C1E">
        <w:rPr>
          <w:rFonts w:asciiTheme="majorHAnsi" w:hAnsiTheme="majorHAnsi" w:cstheme="majorHAnsi"/>
          <w:szCs w:val="24"/>
          <w:highlight w:val="yellow"/>
        </w:rPr>
        <w:t>{Rodrigues de Souza, 2025 #782030},</w:t>
      </w:r>
      <w:r w:rsidRPr="002D15AA">
        <w:rPr>
          <w:rFonts w:asciiTheme="majorHAnsi" w:hAnsiTheme="majorHAnsi" w:cstheme="majorHAnsi"/>
          <w:szCs w:val="24"/>
        </w:rPr>
        <w:t xml:space="preserve"> represent major advances in RCD knowledge organization. FerrDB v3 is primarily a catalog of RCD regulators and markers extracted from &gt;20,000 publications,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"Entotic-cell-death," LncRCD uses "Entotic cell death," while RCDdb and iPCD use "Entosis"; our prior compilation similarly used "Autophagy" as an umbrella term without differentiating autophagy-dependent cell death); and (iii) even those well-curated databases lack per-gene literature traceability, making it impossible to verify the provenance of individual associations. These gaps motivate the development of the platform we describe below.</w:t>
      </w:r>
    </w:p>
    <w:p w14:paraId="62BC7717" w14:textId="77777777" w:rsidR="00EC5F2D" w:rsidRPr="002D15AA" w:rsidRDefault="00EC5F2D" w:rsidP="002D15AA">
      <w:pPr>
        <w:spacing w:after="0" w:line="240" w:lineRule="auto"/>
        <w:rPr>
          <w:rFonts w:asciiTheme="majorHAnsi" w:hAnsiTheme="majorHAnsi" w:cstheme="majorHAnsi"/>
          <w:szCs w:val="24"/>
        </w:rPr>
      </w:pPr>
    </w:p>
    <w:p w14:paraId="73318804"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underutilization of published biological data is a well-documented structural problem: a large-scale survey of 454,200 public omics datasets found that only 2.7% had undergone documented reanalysis </w:t>
      </w:r>
      <w:r w:rsidR="00B9076D" w:rsidRPr="002D15AA">
        <w:rPr>
          <w:rFonts w:asciiTheme="majorHAnsi" w:hAnsiTheme="majorHAnsi" w:cstheme="majorHAnsi"/>
          <w:szCs w:val="24"/>
          <w:highlight w:val="yellow"/>
        </w:rPr>
        <w:t>{Perez-Riverol, 2019 #783940}</w:t>
      </w:r>
      <w:r w:rsidRPr="002D15AA">
        <w:rPr>
          <w:rFonts w:asciiTheme="majorHAnsi" w:hAnsiTheme="majorHAnsi" w:cstheme="majorHAnsi"/>
          <w:szCs w:val="24"/>
        </w:rPr>
        <w:t xml:space="preserve">. This pattern extends to curated gene-function databases, where the vast majority of recorded associations remain unvalidated against primary literature. Combined with recent calls for rigorous standards, validation, and human oversight in AI-assisted data reanalysis </w:t>
      </w:r>
      <w:r w:rsidR="00B9076D" w:rsidRPr="002D15AA">
        <w:rPr>
          <w:rFonts w:asciiTheme="majorHAnsi" w:hAnsiTheme="majorHAnsi" w:cstheme="majorHAnsi"/>
          <w:szCs w:val="24"/>
          <w:highlight w:val="yellow"/>
        </w:rPr>
        <w:t>{Ghaderi, 2026 #783939}</w:t>
      </w:r>
      <w:r w:rsidRPr="002D15AA">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4E3BF96A" w14:textId="77777777" w:rsidR="00EC5F2D" w:rsidRPr="002D15AA" w:rsidRDefault="00EC5F2D" w:rsidP="002D15AA">
      <w:pPr>
        <w:spacing w:after="0" w:line="240" w:lineRule="auto"/>
        <w:rPr>
          <w:rFonts w:asciiTheme="majorHAnsi" w:hAnsiTheme="majorHAnsi" w:cstheme="majorHAnsi"/>
          <w:szCs w:val="24"/>
        </w:rPr>
      </w:pPr>
    </w:p>
    <w:p w14:paraId="6DDC2A00"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PMID or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w:t>
      </w:r>
      <w:r w:rsidR="00074187" w:rsidRPr="002D15AA">
        <w:rPr>
          <w:rFonts w:asciiTheme="majorHAnsi" w:hAnsiTheme="majorHAnsi" w:cstheme="majorHAnsi"/>
          <w:szCs w:val="24"/>
        </w:rPr>
        <w:t xml:space="preserve"> in RCD biology</w:t>
      </w:r>
      <w:r w:rsidRPr="002D15AA">
        <w:rPr>
          <w:rFonts w:asciiTheme="majorHAnsi" w:hAnsiTheme="majorHAnsi" w:cstheme="majorHAnsi"/>
          <w:szCs w:val="24"/>
        </w:rPr>
        <w:t>: “</w:t>
      </w:r>
      <w:r w:rsidRPr="002D15AA">
        <w:rPr>
          <w:rFonts w:asciiTheme="majorHAnsi" w:hAnsiTheme="majorHAnsi" w:cstheme="majorHAnsi"/>
          <w:i/>
          <w:iCs/>
          <w:szCs w:val="24"/>
        </w:rPr>
        <w:t>Where did this gene-RCD association come from, and what is the evidence?</w:t>
      </w:r>
      <w:r w:rsidRPr="002D15AA">
        <w:rPr>
          <w:rFonts w:asciiTheme="majorHAnsi" w:hAnsiTheme="majorHAnsi" w:cstheme="majorHAnsi"/>
          <w:szCs w:val="24"/>
        </w:rPr>
        <w:t>”</w:t>
      </w:r>
    </w:p>
    <w:p w14:paraId="324441AE" w14:textId="77777777" w:rsidR="00EC5F2D" w:rsidRPr="002D15AA" w:rsidRDefault="00EC5F2D" w:rsidP="002D15AA">
      <w:pPr>
        <w:spacing w:after="0" w:line="240" w:lineRule="auto"/>
        <w:rPr>
          <w:rFonts w:asciiTheme="majorHAnsi" w:hAnsiTheme="majorHAnsi" w:cstheme="majorHAnsi"/>
          <w:szCs w:val="24"/>
        </w:rPr>
      </w:pPr>
    </w:p>
    <w:p w14:paraId="7F98777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172C0678" w14:textId="77777777" w:rsidR="00EC5F2D" w:rsidRPr="002D15AA" w:rsidRDefault="00EC5F2D" w:rsidP="002D15AA">
      <w:pPr>
        <w:spacing w:after="0" w:line="240" w:lineRule="auto"/>
        <w:rPr>
          <w:rFonts w:asciiTheme="majorHAnsi" w:hAnsiTheme="majorHAnsi" w:cstheme="majorHAnsi"/>
          <w:szCs w:val="24"/>
        </w:rPr>
      </w:pPr>
    </w:p>
    <w:p w14:paraId="4827F6EC" w14:textId="2A74E6B0" w:rsidR="00175EDA" w:rsidRDefault="005A0573" w:rsidP="002D15AA">
      <w:pPr>
        <w:pStyle w:val="Ttulo2"/>
        <w:spacing w:before="0" w:line="240" w:lineRule="auto"/>
        <w:rPr>
          <w:rFonts w:eastAsiaTheme="minorEastAsia" w:cstheme="majorHAnsi"/>
          <w:b w:val="0"/>
          <w:bCs w:val="0"/>
          <w:color w:val="000000"/>
          <w:sz w:val="24"/>
          <w:szCs w:val="24"/>
        </w:rPr>
      </w:pPr>
      <w:r w:rsidRPr="005A0573">
        <w:rPr>
          <w:rFonts w:eastAsiaTheme="minorEastAsia" w:cstheme="majorHAnsi"/>
          <w:b w:val="0"/>
          <w:bCs w:val="0"/>
          <w:color w:val="000000"/>
          <w:sz w:val="24"/>
          <w:szCs w:val="24"/>
        </w:rPr>
        <w:t>Every gene-RCD association in RCDome carries full source provenance and has been systematically checked against the published record, with both supporting and non-supporting outcomes retained. The compendium, extraction pipeline, and web platform are publicly available.</w:t>
      </w:r>
    </w:p>
    <w:p w14:paraId="5E46A954" w14:textId="77777777" w:rsidR="00022C1B" w:rsidRDefault="00022C1B" w:rsidP="002D15AA">
      <w:pPr>
        <w:pStyle w:val="Ttulo2"/>
        <w:spacing w:before="0" w:line="240" w:lineRule="auto"/>
        <w:rPr>
          <w:rFonts w:cstheme="majorHAnsi"/>
          <w:sz w:val="24"/>
          <w:szCs w:val="24"/>
        </w:rPr>
      </w:pPr>
    </w:p>
    <w:p w14:paraId="08531EA7" w14:textId="19A15BAD" w:rsidR="00925876" w:rsidRPr="002D15AA" w:rsidRDefault="00921C18" w:rsidP="002D15AA">
      <w:pPr>
        <w:pStyle w:val="Ttulo2"/>
        <w:spacing w:before="0" w:line="240" w:lineRule="auto"/>
        <w:rPr>
          <w:rFonts w:cstheme="majorHAnsi"/>
          <w:sz w:val="24"/>
          <w:szCs w:val="24"/>
        </w:rPr>
      </w:pPr>
      <w:r w:rsidRPr="002D15AA">
        <w:rPr>
          <w:rFonts w:cstheme="majorHAnsi"/>
          <w:sz w:val="24"/>
          <w:szCs w:val="24"/>
        </w:rPr>
        <w:t>MATERIAL AND METHODS</w:t>
      </w:r>
    </w:p>
    <w:p w14:paraId="77CB9BF2"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platform was built in three stages, compile (Channels A–D), validate (Phase 2A–2G), and govern (Phase 3), followed by the web application. Each stage is described in turn.</w:t>
      </w:r>
    </w:p>
    <w:p w14:paraId="592A845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Study Design and Strategy Overview</w:t>
      </w:r>
    </w:p>
    <w:p w14:paraId="4F24713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RCDome was conceived as a comprehensive, gene-centric, multi-source knowledge platform encompassing all described forms of RCD (Figure 1). The platform follows a layered, database-centered strategy in which each successive validation layer builds upon the database compilation foundation without overwriting earlier results: Layer 0 (Database Compilation), Layer 1 (NCBI + DeepSeek Abstract Validation), Layer 2 (Europe PMC + DeepSeek Full-Text Recovery), Layer 3 (Europe PMC XML Deep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441778B6" w14:textId="77777777" w:rsidR="00EC5F2D" w:rsidRPr="002D15AA" w:rsidRDefault="00EC5F2D" w:rsidP="002D15AA">
      <w:pPr>
        <w:spacing w:after="0" w:line="240" w:lineRule="auto"/>
        <w:rPr>
          <w:rFonts w:asciiTheme="majorHAnsi" w:hAnsiTheme="majorHAnsi" w:cstheme="majorHAnsi"/>
          <w:szCs w:val="24"/>
        </w:rPr>
      </w:pPr>
    </w:p>
    <w:p w14:paraId="537EA706" w14:textId="77777777" w:rsidR="00EC5F2D" w:rsidRPr="002D15AA" w:rsidRDefault="00EC5F2D" w:rsidP="002D15AA">
      <w:pPr>
        <w:spacing w:after="0" w:line="240" w:lineRule="auto"/>
        <w:rPr>
          <w:rFonts w:asciiTheme="majorHAnsi" w:hAnsiTheme="majorHAnsi" w:cstheme="majorHAnsi"/>
          <w:b/>
          <w:bCs/>
          <w:szCs w:val="24"/>
        </w:rPr>
      </w:pPr>
    </w:p>
    <w:p w14:paraId="3CDA60E7" w14:textId="77777777" w:rsidR="005E2A6F"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Establishment of the Canonicalized RCD-Related Entity Vocabulary</w:t>
      </w:r>
    </w:p>
    <w:p w14:paraId="20C461F3" w14:textId="09A112AF"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initial RCD form vocabulary is based on our prior work establishing operational definitions for 25 RCD forms based on the Nomenclature Committee on Cell Death (NCCD) 2018 consensus </w:t>
      </w:r>
      <w:r w:rsidR="00445A3E" w:rsidRPr="00445A3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and extended through AI-curated definitions </w:t>
      </w:r>
      <w:r w:rsidRPr="0096775B">
        <w:rPr>
          <w:rFonts w:asciiTheme="majorHAnsi" w:hAnsiTheme="majorHAnsi" w:cstheme="majorHAnsi"/>
          <w:szCs w:val="24"/>
          <w:highlight w:val="yellow"/>
        </w:rPr>
        <w:t>{Rodrigues de Souza, 2025 #782030;Rodrigues de Souza, 2026 #784804</w:t>
      </w:r>
      <w:r w:rsidRPr="002D15AA">
        <w:rPr>
          <w:rFonts w:asciiTheme="majorHAnsi" w:hAnsiTheme="majorHAnsi" w:cstheme="majorHAnsi"/>
          <w:szCs w:val="24"/>
        </w:rPr>
        <w:t xml:space="preserve">}. These 25 forms </w:t>
      </w:r>
      <w:r w:rsidRPr="002D15AA">
        <w:rPr>
          <w:rFonts w:asciiTheme="majorHAnsi" w:hAnsiTheme="majorHAnsi" w:cstheme="majorHAnsi"/>
          <w:szCs w:val="24"/>
        </w:rPr>
        <w:lastRenderedPageBreak/>
        <w:t xml:space="preserve">comprised 20 executioner entities, 2 trigger events, and 3 functional categories (Supplementary Table S1). </w:t>
      </w:r>
    </w:p>
    <w:p w14:paraId="28EE6D90" w14:textId="77777777" w:rsidR="00FF2AFC" w:rsidRPr="002D15AA" w:rsidRDefault="00FF2AFC" w:rsidP="002D15AA">
      <w:pPr>
        <w:spacing w:after="0" w:line="240" w:lineRule="auto"/>
        <w:rPr>
          <w:rFonts w:asciiTheme="majorHAnsi" w:hAnsiTheme="majorHAnsi" w:cstheme="majorHAnsi"/>
          <w:b/>
          <w:bCs/>
          <w:szCs w:val="24"/>
        </w:rPr>
      </w:pPr>
    </w:p>
    <w:p w14:paraId="5DEDEF53"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0C031DF8" w14:textId="0526330D"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0096775B" w:rsidRPr="0096775B">
        <w:rPr>
          <w:rFonts w:asciiTheme="majorHAnsi" w:hAnsiTheme="majorHAnsi" w:cstheme="majorHAnsi"/>
          <w:szCs w:val="24"/>
          <w:highlight w:val="yellow"/>
        </w:rPr>
        <w:t>{Galluzzi, 2018 #782025}</w:t>
      </w:r>
      <w:r w:rsidRPr="002D15AA">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2D15AA">
        <w:rPr>
          <w:rFonts w:asciiTheme="majorHAnsi" w:hAnsiTheme="majorHAnsi" w:cstheme="majorHAnsi"/>
          <w:szCs w:val="24"/>
          <w:highlight w:val="yellow"/>
        </w:rPr>
        <w:t>Supplementary Table S2).</w:t>
      </w:r>
    </w:p>
    <w:p w14:paraId="6EA16C43" w14:textId="77777777" w:rsidR="00EC5F2D" w:rsidRPr="002D15AA" w:rsidRDefault="00EC5F2D" w:rsidP="002D15AA">
      <w:pPr>
        <w:spacing w:after="0" w:line="240" w:lineRule="auto"/>
        <w:rPr>
          <w:rFonts w:asciiTheme="majorHAnsi" w:hAnsiTheme="majorHAnsi" w:cstheme="majorHAnsi"/>
          <w:szCs w:val="24"/>
        </w:rPr>
      </w:pPr>
    </w:p>
    <w:p w14:paraId="41C336E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Candidate RCD forms were validated against five criteria adapted from the NCCD framework </w:t>
      </w:r>
      <w:r w:rsidRPr="00447A53">
        <w:rPr>
          <w:rFonts w:asciiTheme="majorHAnsi" w:hAnsiTheme="majorHAnsi" w:cstheme="majorHAnsi"/>
          <w:szCs w:val="24"/>
          <w:highlight w:val="yellow"/>
        </w:rPr>
        <w:t>{Galluzzi, 2018 #782025}:</w:t>
      </w:r>
      <w:r w:rsidRPr="002D15AA">
        <w:rPr>
          <w:rFonts w:asciiTheme="majorHAnsi" w:hAnsiTheme="majorHAnsi" w:cstheme="majorHAnsi"/>
          <w:szCs w:val="24"/>
        </w:rPr>
        <w:t xml:space="preserve"> </w:t>
      </w:r>
      <w:commentRangeStart w:id="0"/>
      <w:r w:rsidRPr="002D15AA">
        <w:rPr>
          <w:rFonts w:asciiTheme="majorHAnsi" w:hAnsiTheme="majorHAnsi" w:cstheme="majorHAnsi"/>
          <w:szCs w:val="24"/>
        </w:rPr>
        <w:t xml:space="preserve">(MC1) </w:t>
      </w:r>
      <w:commentRangeEnd w:id="0"/>
      <w:r w:rsidR="00447A53">
        <w:rPr>
          <w:rStyle w:val="Refdecomentrio"/>
        </w:rPr>
        <w:commentReference w:id="0"/>
      </w:r>
      <w:r w:rsidRPr="002D15AA">
        <w:rPr>
          <w:rFonts w:asciiTheme="majorHAnsi" w:hAnsiTheme="majorHAnsi" w:cstheme="majorHAnsi"/>
          <w:szCs w:val="24"/>
        </w:rPr>
        <w:t xml:space="preserve">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w:t>
      </w:r>
      <w:r w:rsidRPr="007B60B2">
        <w:rPr>
          <w:rFonts w:asciiTheme="majorHAnsi" w:hAnsiTheme="majorHAnsi" w:cstheme="majorHAnsi"/>
          <w:szCs w:val="24"/>
          <w:highlight w:val="yellow"/>
        </w:rPr>
        <w:t>{Pandian, 2022 #783830})</w:t>
      </w:r>
      <w:r w:rsidRPr="002D15AA">
        <w:rPr>
          <w:rFonts w:asciiTheme="majorHAnsi" w:hAnsiTheme="majorHAnsi" w:cstheme="majorHAnsi"/>
          <w:szCs w:val="24"/>
        </w:rPr>
        <w:t xml:space="preserve"> and morphological descriptors without distinct mechanisms were classified as conceptual categories. Following the biological curation, admission to the modality level (L1) was additionally governed by hard gates </w:t>
      </w:r>
      <w:r w:rsidRPr="007B60B2">
        <w:rPr>
          <w:rFonts w:asciiTheme="majorHAnsi" w:hAnsiTheme="majorHAnsi" w:cstheme="majorHAnsi"/>
          <w:szCs w:val="24"/>
          <w:highlight w:val="yellow"/>
        </w:rPr>
        <w:t>BG0-BG6</w:t>
      </w:r>
      <w:r w:rsidRPr="002D15AA">
        <w:rPr>
          <w:rFonts w:asciiTheme="majorHAnsi" w:hAnsiTheme="majorHAnsi" w:cstheme="majorHAnsi"/>
          <w:szCs w:val="24"/>
        </w:rPr>
        <w:t xml:space="preserve">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(rcdome_level and rcdome_level_name), preserving the external multi-optosis classification (rodr_category) untouched (Supplementary Table S3; Supplementary Table S4). Evidence grades in Tables S3 and S6 use the A–D scale: A, well-established (&gt;100 publications); B, established (10–100); C, emerging (2–10); D, proposed (1); N, not yet classified. The adjudication framework and its governance are documented in Supplementary Note S1; the complete evaluation architecture: RCD entity classification, gene–RCD association evidence, and pipeline quality gates: is summarized in Supplementary Figure S1.</w:t>
      </w:r>
    </w:p>
    <w:p w14:paraId="791D4F58" w14:textId="77777777" w:rsidR="005E2A6F" w:rsidRPr="002D15AA" w:rsidRDefault="005E2A6F" w:rsidP="002D15AA">
      <w:pPr>
        <w:spacing w:after="0" w:line="240" w:lineRule="auto"/>
        <w:rPr>
          <w:rFonts w:asciiTheme="majorHAnsi" w:hAnsiTheme="majorHAnsi" w:cstheme="majorHAnsi"/>
          <w:szCs w:val="24"/>
        </w:rPr>
      </w:pPr>
    </w:p>
    <w:p w14:paraId="7479DB9A"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Operational definitions of RCD entities</w:t>
      </w:r>
    </w:p>
    <w:p w14:paraId="01EA8DDF" w14:textId="0E64C41A" w:rsidR="00A82E1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operational definitions were developed through AI-assisted analysis under human supervision, using dedicated code and systematic human validation (assistant-draft/human-approval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(Database S1; 22,473 rows; 21,568 gene-RCD pairs). The controlled vocabulary is fixed and is not modified by downstream definition work, except manual curation. Each entity's operational definition was assigned from the highest-priority source available, in the order: (i) the verbatim operational definitions of the Nomenclature Committee on Cell Death (NCCD; {Galluzzi, 2018 #782025}), treated as invariant (content and meaning never altered); (ii) the expanded operational definitions of our prior study ({Rodrigues de Souza, 2025 #782030},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r w:rsidRPr="00664F02">
        <w:rPr>
          <w:rFonts w:asciiTheme="majorHAnsi" w:hAnsiTheme="majorHAnsi" w:cstheme="majorHAnsi"/>
          <w:szCs w:val="24"/>
          <w:highlight w:val="yellow"/>
        </w:rPr>
      </w:r>
      <w:r w:rsidRPr="002D15AA">
        <w:rPr>
          <w:rFonts w:asciiTheme="majorHAnsi" w:hAnsiTheme="majorHAnsi" w:cstheme="majorHAnsi"/>
          <w:szCs w:val="24"/>
        </w:rPr>
      </w:r>
      <w:r w:rsidR="00664F02">
        <w:rPr>
          <w:rFonts w:asciiTheme="majorHAnsi" w:hAnsiTheme="majorHAnsi" w:cstheme="majorHAnsi"/>
          <w:szCs w:val="24"/>
        </w:rPr>
      </w:r>
      <w:r w:rsidR="00664F02" w:rsidRPr="00664F02">
        <w:rPr>
          <w:rFonts w:asciiTheme="majorHAnsi" w:hAnsiTheme="majorHAnsi" w:cstheme="majorHAnsi"/>
          <w:szCs w:val="24"/>
          <w:highlight w:val="green"/>
        </w:rPr>
      </w:r>
      <w:r w:rsidRPr="00664F02">
        <w:rPr>
          <w:rFonts w:asciiTheme="majorHAnsi" w:hAnsiTheme="majorHAnsi" w:cstheme="majorHAnsi"/>
          <w:szCs w:val="24"/>
          <w:highlight w:val="green"/>
        </w:rPr>
      </w:r>
      <w:r w:rsidRPr="002D15AA">
        <w:rPr>
          <w:rFonts w:asciiTheme="majorHAnsi" w:hAnsiTheme="majorHAnsi" w:cstheme="majorHAnsi"/>
          <w:szCs w:val="24"/>
        </w:rPr>
      </w:r>
      <w:r w:rsidRPr="002D15AA">
        <w:rPr>
          <w:rFonts w:asciiTheme="majorHAnsi" w:hAnsiTheme="majorHAnsi" w:cstheme="majorHAnsi"/>
          <w:szCs w:val="24"/>
        </w:rPr>
      </w:r>
      <w:r w:rsidR="00664F02" w:rsidRPr="00664F02">
        <w:rPr>
          <w:rFonts w:asciiTheme="majorHAnsi" w:hAnsiTheme="majorHAnsi" w:cstheme="majorHAnsi"/>
          <w:szCs w:val="24"/>
          <w:highlight w:val="yellow"/>
        </w:rPr>
      </w:r>
      <w:r w:rsidRPr="002D15AA">
        <w:rPr>
          <w:rFonts w:asciiTheme="majorHAnsi" w:hAnsiTheme="majorHAnsi" w:cstheme="majorHAnsi"/>
          <w:szCs w:val="24"/>
        </w:rPr>
      </w:r>
      <w:r w:rsidR="00664F02" w:rsidRPr="00664F02">
        <w:rPr>
          <w:rFonts w:asciiTheme="majorHAnsi" w:hAnsiTheme="majorHAnsi" w:cstheme="majorHAnsi"/>
          <w:szCs w:val="24"/>
          <w:highlight w:val="yellow"/>
        </w:rPr>
      </w:r>
      <w:r w:rsidRPr="002D15AA">
        <w:rPr>
          <w:rFonts w:asciiTheme="majorHAnsi" w:hAnsiTheme="majorHAnsi" w:cstheme="majorHAnsi"/>
          <w:szCs w:val="24"/>
        </w:rPr>
      </w:r>
      <w:r w:rsidRPr="00664F02">
        <w:rPr>
          <w:rFonts w:asciiTheme="majorHAnsi" w:hAnsiTheme="majorHAnsi" w:cstheme="majorHAnsi"/>
          <w:szCs w:val="24"/>
          <w:highlight w:val="magenta"/>
        </w:rPr>
      </w:r>
    </w:p>
    <w:p w14:paraId="7E90FAD6" w14:textId="77777777" w:rsidR="00664F02" w:rsidRPr="002D15AA" w:rsidRDefault="00664F02" w:rsidP="002D15AA">
      <w:pPr>
        <w:spacing w:after="0" w:line="240" w:lineRule="auto"/>
        <w:rPr>
          <w:rFonts w:asciiTheme="majorHAnsi" w:hAnsiTheme="majorHAnsi" w:cstheme="majorHAnsi"/>
          <w:szCs w:val="24"/>
        </w:rPr>
      </w:pPr>
    </w:p>
    <w:p w14:paraId="1D556481" w14:textId="77777777" w:rsidR="00C2239D" w:rsidRDefault="00000000" w:rsidP="002D15AA">
      <w:pPr>
        <w:spacing w:line="240" w:lineRule="auto"/>
        <w:rPr>
          <w:rFonts w:asciiTheme="majorHAnsi" w:hAnsiTheme="majorHAnsi" w:cstheme="majorHAnsi"/>
          <w:szCs w:val="24"/>
        </w:rPr>
      </w:pPr>
      <w:r w:rsidRPr="00C2239D">
        <w:rPr>
          <w:rFonts w:asciiTheme="majorHAnsi" w:hAnsiTheme="majorHAnsi" w:cstheme="majorHAnsi"/>
          <w:b/>
          <w:bCs/>
          <w:szCs w:val="24"/>
        </w:rPr>
        <w:t>Human review granularity</w:t>
      </w:r>
    </w:p>
    <w:p w14:paraId="1E515F48" w14:textId="309D4B10"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ontological classification of all 53 entities was curated individually by a primary curator (EM-A), who read, inspected, and approved each case separately (recorded per entity as ontology_curator_verified)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(LOCKED-VERBATIM). Field-level evidence was established through the systematic assistant-draft/human-approval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32C11AA3" w14:textId="77777777" w:rsidR="004A5E2F" w:rsidRPr="002D15AA" w:rsidRDefault="004A5E2F" w:rsidP="002D15AA">
      <w:pPr>
        <w:spacing w:after="0" w:line="240" w:lineRule="auto"/>
        <w:rPr>
          <w:rFonts w:asciiTheme="majorHAnsi" w:hAnsiTheme="majorHAnsi" w:cstheme="majorHAnsi"/>
          <w:szCs w:val="24"/>
        </w:rPr>
      </w:pPr>
    </w:p>
    <w:p w14:paraId="3527A2A7"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RCD entity is represented by a 38-field record comprising three evidence layers: (i) definition: the operational definition (prose), key molecules, inflammatory status, description of overlaps, category, and year of discovery; (ii) quantified ranking: the six criteria RS1–RS6 and the overall score S; and (iii) provenance: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
    <w:p w14:paraId="4C97A66D" w14:textId="77777777" w:rsidR="001E0E68" w:rsidRPr="002D15AA" w:rsidRDefault="001E0E68" w:rsidP="002D15AA">
      <w:pPr>
        <w:spacing w:after="0" w:line="240" w:lineRule="auto"/>
        <w:rPr>
          <w:rFonts w:asciiTheme="majorHAnsi" w:hAnsiTheme="majorHAnsi" w:cstheme="majorHAnsi"/>
          <w:szCs w:val="24"/>
        </w:rPr>
      </w:pPr>
    </w:p>
    <w:p w14:paraId="70D8818E" w14:textId="77777777" w:rsidR="0065188A" w:rsidRPr="002D15AA" w:rsidRDefault="00000000" w:rsidP="002D15AA">
      <w:pPr>
        <w:spacing w:after="0" w:line="240" w:lineRule="auto"/>
        <w:rPr>
          <w:rFonts w:asciiTheme="majorHAnsi" w:hAnsiTheme="majorHAnsi" w:cstheme="majorHAnsi"/>
          <w:szCs w:val="24"/>
        </w:rPr>
      </w:pPr>
      <w:r w:rsidRPr="00C2239D">
        <w:rPr>
          <w:rFonts w:asciiTheme="majorHAnsi" w:hAnsiTheme="majorHAnsi" w:cstheme="majorHAnsi"/>
          <w:szCs w:val="24"/>
        </w:rPr>
        <w:t xml:space="preserve">The </w:t>
      </w:r>
      <w:r w:rsidRPr="002D15AA">
        <w:rPr>
          <w:rFonts w:asciiTheme="majorHAnsi" w:hAnsiTheme="majorHAnsi" w:cstheme="majorHAnsi"/>
          <w:i/>
          <w:iCs/>
          <w:szCs w:val="24"/>
        </w:rPr>
        <w:t>evidence_maturity</w:t>
      </w:r>
      <w:r w:rsidRPr="002D15AA">
        <w:rPr>
          <w:rFonts w:asciiTheme="majorHAnsi" w:hAnsiTheme="majorHAnsi" w:cstheme="majorHAnsi"/>
          <w:szCs w:val="24"/>
        </w:rPr>
        <w:t xml:space="preserve"> dimension records the consensus status of each entity as established, supported, emerging, legacy, or provisional.</w:t>
      </w:r>
    </w:p>
    <w:p w14:paraId="3CEF1C3F" w14:textId="3FE0F101" w:rsidR="00A82E1A" w:rsidRPr="002D15AA" w:rsidRDefault="00000000" w:rsidP="002D15AA">
      <w:pPr>
        <w:spacing w:after="0" w:line="240" w:lineRule="auto"/>
        <w:rPr>
          <w:rFonts w:asciiTheme="majorHAnsi" w:hAnsiTheme="majorHAnsi" w:cstheme="majorHAnsi"/>
          <w:szCs w:val="24"/>
        </w:rPr>
      </w:pPr>
      <w:r w:rsidRPr="00C2239D">
        <w:rPr>
          <w:rFonts w:asciiTheme="majorHAnsi" w:hAnsiTheme="majorHAnsi" w:cstheme="majorHAnsi"/>
          <w:szCs w:val="24"/>
        </w:rPr>
        <w:t>Quantified scoring. The six multi-optosis criteria were retained: RS1 extent of research (25%), RS2 direct involvement (25%), RS3 impact on cell/tissue homeostasis (20%), RS4 emerging potential (15%), RS5 biological significance (10%), and RS6 pathophysiological relevance (5%), each scored 1–10. Three criteria were reinterpreted from the cancer-oriented Rodrigues usage to the cell-biology scope of the RCDome: RS2 ("direct involvement in cancer therapy" → "direct involvement"), RS3 ("impact on cancer 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matrix objective inputs (gene count, mechanistic classification ratio, evidence-tier distribution, and discovery year) and then subjected to assistant-draft/human-approval review.</w:t>
      </w:r>
      <w:r w:rsidR="00C2239D" w:rsidRPr="00C2239D">
        <w:rPr>
          <w:rFonts w:asciiTheme="majorHAnsi" w:hAnsiTheme="majorHAnsi" w:cstheme="majorHAnsi"/>
          <w:szCs w:val="24"/>
        </w:rPr>
      </w:r>
      <w:r w:rsidR="00C2239D">
        <w:rPr>
          <w:rFonts w:asciiTheme="majorHAnsi" w:hAnsiTheme="majorHAnsi" w:cstheme="majorHAnsi"/>
          <w:szCs w:val="24"/>
        </w:rPr>
      </w:r>
      <w:r w:rsidRPr="002D15AA">
        <w:rPr>
          <w:rFonts w:asciiTheme="majorHAnsi" w:hAnsiTheme="majorHAnsi" w:cstheme="majorHAnsi"/>
          <w:szCs w:val="24"/>
        </w:rPr>
      </w:r>
      <w:r w:rsidRPr="002D15AA">
        <w:rPr>
          <w:rFonts w:asciiTheme="majorHAnsi" w:hAnsiTheme="majorHAnsi" w:cstheme="majorHAnsi"/>
          <w:szCs w:val="24"/>
        </w:rPr>
      </w:r>
    </w:p>
    <w:p w14:paraId="3C1B79E0" w14:textId="77777777" w:rsidR="009B500E" w:rsidRPr="002D15AA" w:rsidRDefault="009B500E" w:rsidP="002D15AA">
      <w:pPr>
        <w:spacing w:after="0" w:line="240" w:lineRule="auto"/>
        <w:rPr>
          <w:rFonts w:asciiTheme="majorHAnsi" w:hAnsiTheme="majorHAnsi" w:cstheme="majorHAnsi"/>
          <w:szCs w:val="24"/>
        </w:rPr>
      </w:pPr>
    </w:p>
    <w:p w14:paraId="051F49D0" w14:textId="77777777" w:rsidR="0065188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(defines maturity), and BG6 species scope. These gates operationalize the NCCD MC1-MC5 criteria (BG1 ~ MC1 machinery; BG2 ~ MC5 modulation; BG3 ~ MC2/MC3 trigger and morphology; BG4 ~ MC4 naming). Entities passing BG1 and BG2 were classified hard_gate_status = L1-ELIGIBLE (19/53); the remainder were NOT-L1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14:paraId="62A034DC" w14:textId="77777777" w:rsidR="00C2239D" w:rsidRPr="002D15AA" w:rsidRDefault="00C2239D" w:rsidP="002D15AA">
      <w:pPr>
        <w:spacing w:after="0" w:line="240" w:lineRule="auto"/>
        <w:rPr>
          <w:rFonts w:asciiTheme="majorHAnsi" w:hAnsiTheme="majorHAnsi" w:cstheme="majorHAnsi"/>
          <w:szCs w:val="24"/>
        </w:rPr>
      </w:pPr>
    </w:p>
    <w:p w14:paraId="4FB5EADA" w14:textId="77777777" w:rsidR="00C2239D" w:rsidRDefault="00000000" w:rsidP="002D15AA">
      <w:pPr>
        <w:spacing w:line="240" w:lineRule="auto"/>
        <w:rPr>
          <w:rFonts w:asciiTheme="majorHAnsi" w:hAnsiTheme="majorHAnsi" w:cstheme="majorHAnsi"/>
          <w:szCs w:val="24"/>
        </w:rPr>
      </w:pPr>
      <w:r w:rsidRPr="00C2239D">
        <w:rPr>
          <w:rFonts w:asciiTheme="majorHAnsi" w:hAnsiTheme="majorHAnsi" w:cstheme="majorHAnsi"/>
          <w:b/>
          <w:bCs/>
          <w:szCs w:val="24"/>
        </w:rPr>
        <w:t>Relationship to the NCCD “canonical” ontology</w:t>
      </w:r>
    </w:p>
    <w:p w14:paraId="1C5F7653" w14:textId="4F0F5748"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19 L1 modalities are deliberately a subset of a larger reference set, not a relabeling of it. The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cuproptosis, disulfidptosis, methuosis, oxeiptosis, paraptosis, alkaliptosis, NECSO, mitoxyperilysis, and triaptosis,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154B05C1" w14:textId="77777777" w:rsidR="009B500E" w:rsidRPr="002D15AA" w:rsidRDefault="009B500E" w:rsidP="002D15AA">
      <w:pPr>
        <w:spacing w:after="0" w:line="240" w:lineRule="auto"/>
        <w:rPr>
          <w:rFonts w:asciiTheme="majorHAnsi" w:hAnsiTheme="majorHAnsi" w:cstheme="majorHAnsi"/>
          <w:szCs w:val="24"/>
        </w:rPr>
      </w:pPr>
    </w:p>
    <w:p w14:paraId="7A28680B"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multi-optosis dataset spreadsheet. (2) Primacy of provenance (P0–P3): no entity is ever deleted; composite or derived labels are retained with an explicit provenance note and the evidence PMIDs of their parent entities; an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Human-in-the-loop verification: each drafted field was produced by an assistant (draft step) and is approved, edited, or rejected by a human (approval step), with every decision logged to its source for traceability.</w:t>
      </w:r>
    </w:p>
    <w:p w14:paraId="7B2C7144" w14:textId="77777777" w:rsidR="009B500E" w:rsidRPr="002D15AA" w:rsidRDefault="009B500E" w:rsidP="002D15AA">
      <w:pPr>
        <w:spacing w:after="0" w:line="240" w:lineRule="auto"/>
        <w:rPr>
          <w:rFonts w:asciiTheme="majorHAnsi" w:hAnsiTheme="majorHAnsi" w:cstheme="majorHAnsi"/>
          <w:szCs w:val="24"/>
        </w:rPr>
      </w:pPr>
    </w:p>
    <w:p w14:paraId="730246E5" w14:textId="62311460"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Every operational definition is anchored to a reference PMID: the NCCD verbatim definitions to Galluzzi et al</w:t>
      </w:r>
      <w:r w:rsidR="00445A3E">
        <w:rPr>
          <w:rFonts w:asciiTheme="majorHAnsi" w:hAnsiTheme="majorHAnsi" w:cstheme="majorHAnsi"/>
          <w:szCs w:val="24"/>
          <w:highlight w:val="yellow"/>
        </w:rPr>
        <w:t xml:space="preserve"> </w:t>
      </w:r>
      <w:r w:rsidR="00445A3E" w:rsidRPr="00445A3E">
        <w:rPr>
          <w:rFonts w:asciiTheme="majorHAnsi" w:hAnsiTheme="majorHAnsi" w:cstheme="majorHAnsi"/>
          <w:szCs w:val="24"/>
          <w:highlight w:val="yellow"/>
        </w:rPr>
        <w:t>{Galluzzi, 2018 #782025}</w:t>
      </w:r>
      <w:r w:rsidR="00445A3E">
        <w:rPr>
          <w:rFonts w:asciiTheme="majorHAnsi" w:hAnsiTheme="majorHAnsi" w:cstheme="majorHAnsi"/>
          <w:szCs w:val="24"/>
        </w:rPr>
        <w:t xml:space="preserve"> </w:t>
      </w:r>
      <w:r w:rsidRPr="002D15AA">
        <w:rPr>
          <w:rFonts w:asciiTheme="majorHAnsi" w:hAnsiTheme="majorHAnsi" w:cstheme="majorHAnsi"/>
          <w:szCs w:val="24"/>
        </w:rPr>
        <w:t>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p>
    <w:p w14:paraId="3966AF82" w14:textId="77777777" w:rsidR="009B500E" w:rsidRPr="002D15AA" w:rsidRDefault="009B500E" w:rsidP="002D15AA">
      <w:pPr>
        <w:spacing w:after="0" w:line="240" w:lineRule="auto"/>
        <w:rPr>
          <w:rFonts w:asciiTheme="majorHAnsi" w:hAnsiTheme="majorHAnsi" w:cstheme="majorHAnsi"/>
          <w:szCs w:val="24"/>
        </w:rPr>
      </w:pPr>
    </w:p>
    <w:p w14:paraId="3367F2DB" w14:textId="306093AC"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Consistent with the assistant-draft/human-approval principle of our prior multi-optosis study, in which the operational definitions of the five RCD forms not described by the NCCD were extracted by generative AI (GPT-4o, via the PDF Ai Drive tool, over a corpus of 6,603 free-access PDFs) and subsequently validated by manual review {Rodrigues de Souza, 2025 #782030},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assistant-draft/human-approval review (approve, edit, or reject), with each decision logged to its source; no definition was accepted on the basis of AI output alone. The NCCD-verbatim and multi-optosis-verbatim definitions were preserved byte-identical to their sources and were not re-generated.</w:t>
      </w:r>
      <w:r w:rsidR="00152364">
        <w:rPr>
          <w:rFonts w:asciiTheme="majorHAnsi" w:hAnsiTheme="majorHAnsi" w:cstheme="majorHAnsi"/>
          <w:szCs w:val="24"/>
        </w:rPr>
      </w:r>
      <w:r w:rsidR="00152364" w:rsidRPr="00152364">
        <w:rPr>
          <w:rFonts w:asciiTheme="majorHAnsi" w:hAnsiTheme="majorHAnsi" w:cstheme="majorHAnsi"/>
          <w:szCs w:val="24"/>
          <w:highlight w:val="yellow"/>
        </w:rPr>
      </w:r>
      <w:r w:rsidRPr="002D15AA">
        <w:rPr>
          <w:rFonts w:asciiTheme="majorHAnsi" w:hAnsiTheme="majorHAnsi" w:cstheme="majorHAnsi"/>
          <w:szCs w:val="24"/>
        </w:rPr>
      </w:r>
    </w:p>
    <w:p w14:paraId="35DC933A" w14:textId="77777777" w:rsidR="009B500E" w:rsidRPr="002D15AA" w:rsidRDefault="009B500E" w:rsidP="002D15AA">
      <w:pPr>
        <w:spacing w:after="0" w:line="240" w:lineRule="auto"/>
        <w:rPr>
          <w:rFonts w:asciiTheme="majorHAnsi" w:hAnsiTheme="majorHAnsi" w:cstheme="majorHAnsi"/>
          <w:szCs w:val="24"/>
        </w:rPr>
      </w:pPr>
    </w:p>
    <w:p w14:paraId="6A08DF7A" w14:textId="050B04B1" w:rsidR="00A82E1A" w:rsidRPr="002D15AA" w:rsidRDefault="00864C5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RCDome decoder (the curated 53-entity reference of operational definitions, key molecules, ontological category, and scored evidence) was audited for completeness, score reproducibility (the composite score S (0.25·RS1 + 0.25·RS2 + 0.20·RS3 + 0.15·RS4 + 0.10·RS5 + 0.05·RS6) recomputed deterministically for every record), PMID verifiability (Knock Test), calibration (draft scores versus the locked anchors), and invariance (NCCD definitions byte-identical to the source). Inter-rater agreement between the drafted and human-reviewed RS1–RS6 values is reported as Cohen's κ (target ≥ 0.80). All definition-building code and the resulting 53-entity decoder are provided in the reproducibility repository. The assistant-draft/human-approval review was completed with approval of all 336 drafted fields, and each decision is logged; inter-rater agreement between the drafted and human-reviewed values is reported as Cohen's κ where the review includes independent edits.</w:t>
      </w:r>
    </w:p>
    <w:p w14:paraId="71722921" w14:textId="77777777" w:rsidR="009B500E" w:rsidRPr="002D15AA" w:rsidRDefault="009B500E" w:rsidP="002D15AA">
      <w:pPr>
        <w:spacing w:after="0" w:line="240" w:lineRule="auto"/>
        <w:rPr>
          <w:rFonts w:asciiTheme="majorHAnsi" w:hAnsiTheme="majorHAnsi" w:cstheme="majorHAnsi"/>
          <w:b/>
          <w:bCs/>
          <w:szCs w:val="24"/>
        </w:rPr>
      </w:pPr>
    </w:p>
    <w:p w14:paraId="43A0C0B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Multi-Channel Gene Compilation Architecture</w:t>
      </w:r>
    </w:p>
    <w:p w14:paraId="090DEB5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Gene-level evidence for each of the RCD forms was compiled through five independent but complementary channels, designed to maximize both recall (Channel A: PubMed Boolean searches) and precision (Channels B, C, D: curated databases, AI-assisted screening, and manual curation; Channel E: Elicit Phase 3 systematic review) </w:t>
      </w:r>
      <w:r w:rsidRPr="00C502D2">
        <w:rPr>
          <w:rFonts w:asciiTheme="majorHAnsi" w:hAnsiTheme="majorHAnsi" w:cstheme="majorHAnsi"/>
          <w:szCs w:val="24"/>
          <w:highlight w:val="green"/>
        </w:rPr>
        <w:t>(Figure 1</w:t>
      </w:r>
      <w:r w:rsidRPr="002D15AA">
        <w:rPr>
          <w:rFonts w:asciiTheme="majorHAnsi" w:hAnsiTheme="majorHAnsi" w:cstheme="majorHAnsi"/>
          <w:szCs w:val="24"/>
        </w:rPr>
        <w:t>).</w:t>
      </w:r>
    </w:p>
    <w:p w14:paraId="760A7804" w14:textId="77777777" w:rsidR="00EC5F2D" w:rsidRPr="002D15AA" w:rsidRDefault="00EC5F2D" w:rsidP="002D15AA">
      <w:pPr>
        <w:spacing w:after="0" w:line="240" w:lineRule="auto"/>
        <w:rPr>
          <w:rFonts w:asciiTheme="majorHAnsi" w:hAnsiTheme="majorHAnsi" w:cstheme="majorHAnsi"/>
          <w:szCs w:val="24"/>
        </w:rPr>
      </w:pPr>
    </w:p>
    <w:p w14:paraId="0AAB249F"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Channel A: Programmatic PubMed Boolean Searches. The curated gene database from </w:t>
      </w:r>
      <w:r w:rsidR="002705CC" w:rsidRPr="002D15AA">
        <w:rPr>
          <w:rFonts w:asciiTheme="majorHAnsi" w:hAnsiTheme="majorHAnsi" w:cstheme="majorHAnsi"/>
          <w:szCs w:val="24"/>
          <w:highlight w:val="yellow"/>
        </w:rPr>
        <w:t>{Rodrigues de Souza, 2025 #782030;Rodrigues de Souza, 2026 #784804}</w:t>
      </w:r>
      <w:r w:rsidRPr="002D15AA">
        <w:rPr>
          <w:rFonts w:asciiTheme="majorHAnsi" w:hAnsiTheme="majorHAnsi" w:cstheme="majorHAnsi"/>
          <w:szCs w:val="24"/>
        </w:rPr>
        <w:t xml:space="preserve"> served as the gene universe for Boolean queries. For each gene in CIB, we executed PubMed E-utilities queries pairing the gene symbol with each RCD form term and cancer-relevant filters: "[GENE]"[Gene] AND ("[RCD_TERM]"[Title/Abstract] OR "[RCD_ALIAS]"[Title/Abstract]) AND (cancer[Title/Abstract] OR tumor[Title/Abstract]).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p>
    <w:p w14:paraId="62A8A247" w14:textId="77777777" w:rsidR="00EC5F2D" w:rsidRPr="002D15AA" w:rsidRDefault="00EC5F2D" w:rsidP="002D15AA">
      <w:pPr>
        <w:spacing w:after="0" w:line="240" w:lineRule="auto"/>
        <w:rPr>
          <w:rFonts w:asciiTheme="majorHAnsi" w:hAnsiTheme="majorHAnsi" w:cstheme="majorHAnsi"/>
          <w:color w:val="EE0000"/>
          <w:szCs w:val="24"/>
        </w:rPr>
      </w:pPr>
    </w:p>
    <w:p w14:paraId="7A6678AC" w14:textId="2C3035AC" w:rsidR="00925876" w:rsidRPr="002D15AA" w:rsidRDefault="00925876" w:rsidP="002D15AA">
      <w:pPr>
        <w:spacing w:line="240" w:lineRule="auto"/>
        <w:rPr>
          <w:rFonts w:asciiTheme="majorHAnsi" w:hAnsiTheme="majorHAnsi" w:cstheme="majorHAnsi"/>
          <w:szCs w:val="24"/>
        </w:rPr>
      </w:pPr>
      <w:r w:rsidRPr="002D15AA">
        <w:rPr>
          <w:rFonts w:asciiTheme="majorHAnsi" w:hAnsiTheme="majorHAnsi" w:cstheme="majorHAnsi"/>
          <w:szCs w:val="24"/>
        </w:rPr>
        <w:t xml:space="preserve">Channel B: Topic-Specific Database Extraction. Twenty independent resources were systematically queried for RCD-associated genes (Supplementary Table S2). Tier 1 comprised 10 RCD-specific curated databases: FerrDB v3 (22 RCD modalities, 3,481 unique genes; </w:t>
      </w:r>
      <w:hyperlink r:id="rId17">
        <w:r w:rsidRPr="002D15AA">
          <w:rPr>
            <w:rStyle w:val="Hyperlink"/>
            <w:rFonts w:asciiTheme="majorHAnsi" w:hAnsiTheme="majorHAnsi" w:cstheme="majorHAnsi"/>
            <w:szCs w:val="24"/>
          </w:rPr>
          <w:t>http://www.zhounan.org/ferrdb</w:t>
        </w:r>
      </w:hyperlink>
      <w:r w:rsidRPr="002D15AA">
        <w:rPr>
          <w:rFonts w:asciiTheme="majorHAnsi" w:hAnsiTheme="majorHAnsi" w:cstheme="majorHAnsi"/>
          <w:szCs w:val="24"/>
        </w:rPr>
        <w:t xml:space="preserve">; </w:t>
      </w:r>
      <w:r w:rsidR="0025089F" w:rsidRPr="0025089F">
        <w:rPr>
          <w:rFonts w:asciiTheme="majorHAnsi" w:hAnsiTheme="majorHAnsi" w:cstheme="majorHAnsi"/>
          <w:szCs w:val="24"/>
          <w:highlight w:val="yellow"/>
        </w:rPr>
        <w:t>{Zhou, 2026 #782033}</w:t>
      </w:r>
      <w:r w:rsidRPr="002D15AA">
        <w:rPr>
          <w:rFonts w:asciiTheme="majorHAnsi" w:hAnsiTheme="majorHAnsi" w:cstheme="majorHAnsi"/>
          <w:szCs w:val="24"/>
        </w:rPr>
        <w:t xml:space="preserve">), RCDdb (15 RCD types, 1,846 unique genes; </w:t>
      </w:r>
      <w:hyperlink r:id="rId18">
        <w:r w:rsidRPr="002D15AA">
          <w:rPr>
            <w:rStyle w:val="Hyperlink"/>
            <w:rFonts w:asciiTheme="majorHAnsi" w:hAnsiTheme="majorHAnsi" w:cstheme="majorHAnsi"/>
            <w:szCs w:val="24"/>
          </w:rPr>
          <w:t>http://chenyclab.com/RCDdb</w:t>
        </w:r>
      </w:hyperlink>
      <w:r w:rsidRPr="002D15AA">
        <w:rPr>
          <w:rFonts w:asciiTheme="majorHAnsi" w:hAnsiTheme="majorHAnsi" w:cstheme="majorHAnsi"/>
          <w:szCs w:val="24"/>
        </w:rPr>
        <w:t xml:space="preserve">; </w:t>
      </w:r>
      <w:r w:rsidR="00857FA2" w:rsidRPr="00306B5C">
        <w:rPr>
          <w:rFonts w:asciiTheme="majorHAnsi" w:hAnsiTheme="majorHAnsi" w:cstheme="majorHAnsi"/>
          <w:szCs w:val="24"/>
          <w:highlight w:val="yellow"/>
        </w:rPr>
        <w:t>{Wang, 2024 #786261}</w:t>
      </w:r>
      <w:r w:rsidRPr="002D15AA">
        <w:rPr>
          <w:rFonts w:asciiTheme="majorHAnsi" w:hAnsiTheme="majorHAnsi" w:cstheme="majorHAnsi"/>
          <w:szCs w:val="24"/>
        </w:rPr>
        <w:t xml:space="preserve">), iPCD (15 RCD forms, filtered to 3,393 Homo sapiens genes; </w:t>
      </w:r>
      <w:hyperlink r:id="rId19">
        <w:r w:rsidRPr="002D15AA">
          <w:rPr>
            <w:rStyle w:val="Hyperlink"/>
            <w:rFonts w:asciiTheme="majorHAnsi" w:hAnsiTheme="majorHAnsi" w:cstheme="majorHAnsi"/>
            <w:szCs w:val="24"/>
          </w:rPr>
          <w:t>https://ipcd.biocuckoo.cn</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{Tang, 2022 #783226}</w:t>
      </w:r>
      <w:r w:rsidRPr="002D15AA">
        <w:rPr>
          <w:rFonts w:asciiTheme="majorHAnsi" w:hAnsiTheme="majorHAnsi" w:cstheme="majorHAnsi"/>
          <w:szCs w:val="24"/>
        </w:rPr>
        <w:t xml:space="preserve">), LncRCD (12 RCD types, 1,595 protein-coding target genes; </w:t>
      </w:r>
      <w:hyperlink r:id="rId20">
        <w:r w:rsidRPr="002D15AA">
          <w:rPr>
            <w:rStyle w:val="Hyperlink"/>
            <w:rFonts w:asciiTheme="majorHAnsi" w:hAnsiTheme="majorHAnsi" w:cstheme="majorHAnsi"/>
            <w:szCs w:val="24"/>
          </w:rPr>
          <w:t>https://lncrcddb.bio-database.com</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{Zhao, 2026 #783219}</w:t>
      </w:r>
      <w:r w:rsidRPr="002D15AA">
        <w:rPr>
          <w:rFonts w:asciiTheme="majorHAnsi" w:hAnsiTheme="majorHAnsi" w:cstheme="majorHAnsi"/>
          <w:szCs w:val="24"/>
        </w:rPr>
        <w:t xml:space="preserve">), iLIR (6,087 LC3-interacting region proteins; </w:t>
      </w:r>
      <w:hyperlink r:id="rId21">
        <w:r w:rsidRPr="002D15AA">
          <w:rPr>
            <w:rStyle w:val="Hyperlink"/>
            <w:rFonts w:asciiTheme="majorHAnsi" w:hAnsiTheme="majorHAnsi" w:cstheme="majorHAnsi"/>
            <w:szCs w:val="24"/>
          </w:rPr>
          <w:t>https://ilir.warwick.ac.uk</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{Jacomin, 2016 #786264}</w:t>
      </w:r>
      <w:r w:rsidRPr="002D15AA">
        <w:rPr>
          <w:rFonts w:asciiTheme="majorHAnsi" w:hAnsiTheme="majorHAnsi" w:cstheme="majorHAnsi"/>
          <w:szCs w:val="24"/>
        </w:rPr>
        <w:t xml:space="preserve">), HADb (371 human autophagy genes; </w:t>
      </w:r>
      <w:hyperlink r:id="rId22">
        <w:r w:rsidRPr="002D15AA">
          <w:rPr>
            <w:rStyle w:val="Hyperlink"/>
            <w:rFonts w:asciiTheme="majorHAnsi" w:hAnsiTheme="majorHAnsi" w:cstheme="majorHAnsi"/>
            <w:szCs w:val="24"/>
          </w:rPr>
          <w:t>https://autophagy.lu</w:t>
        </w:r>
      </w:hyperlink>
      <w:r w:rsidRPr="002D15AA">
        <w:rPr>
          <w:rFonts w:asciiTheme="majorHAnsi" w:hAnsiTheme="majorHAnsi" w:cstheme="majorHAnsi"/>
          <w:szCs w:val="24"/>
        </w:rPr>
        <w:t xml:space="preserve">; </w:t>
      </w:r>
      <w:r w:rsidR="009A1966" w:rsidRPr="009A1966">
        <w:rPr>
          <w:rFonts w:asciiTheme="majorHAnsi" w:hAnsiTheme="majorHAnsi" w:cstheme="majorHAnsi"/>
          <w:szCs w:val="24"/>
          <w:highlight w:val="yellow"/>
        </w:rPr>
        <w:t>{Homma, 2011 #786265}</w:t>
      </w:r>
      <w:r w:rsidRPr="002D15AA">
        <w:rPr>
          <w:rFonts w:asciiTheme="majorHAnsi" w:hAnsiTheme="majorHAnsi" w:cstheme="majorHAnsi"/>
          <w:szCs w:val="24"/>
        </w:rPr>
        <w:t xml:space="preserve">), HAMdb (551 human autophagy modulators; </w:t>
      </w:r>
      <w:hyperlink r:id="rId23">
        <w:r w:rsidRPr="002D15AA">
          <w:rPr>
            <w:rStyle w:val="Hyperlink"/>
            <w:rFonts w:asciiTheme="majorHAnsi" w:hAnsiTheme="majorHAnsi" w:cstheme="majorHAnsi"/>
            <w:szCs w:val="24"/>
          </w:rPr>
          <w:t>http://hamdb.scbdd.com</w:t>
        </w:r>
      </w:hyperlink>
      <w:r w:rsidRPr="002D15AA">
        <w:rPr>
          <w:rFonts w:asciiTheme="majorHAnsi" w:hAnsiTheme="majorHAnsi" w:cstheme="majorHAnsi"/>
          <w:szCs w:val="24"/>
        </w:rPr>
        <w:t xml:space="preserve">; </w:t>
      </w:r>
      <w:r w:rsidR="009A1966" w:rsidRPr="005D0E14">
        <w:rPr>
          <w:rFonts w:asciiTheme="majorHAnsi" w:hAnsiTheme="majorHAnsi" w:cstheme="majorHAnsi"/>
          <w:szCs w:val="24"/>
          <w:highlight w:val="yellow"/>
        </w:rPr>
        <w:t>{Wang, 2018 #786266}</w:t>
      </w:r>
      <w:r w:rsidRPr="002D15AA">
        <w:rPr>
          <w:rFonts w:asciiTheme="majorHAnsi" w:hAnsiTheme="majorHAnsi" w:cstheme="majorHAnsi"/>
          <w:szCs w:val="24"/>
        </w:rPr>
        <w:t xml:space="preserve">), ATD (87 autophagy-disease genes; </w:t>
      </w:r>
      <w:hyperlink r:id="rId24">
        <w:r w:rsidRPr="002D15AA">
          <w:rPr>
            <w:rStyle w:val="Hyperlink"/>
            <w:rFonts w:asciiTheme="majorHAnsi" w:hAnsiTheme="majorHAnsi" w:cstheme="majorHAnsi"/>
            <w:szCs w:val="24"/>
          </w:rPr>
          <w:t>http://auto2disease.nwsuaflmz.com</w:t>
        </w:r>
      </w:hyperlink>
      <w:r w:rsidRPr="002D15AA">
        <w:rPr>
          <w:rFonts w:asciiTheme="majorHAnsi" w:hAnsiTheme="majorHAnsi" w:cstheme="majorHAnsi"/>
          <w:szCs w:val="24"/>
        </w:rPr>
        <w:t xml:space="preserve">; </w:t>
      </w:r>
      <w:r w:rsidR="00293EB3" w:rsidRPr="00293EB3">
        <w:rPr>
          <w:rFonts w:asciiTheme="majorHAnsi" w:hAnsiTheme="majorHAnsi" w:cstheme="majorHAnsi"/>
          <w:szCs w:val="24"/>
          <w:highlight w:val="yellow"/>
        </w:rPr>
        <w:t>{Wang, 2018 #786267}</w:t>
      </w:r>
      <w:r w:rsidRPr="002D15AA">
        <w:rPr>
          <w:rFonts w:asciiTheme="majorHAnsi" w:hAnsiTheme="majorHAnsi" w:cstheme="majorHAnsi"/>
          <w:szCs w:val="24"/>
        </w:rPr>
        <w:t xml:space="preserve">), AMT-DB (860 anti-tumor autophagy modulators; </w:t>
      </w:r>
      <w:hyperlink r:id="rId25">
        <w:r w:rsidRPr="002D15AA">
          <w:rPr>
            <w:rStyle w:val="Hyperlink"/>
            <w:rFonts w:asciiTheme="majorHAnsi" w:hAnsiTheme="majorHAnsi" w:cstheme="majorHAnsi"/>
            <w:szCs w:val="24"/>
          </w:rPr>
          <w:t>https://amtdb.vercel.app</w:t>
        </w:r>
      </w:hyperlink>
      <w:r w:rsidRPr="002D15AA">
        <w:rPr>
          <w:rFonts w:asciiTheme="majorHAnsi" w:hAnsiTheme="majorHAnsi" w:cstheme="majorHAnsi"/>
          <w:szCs w:val="24"/>
        </w:rPr>
        <w:t xml:space="preserve">; </w:t>
      </w:r>
      <w:r w:rsidR="00BA0203" w:rsidRPr="00BA0203">
        <w:rPr>
          <w:rFonts w:asciiTheme="majorHAnsi" w:hAnsiTheme="majorHAnsi" w:cstheme="majorHAnsi"/>
          <w:szCs w:val="24"/>
          <w:highlight w:val="yellow"/>
        </w:rPr>
        <w:t>{Fu, 2022 #783221}</w:t>
      </w:r>
      <w:r w:rsidRPr="002D15AA">
        <w:rPr>
          <w:rFonts w:asciiTheme="majorHAnsi" w:hAnsiTheme="majorHAnsi" w:cstheme="majorHAnsi"/>
          <w:szCs w:val="24"/>
        </w:rPr>
        <w:t xml:space="preserve">), and ncFO (90 experimentally verified ncRNA-ferroptosis associations; </w:t>
      </w:r>
      <w:hyperlink r:id="rId26">
        <w:r w:rsidRPr="002D15AA">
          <w:rPr>
            <w:rStyle w:val="Hyperlink"/>
            <w:rFonts w:asciiTheme="majorHAnsi" w:hAnsiTheme="majorHAnsi" w:cstheme="majorHAnsi"/>
            <w:szCs w:val="24"/>
          </w:rPr>
          <w:t>http://www.jianglab.cn/ncFO</w:t>
        </w:r>
      </w:hyperlink>
      <w:r w:rsidRPr="002D15AA">
        <w:rPr>
          <w:rFonts w:asciiTheme="majorHAnsi" w:hAnsiTheme="majorHAnsi" w:cstheme="majorHAnsi"/>
          <w:szCs w:val="24"/>
        </w:rPr>
        <w:t xml:space="preserve">; </w:t>
      </w:r>
      <w:r w:rsidR="00041468" w:rsidRPr="00041468">
        <w:rPr>
          <w:rFonts w:asciiTheme="majorHAnsi" w:hAnsiTheme="majorHAnsi" w:cstheme="majorHAnsi"/>
          <w:szCs w:val="24"/>
          <w:highlight w:val="yellow"/>
        </w:rPr>
        <w:t>{Zhou, 2023 #786269}</w:t>
      </w:r>
      <w:r w:rsidRPr="002D15AA">
        <w:rPr>
          <w:rFonts w:asciiTheme="majorHAnsi" w:hAnsiTheme="majorHAnsi" w:cstheme="majorHAnsi"/>
          <w:szCs w:val="24"/>
        </w:rPr>
        <w:t>).</w:t>
      </w:r>
    </w:p>
    <w:p w14:paraId="48305A7E" w14:textId="77777777" w:rsidR="00AC138D" w:rsidRPr="002D15AA" w:rsidRDefault="00AC138D" w:rsidP="002D15AA">
      <w:pPr>
        <w:spacing w:after="0" w:line="240" w:lineRule="auto"/>
        <w:rPr>
          <w:rFonts w:asciiTheme="majorHAnsi" w:hAnsiTheme="majorHAnsi" w:cstheme="majorHAnsi"/>
          <w:color w:val="auto"/>
          <w:szCs w:val="24"/>
        </w:rPr>
      </w:pPr>
    </w:p>
    <w:p w14:paraId="020C5EEE" w14:textId="3A47F7FC" w:rsidR="00925876" w:rsidRPr="002D15AA" w:rsidRDefault="00925876"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 xml:space="preserve">Tier 2 comprised 5 pathway and molecular databases containing RCD-relevant subsets immersed within larger resources: KEGG (5 pathways via KGML parsing; </w:t>
      </w:r>
      <w:hyperlink r:id="rId27">
        <w:r w:rsidRPr="002D15AA">
          <w:rPr>
            <w:rStyle w:val="Hyperlink"/>
            <w:rFonts w:asciiTheme="majorHAnsi" w:hAnsiTheme="majorHAnsi" w:cstheme="majorHAnsi"/>
            <w:szCs w:val="24"/>
          </w:rPr>
          <w:t>https://rest.kegg.jp</w:t>
        </w:r>
      </w:hyperlink>
      <w:r w:rsidRPr="002D15AA">
        <w:rPr>
          <w:rFonts w:asciiTheme="majorHAnsi" w:hAnsiTheme="majorHAnsi" w:cstheme="majorHAnsi"/>
          <w:szCs w:val="24"/>
        </w:rPr>
        <w:t xml:space="preserve">; </w:t>
      </w:r>
      <w:r w:rsidR="00C370BD" w:rsidRPr="00C370BD">
        <w:rPr>
          <w:rFonts w:asciiTheme="majorHAnsi" w:hAnsiTheme="majorHAnsi" w:cstheme="majorHAnsi"/>
          <w:szCs w:val="24"/>
          <w:highlight w:val="yellow"/>
        </w:rPr>
        <w:t>{Kanehisa, 2017 #786270}</w:t>
      </w:r>
      <w:r w:rsidRPr="002D15AA">
        <w:rPr>
          <w:rFonts w:asciiTheme="majorHAnsi" w:hAnsiTheme="majorHAnsi" w:cstheme="majorHAnsi"/>
          <w:szCs w:val="24"/>
        </w:rPr>
        <w:t xml:space="preserve">), Reactome (Programmed Cell Death hierarchy R-HSA-5357801; </w:t>
      </w:r>
      <w:hyperlink r:id="rId28">
        <w:r w:rsidRPr="002D15AA">
          <w:rPr>
            <w:rStyle w:val="Hyperlink"/>
            <w:rFonts w:asciiTheme="majorHAnsi" w:hAnsiTheme="majorHAnsi" w:cstheme="majorHAnsi"/>
            <w:szCs w:val="24"/>
          </w:rPr>
          <w:t>https://reactome.org</w:t>
        </w:r>
      </w:hyperlink>
      <w:r w:rsidRPr="002D15AA">
        <w:rPr>
          <w:rFonts w:asciiTheme="majorHAnsi" w:hAnsiTheme="majorHAnsi" w:cstheme="majorHAnsi"/>
          <w:szCs w:val="24"/>
        </w:rPr>
        <w:t xml:space="preserve">; </w:t>
      </w:r>
      <w:r w:rsidR="00C370BD" w:rsidRPr="00C370BD">
        <w:rPr>
          <w:rFonts w:asciiTheme="majorHAnsi" w:hAnsiTheme="majorHAnsi" w:cstheme="majorHAnsi"/>
          <w:szCs w:val="24"/>
          <w:highlight w:val="yellow"/>
        </w:rPr>
        <w:t>{Gillespie, 2022 #786271}</w:t>
      </w:r>
      <w:r w:rsidRPr="002D15AA">
        <w:rPr>
          <w:rFonts w:asciiTheme="majorHAnsi" w:hAnsiTheme="majorHAnsi" w:cstheme="majorHAnsi"/>
          <w:szCs w:val="24"/>
        </w:rPr>
        <w:t xml:space="preserve">), Gene Ontology (7 RCD-specific GO terms via QuickGO REST API; </w:t>
      </w:r>
      <w:hyperlink r:id="rId29">
        <w:r w:rsidRPr="002D15AA">
          <w:rPr>
            <w:rStyle w:val="Hyperlink"/>
            <w:rFonts w:asciiTheme="majorHAnsi" w:hAnsiTheme="majorHAnsi" w:cstheme="majorHAnsi"/>
            <w:szCs w:val="24"/>
          </w:rPr>
          <w:t>https://www.ebi.ac.uk/QuickGO</w:t>
        </w:r>
      </w:hyperlink>
      <w:r w:rsidRPr="002D15AA">
        <w:rPr>
          <w:rFonts w:asciiTheme="majorHAnsi" w:hAnsiTheme="majorHAnsi" w:cstheme="majorHAnsi"/>
          <w:szCs w:val="24"/>
        </w:rPr>
        <w:t xml:space="preserve">; </w:t>
      </w:r>
      <w:r w:rsidR="00A85AF0" w:rsidRPr="00A85AF0">
        <w:rPr>
          <w:rFonts w:asciiTheme="majorHAnsi" w:hAnsiTheme="majorHAnsi" w:cstheme="majorHAnsi"/>
          <w:szCs w:val="24"/>
          <w:highlight w:val="yellow"/>
        </w:rPr>
        <w:t>{Gene Ontology, 2023 #786272}</w:t>
      </w:r>
      <w:r w:rsidRPr="002D15AA">
        <w:rPr>
          <w:rFonts w:asciiTheme="majorHAnsi" w:hAnsiTheme="majorHAnsi" w:cstheme="majorHAnsi"/>
          <w:szCs w:val="24"/>
        </w:rPr>
        <w:t xml:space="preserve">), MSigDB/GSEA (12 RCD-relevant gene sets in GMT format; </w:t>
      </w:r>
      <w:hyperlink r:id="rId30">
        <w:r w:rsidRPr="002D15AA">
          <w:rPr>
            <w:rStyle w:val="Hyperlink"/>
            <w:rFonts w:asciiTheme="majorHAnsi" w:hAnsiTheme="majorHAnsi" w:cstheme="majorHAnsi"/>
            <w:szCs w:val="24"/>
          </w:rPr>
          <w:t>https://www.gsea-msigdb.org</w:t>
        </w:r>
      </w:hyperlink>
      <w:r w:rsidRPr="002D15AA">
        <w:rPr>
          <w:rFonts w:asciiTheme="majorHAnsi" w:hAnsiTheme="majorHAnsi" w:cstheme="majorHAnsi"/>
          <w:szCs w:val="24"/>
        </w:rPr>
        <w:t xml:space="preserve">; </w:t>
      </w:r>
      <w:r w:rsidR="00655E8D">
        <w:rPr>
          <w:rFonts w:asciiTheme="majorHAnsi" w:hAnsiTheme="majorHAnsi" w:cstheme="majorHAnsi"/>
          <w:szCs w:val="24"/>
        </w:rPr>
        <w:t>{</w:t>
      </w:r>
      <w:r w:rsidR="00655E8D" w:rsidRPr="00655E8D">
        <w:rPr>
          <w:rFonts w:asciiTheme="majorHAnsi" w:hAnsiTheme="majorHAnsi" w:cstheme="majorHAnsi"/>
          <w:szCs w:val="24"/>
          <w:highlight w:val="yellow"/>
        </w:rPr>
        <w:t>Liberzon, 2011 #786273}</w:t>
      </w:r>
      <w:r w:rsidRPr="002D15AA">
        <w:rPr>
          <w:rFonts w:asciiTheme="majorHAnsi" w:hAnsiTheme="majorHAnsi" w:cstheme="majorHAnsi"/>
          <w:szCs w:val="24"/>
        </w:rPr>
        <w:t>), and WikiPathways (</w:t>
      </w:r>
      <w:hyperlink r:id="rId31">
        <w:r w:rsidRPr="002D15AA">
          <w:rPr>
            <w:rStyle w:val="Hyperlink"/>
            <w:rFonts w:asciiTheme="majorHAnsi" w:hAnsiTheme="majorHAnsi" w:cstheme="majorHAnsi"/>
            <w:szCs w:val="24"/>
          </w:rPr>
          <w:t>https://www.wikipathways.org</w:t>
        </w:r>
      </w:hyperlink>
      <w:r w:rsidR="00445A3E">
        <w:rPr>
          <w:rFonts w:asciiTheme="majorHAnsi" w:hAnsiTheme="majorHAnsi" w:cstheme="majorHAnsi"/>
          <w:szCs w:val="24"/>
        </w:rPr>
        <w:t xml:space="preserve"> </w:t>
      </w:r>
      <w:r w:rsidR="00E07BAB" w:rsidRPr="00677061">
        <w:rPr>
          <w:rFonts w:asciiTheme="majorHAnsi" w:hAnsiTheme="majorHAnsi" w:cstheme="majorHAnsi"/>
          <w:szCs w:val="24"/>
          <w:highlight w:val="yellow"/>
        </w:rPr>
        <w:t>{Martens, 2021 #786274}</w:t>
      </w:r>
      <w:r w:rsidRPr="002D15AA">
        <w:rPr>
          <w:rFonts w:asciiTheme="majorHAnsi" w:hAnsiTheme="majorHAnsi" w:cstheme="majorHAnsi"/>
          <w:szCs w:val="24"/>
        </w:rPr>
        <w:t>). STRING (</w:t>
      </w:r>
      <w:hyperlink r:id="rId32">
        <w:r w:rsidRPr="002D15AA">
          <w:rPr>
            <w:rStyle w:val="Hyperlink"/>
            <w:rFonts w:asciiTheme="majorHAnsi" w:hAnsiTheme="majorHAnsi" w:cstheme="majorHAnsi"/>
            <w:szCs w:val="24"/>
          </w:rPr>
          <w:t>https://string-db.org</w:t>
        </w:r>
      </w:hyperlink>
      <w:r w:rsidRPr="002D15AA">
        <w:rPr>
          <w:rFonts w:asciiTheme="majorHAnsi" w:hAnsiTheme="majorHAnsi" w:cstheme="majorHAnsi"/>
          <w:szCs w:val="24"/>
        </w:rPr>
        <w:t xml:space="preserve">; </w:t>
      </w:r>
      <w:r w:rsidR="00677061" w:rsidRPr="00677061">
        <w:rPr>
          <w:rFonts w:asciiTheme="majorHAnsi" w:hAnsiTheme="majorHAnsi" w:cstheme="majorHAnsi"/>
          <w:szCs w:val="24"/>
          <w:highlight w:val="yellow"/>
        </w:rPr>
        <w:t>{Szklarczyk, 2023 #786275}</w:t>
      </w:r>
      <w:r w:rsidRPr="002D15AA">
        <w:rPr>
          <w:rFonts w:asciiTheme="majorHAnsi" w:hAnsiTheme="majorHAnsi" w:cstheme="majorHAnsi"/>
          <w:szCs w:val="24"/>
        </w:rPr>
        <w:t>) and BioGRID (</w:t>
      </w:r>
      <w:hyperlink r:id="rId33">
        <w:r w:rsidRPr="002D15AA">
          <w:rPr>
            <w:rStyle w:val="Hyperlink"/>
            <w:rFonts w:asciiTheme="majorHAnsi" w:hAnsiTheme="majorHAnsi" w:cstheme="majorHAnsi"/>
            <w:szCs w:val="24"/>
          </w:rPr>
          <w:t>https://thebiogrid.org</w:t>
        </w:r>
      </w:hyperlink>
      <w:r w:rsidRPr="002D15AA">
        <w:rPr>
          <w:rFonts w:asciiTheme="majorHAnsi" w:hAnsiTheme="majorHAnsi" w:cstheme="majorHAnsi"/>
          <w:szCs w:val="24"/>
        </w:rPr>
        <w:t xml:space="preserve">; </w:t>
      </w:r>
      <w:r w:rsidR="00677061" w:rsidRPr="00677061">
        <w:rPr>
          <w:rFonts w:asciiTheme="majorHAnsi" w:hAnsiTheme="majorHAnsi" w:cstheme="majorHAnsi"/>
          <w:szCs w:val="24"/>
          <w:highlight w:val="yellow"/>
        </w:rPr>
        <w:t>{Oughtred, 2021 #786276}</w:t>
      </w:r>
      <w:r w:rsidRPr="002D15AA">
        <w:rPr>
          <w:rFonts w:asciiTheme="majorHAnsi" w:hAnsiTheme="majorHAnsi" w:cstheme="majorHAnsi"/>
          <w:szCs w:val="24"/>
        </w:rPr>
        <w:t>) were used for protein-protein interaction annotation rather than gene extraction.</w:t>
      </w:r>
    </w:p>
    <w:p w14:paraId="2FA28B0E" w14:textId="77777777" w:rsidR="00275E31" w:rsidRPr="002D15AA" w:rsidRDefault="00275E31" w:rsidP="002D15AA">
      <w:pPr>
        <w:spacing w:after="0" w:line="240" w:lineRule="auto"/>
        <w:rPr>
          <w:rFonts w:asciiTheme="majorHAnsi" w:hAnsiTheme="majorHAnsi" w:cstheme="majorHAnsi"/>
          <w:szCs w:val="24"/>
        </w:rPr>
      </w:pPr>
    </w:p>
    <w:p w14:paraId="09BD7394" w14:textId="16B36C2D"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Tier 3 comprised NCBI Gene (32 RCD form queries (run against the forms known at that pipeline stage; the final 53-form compilation retains 29 NCBI_Gene-contributed forms after synonym consolidation) via E-utilities API; </w:t>
      </w:r>
      <w:hyperlink r:id="rId34">
        <w:r w:rsidRPr="002D15AA">
          <w:rPr>
            <w:rStyle w:val="Hyperlink"/>
            <w:rFonts w:asciiTheme="majorHAnsi" w:hAnsiTheme="majorHAnsi" w:cstheme="majorHAnsi"/>
            <w:szCs w:val="24"/>
          </w:rPr>
          <w:t>https://eutils.ncbi.nlm.nih.gov</w:t>
        </w:r>
      </w:hyperlink>
      <w:r w:rsidRPr="002D15AA">
        <w:rPr>
          <w:rFonts w:asciiTheme="majorHAnsi" w:hAnsiTheme="majorHAnsi" w:cstheme="majorHAnsi"/>
          <w:szCs w:val="24"/>
        </w:rPr>
        <w:t xml:space="preserve">; </w:t>
      </w:r>
      <w:r w:rsidR="00113FCC" w:rsidRPr="00113FCC">
        <w:rPr>
          <w:rFonts w:asciiTheme="majorHAnsi" w:hAnsiTheme="majorHAnsi" w:cstheme="majorHAnsi"/>
          <w:szCs w:val="24"/>
          <w:highlight w:val="yellow"/>
        </w:rPr>
        <w:t>{Brown, 2015 #786277}</w:t>
      </w:r>
      <w:r w:rsidRPr="002D15AA">
        <w:rPr>
          <w:rFonts w:asciiTheme="majorHAnsi" w:hAnsiTheme="majorHAnsi" w:cstheme="majorHAnsi"/>
          <w:szCs w:val="24"/>
        </w:rPr>
        <w:t xml:space="preserve">). Tier 4 databases (TCGA, </w:t>
      </w:r>
      <w:hyperlink r:id="rId35">
        <w:r w:rsidRPr="002D15AA">
          <w:rPr>
            <w:rStyle w:val="Hyperlink"/>
            <w:rFonts w:asciiTheme="majorHAnsi" w:hAnsiTheme="majorHAnsi" w:cstheme="majorHAnsi"/>
            <w:szCs w:val="24"/>
          </w:rPr>
          <w:t>https://www.cancer.gov/tcga</w:t>
        </w:r>
      </w:hyperlink>
      <w:r w:rsidRPr="002D15AA">
        <w:rPr>
          <w:rFonts w:asciiTheme="majorHAnsi" w:hAnsiTheme="majorHAnsi" w:cstheme="majorHAnsi"/>
          <w:szCs w:val="24"/>
        </w:rPr>
        <w:t xml:space="preserve">; </w:t>
      </w:r>
      <w:r w:rsidR="00A76866" w:rsidRPr="00A76866">
        <w:rPr>
          <w:rFonts w:asciiTheme="majorHAnsi" w:hAnsiTheme="majorHAnsi" w:cstheme="majorHAnsi"/>
          <w:szCs w:val="24"/>
          <w:highlight w:val="yellow"/>
        </w:rPr>
        <w:t>{Cancer Genome Atlas Research, 2013 #786278}</w:t>
      </w:r>
      <w:r w:rsidRPr="002D15AA">
        <w:rPr>
          <w:rFonts w:asciiTheme="majorHAnsi" w:hAnsiTheme="majorHAnsi" w:cstheme="majorHAnsi"/>
          <w:szCs w:val="24"/>
        </w:rPr>
        <w:t xml:space="preserve">; GEO, </w:t>
      </w:r>
      <w:hyperlink r:id="rId36">
        <w:r w:rsidRPr="002D15AA">
          <w:rPr>
            <w:rStyle w:val="Hyperlink"/>
            <w:rFonts w:asciiTheme="majorHAnsi" w:hAnsiTheme="majorHAnsi" w:cstheme="majorHAnsi"/>
            <w:szCs w:val="24"/>
          </w:rPr>
          <w:t>https://www.ncbi.nlm.nih.gov/geo</w:t>
        </w:r>
      </w:hyperlink>
      <w:r w:rsidRPr="002D15AA">
        <w:rPr>
          <w:rFonts w:asciiTheme="majorHAnsi" w:hAnsiTheme="majorHAnsi" w:cstheme="majorHAnsi"/>
          <w:szCs w:val="24"/>
        </w:rPr>
        <w:t xml:space="preserve">; </w:t>
      </w:r>
      <w:r w:rsidR="002A7758" w:rsidRPr="002A7758">
        <w:rPr>
          <w:rFonts w:asciiTheme="majorHAnsi" w:hAnsiTheme="majorHAnsi" w:cstheme="majorHAnsi"/>
          <w:szCs w:val="24"/>
          <w:highlight w:val="yellow"/>
        </w:rPr>
        <w:t>{Clough, 2024 #786279}</w:t>
      </w:r>
      <w:r w:rsidRPr="002D15AA">
        <w:rPr>
          <w:rFonts w:asciiTheme="majorHAnsi" w:hAnsiTheme="majorHAnsi" w:cstheme="majorHAnsi"/>
          <w:szCs w:val="24"/>
        </w:rPr>
        <w:t xml:space="preserve">; CPTAC, </w:t>
      </w:r>
      <w:hyperlink r:id="rId37">
        <w:r w:rsidRPr="002D15AA">
          <w:rPr>
            <w:rStyle w:val="Hyperlink"/>
            <w:rFonts w:asciiTheme="majorHAnsi" w:hAnsiTheme="majorHAnsi" w:cstheme="majorHAnsi"/>
            <w:szCs w:val="24"/>
          </w:rPr>
          <w:t>https://proteomics.cancer.gov/programs/cptac</w:t>
        </w:r>
      </w:hyperlink>
      <w:r w:rsidRPr="002D15AA">
        <w:rPr>
          <w:rFonts w:asciiTheme="majorHAnsi" w:hAnsiTheme="majorHAnsi" w:cstheme="majorHAnsi"/>
          <w:szCs w:val="24"/>
        </w:rPr>
        <w:t xml:space="preserve">; </w:t>
      </w:r>
      <w:r w:rsidR="002A7758" w:rsidRPr="002A7758">
        <w:rPr>
          <w:rFonts w:asciiTheme="majorHAnsi" w:hAnsiTheme="majorHAnsi" w:cstheme="majorHAnsi"/>
          <w:szCs w:val="24"/>
          <w:highlight w:val="yellow"/>
        </w:rPr>
        <w:t>{Ellis, 2013 #786280}</w:t>
      </w:r>
      <w:r w:rsidRPr="002D15AA">
        <w:rPr>
          <w:rFonts w:asciiTheme="majorHAnsi" w:hAnsiTheme="majorHAnsi" w:cstheme="majorHAnsi"/>
          <w:szCs w:val="24"/>
        </w:rPr>
        <w:t xml:space="preserve">; CCLE, </w:t>
      </w:r>
      <w:hyperlink r:id="rId38">
        <w:r w:rsidRPr="002D15AA">
          <w:rPr>
            <w:rStyle w:val="Hyperlink"/>
            <w:rFonts w:asciiTheme="majorHAnsi" w:hAnsiTheme="majorHAnsi" w:cstheme="majorHAnsi"/>
            <w:szCs w:val="24"/>
          </w:rPr>
          <w:t>https://sites.broadinstitute.org/ccle</w:t>
        </w:r>
      </w:hyperlink>
      <w:r w:rsidRPr="002D15AA">
        <w:rPr>
          <w:rFonts w:asciiTheme="majorHAnsi" w:hAnsiTheme="majorHAnsi" w:cstheme="majorHAnsi"/>
          <w:szCs w:val="24"/>
        </w:rPr>
        <w:t xml:space="preserve">; </w:t>
      </w:r>
      <w:r w:rsidR="00AE4892" w:rsidRPr="00AE4892">
        <w:rPr>
          <w:rFonts w:asciiTheme="majorHAnsi" w:hAnsiTheme="majorHAnsi" w:cstheme="majorHAnsi"/>
          <w:szCs w:val="24"/>
          <w:highlight w:val="yellow"/>
        </w:rPr>
        <w:t>{Barretina, 2012 #786281}</w:t>
      </w:r>
      <w:r w:rsidRPr="002D15AA">
        <w:rPr>
          <w:rFonts w:asciiTheme="majorHAnsi" w:hAnsiTheme="majorHAnsi" w:cstheme="majorHAnsi"/>
          <w:szCs w:val="24"/>
        </w:rPr>
        <w:t xml:space="preserve">; GDSC, </w:t>
      </w:r>
      <w:hyperlink r:id="rId39">
        <w:r w:rsidRPr="002D15AA">
          <w:rPr>
            <w:rStyle w:val="Hyperlink"/>
            <w:rFonts w:asciiTheme="majorHAnsi" w:hAnsiTheme="majorHAnsi" w:cstheme="majorHAnsi"/>
            <w:szCs w:val="24"/>
          </w:rPr>
          <w:t>https://www.depmap.org/portal/gdsc</w:t>
        </w:r>
      </w:hyperlink>
      <w:r w:rsidRPr="002D15AA">
        <w:rPr>
          <w:rFonts w:asciiTheme="majorHAnsi" w:hAnsiTheme="majorHAnsi" w:cstheme="majorHAnsi"/>
          <w:szCs w:val="24"/>
        </w:rPr>
        <w:t xml:space="preserve">; </w:t>
      </w:r>
      <w:r w:rsidR="00D0610C" w:rsidRPr="00D0610C">
        <w:rPr>
          <w:rFonts w:asciiTheme="majorHAnsi" w:hAnsiTheme="majorHAnsi" w:cstheme="majorHAnsi"/>
          <w:szCs w:val="24"/>
          <w:highlight w:val="yellow"/>
        </w:rPr>
        <w:t>{Garnett, 2012 #786282}</w:t>
      </w:r>
      <w:r w:rsidRPr="002D15AA">
        <w:rPr>
          <w:rFonts w:asciiTheme="majorHAnsi" w:hAnsiTheme="majorHAnsi" w:cstheme="majorHAnsi"/>
          <w:szCs w:val="24"/>
        </w:rPr>
        <w:t xml:space="preserve">; and DepMap, </w:t>
      </w:r>
      <w:hyperlink r:id="rId40">
        <w:r w:rsidRPr="002D15AA">
          <w:rPr>
            <w:rStyle w:val="Hyperlink"/>
            <w:rFonts w:asciiTheme="majorHAnsi" w:hAnsiTheme="majorHAnsi" w:cstheme="majorHAnsi"/>
            <w:szCs w:val="24"/>
          </w:rPr>
          <w:t>https://depmap.org</w:t>
        </w:r>
      </w:hyperlink>
      <w:r w:rsidRPr="002D15AA">
        <w:rPr>
          <w:rFonts w:asciiTheme="majorHAnsi" w:hAnsiTheme="majorHAnsi" w:cstheme="majorHAnsi"/>
          <w:szCs w:val="24"/>
        </w:rPr>
        <w:t xml:space="preserve">; </w:t>
      </w:r>
      <w:r w:rsidR="004E6BE3" w:rsidRPr="004E6BE3">
        <w:rPr>
          <w:rFonts w:asciiTheme="majorHAnsi" w:hAnsiTheme="majorHAnsi" w:cstheme="majorHAnsi"/>
          <w:szCs w:val="24"/>
          <w:highlight w:val="yellow"/>
        </w:rPr>
        <w:t>{Tsherniak, 2017 #786283}</w:t>
      </w:r>
      <w:r w:rsidRPr="002D15AA">
        <w:rPr>
          <w:rFonts w:asciiTheme="majorHAnsi" w:hAnsiTheme="majorHAnsi" w:cstheme="majorHAnsi"/>
          <w:szCs w:val="24"/>
        </w:rPr>
        <w:t>) were used for omic layer annotation rather than gene extraction.</w:t>
      </w:r>
    </w:p>
    <w:p w14:paraId="4407B6ED" w14:textId="77777777" w:rsidR="00EC5F2D" w:rsidRPr="002D15AA" w:rsidRDefault="00EC5F2D" w:rsidP="002D15AA">
      <w:pPr>
        <w:spacing w:after="0" w:line="240" w:lineRule="auto"/>
        <w:rPr>
          <w:rFonts w:asciiTheme="majorHAnsi" w:hAnsiTheme="majorHAnsi" w:cstheme="majorHAnsi"/>
          <w:szCs w:val="24"/>
        </w:rPr>
      </w:pPr>
    </w:p>
    <w:p w14:paraId="77018AD8"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11387E20" w14:textId="77777777" w:rsidR="00EC5F2D" w:rsidRPr="002D15AA" w:rsidRDefault="00EC5F2D" w:rsidP="002D15AA">
      <w:pPr>
        <w:spacing w:after="0" w:line="240" w:lineRule="auto"/>
        <w:rPr>
          <w:rFonts w:asciiTheme="majorHAnsi" w:hAnsiTheme="majorHAnsi" w:cstheme="majorHAnsi"/>
          <w:szCs w:val="24"/>
        </w:rPr>
      </w:pPr>
    </w:p>
    <w:p w14:paraId="3F4B5CA1"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ncFO </w:t>
      </w:r>
      <w:r w:rsidR="0072338A" w:rsidRPr="002D15AA">
        <w:rPr>
          <w:rFonts w:asciiTheme="majorHAnsi" w:hAnsiTheme="majorHAnsi" w:cstheme="majorHAnsi"/>
          <w:szCs w:val="24"/>
          <w:highlight w:val="yellow"/>
        </w:rPr>
        <w:t>{Zhou, 2023 #784803}</w:t>
      </w:r>
      <w:r w:rsidR="002E5FF2" w:rsidRPr="002D15AA">
        <w:rPr>
          <w:rFonts w:asciiTheme="majorHAnsi" w:hAnsiTheme="majorHAnsi" w:cstheme="majorHAnsi"/>
          <w:szCs w:val="24"/>
        </w:rPr>
        <w:t>,</w:t>
      </w:r>
      <w:r w:rsidR="0072338A" w:rsidRPr="002D15AA">
        <w:rPr>
          <w:rFonts w:asciiTheme="majorHAnsi" w:hAnsiTheme="majorHAnsi" w:cstheme="majorHAnsi"/>
          <w:szCs w:val="24"/>
        </w:rPr>
        <w:t xml:space="preserve"> </w:t>
      </w:r>
      <w:r w:rsidRPr="002D15AA">
        <w:rPr>
          <w:rFonts w:asciiTheme="majorHAnsi" w:hAnsiTheme="majorHAnsi" w:cstheme="majorHAnsi"/>
          <w:szCs w:val="24"/>
        </w:rPr>
        <w:t xml:space="preserve">a curated database of experimentally verified ncRNA-ferroptosis associations, was integrated as a corroborating source for Ferroptosis: 50 HGNC-validated human miRNA and lncRNA genes were appended to existing Ferroptosis pairs (one </w:t>
      </w:r>
      <w:r w:rsidRPr="002D15AA">
        <w:rPr>
          <w:rFonts w:asciiTheme="majorHAnsi" w:hAnsiTheme="majorHAnsi" w:cstheme="majorHAnsi"/>
          <w:szCs w:val="24"/>
        </w:rPr>
        <w:lastRenderedPageBreak/>
        <w:t>new pair, MIR92A1); three entries were excluded (two clone names without HGNC identifiers and one miRNA withdrawn by miRBase). ncFO's human circRNA entries were documented but not integrated, because circRNAs lack HGNC nomenclature and a complete circRNA layer would require class-wide curation across all RCD forms.</w:t>
      </w:r>
    </w:p>
    <w:p w14:paraId="492D5F82" w14:textId="77777777" w:rsidR="00EC5F2D" w:rsidRPr="002D15AA" w:rsidRDefault="00EC5F2D" w:rsidP="002D15AA">
      <w:pPr>
        <w:spacing w:after="0" w:line="240" w:lineRule="auto"/>
        <w:rPr>
          <w:rFonts w:asciiTheme="majorHAnsi" w:hAnsiTheme="majorHAnsi" w:cstheme="majorHAnsi"/>
          <w:szCs w:val="24"/>
        </w:rPr>
      </w:pPr>
    </w:p>
    <w:p w14:paraId="6CB5E1F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We also considered the RCDscore compendium </w:t>
      </w:r>
      <w:r w:rsidR="0072338A" w:rsidRPr="002D15AA">
        <w:rPr>
          <w:rFonts w:asciiTheme="majorHAnsi" w:hAnsiTheme="majorHAnsi" w:cstheme="majorHAnsi"/>
          <w:szCs w:val="24"/>
          <w:highlight w:val="yellow"/>
        </w:rPr>
        <w:t>{Zhang, 2024 #782727}</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a pan-cancer resource that collects 18 RCD signatures (11,206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7,460 genes) from prior studies to predict overall survival and immune checkpoint inhibitor response. RCDscore was not integrated into the RCDome matrix because it catalogues gene pathways rather than curated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association pairs: its signatures are broad GSVA/ssGSEA gene sets (up to 3,449 genes for a single form) whose membership reflects pathway involvement, not evidence of a specific role in the death mechanism. Accordingly, the 67.8% of gene</w:t>
      </w:r>
      <w:r w:rsidR="002E5FF2" w:rsidRPr="002D15AA">
        <w:rPr>
          <w:rFonts w:asciiTheme="majorHAnsi" w:hAnsiTheme="majorHAnsi" w:cstheme="majorHAnsi"/>
          <w:szCs w:val="24"/>
        </w:rPr>
        <w:t xml:space="preserve">-RCD </w:t>
      </w:r>
      <w:r w:rsidRPr="002D15AA">
        <w:rPr>
          <w:rFonts w:asciiTheme="majorHAnsi" w:hAnsiTheme="majorHAnsi" w:cstheme="majorHAnsi"/>
          <w:szCs w:val="24"/>
        </w:rPr>
        <w:t>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18AA44C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For each database, extraction was performed using dedicated Python scripts (channel_b_*.py), with all gene symbols validated against HGNC nomenclature. Every gene-RCD association was annotated with its source database, evidence type, and extraction timestamp.</w:t>
      </w:r>
    </w:p>
    <w:p w14:paraId="571D58F0" w14:textId="77777777" w:rsidR="00EC5F2D" w:rsidRPr="002D15AA" w:rsidRDefault="00EC5F2D" w:rsidP="002D15AA">
      <w:pPr>
        <w:spacing w:after="0" w:line="240" w:lineRule="auto"/>
        <w:rPr>
          <w:rFonts w:asciiTheme="majorHAnsi" w:hAnsiTheme="majorHAnsi" w:cstheme="majorHAnsi"/>
          <w:color w:val="EE0000"/>
          <w:szCs w:val="24"/>
        </w:rPr>
      </w:pPr>
    </w:p>
    <w:p w14:paraId="1BE9D67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ontology_curator_verified = TRUE (each entity individually reviewed and approved, logged 2026-09-05). The Consensus.ai academic search engine (https://consensus.app) was used for semantic searches across 200M+ papers, returning claim-level extractions with citation context.</w:t>
      </w:r>
      <w:hyperlink r:id="rId41">
        <w:r w:rsidRPr="002D15AA">
          <w:rPr>
            <w:rFonts w:asciiTheme="majorHAnsi" w:hAnsiTheme="majorHAnsi" w:cstheme="majorHAnsi"/>
            <w:color w:val="0563C1"/>
            <w:szCs w:val="24"/>
            <w:u w:val="single"/>
          </w:rPr>
          <w:t>https://consensus.app</w:t>
        </w:r>
      </w:hyperlink>
    </w:p>
    <w:p w14:paraId="74D46C10" w14:textId="77777777" w:rsidR="00EC5F2D" w:rsidRPr="002D15AA" w:rsidRDefault="00EC5F2D" w:rsidP="002D15AA">
      <w:pPr>
        <w:spacing w:after="0" w:line="240" w:lineRule="auto"/>
        <w:rPr>
          <w:rFonts w:asciiTheme="majorHAnsi" w:hAnsiTheme="majorHAnsi" w:cstheme="majorHAnsi"/>
          <w:szCs w:val="24"/>
        </w:rPr>
      </w:pPr>
    </w:p>
    <w:p w14:paraId="144298C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9ECB508" w14:textId="77777777" w:rsidR="00EC5F2D" w:rsidRPr="002D15AA" w:rsidRDefault="00EC5F2D" w:rsidP="002D15AA">
      <w:pPr>
        <w:spacing w:after="0" w:line="240" w:lineRule="auto"/>
        <w:rPr>
          <w:rFonts w:asciiTheme="majorHAnsi" w:hAnsiTheme="majorHAnsi" w:cstheme="majorHAnsi"/>
          <w:b/>
          <w:bCs/>
          <w:szCs w:val="24"/>
        </w:rPr>
      </w:pPr>
    </w:p>
    <w:p w14:paraId="68E9D57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Gene-RCD Association Traceability Specification</w:t>
      </w:r>
    </w:p>
    <w:p w14:paraId="6DAEFCBC" w14:textId="77777777" w:rsidR="009B500E"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 curator-verification status (the ontology_curator_verified field), which was set to TRUE for all 53 entities following individual entity-by-entity review and approval (logged 2026-09-05). An automated rejection engine enforces these rules at the integration step.</w:t>
      </w:r>
    </w:p>
    <w:p w14:paraId="6D22B593" w14:textId="77777777" w:rsidR="009B500E" w:rsidRPr="002D15AA" w:rsidRDefault="009B500E" w:rsidP="002D15AA">
      <w:pPr>
        <w:spacing w:after="0" w:line="240" w:lineRule="auto"/>
        <w:rPr>
          <w:rFonts w:asciiTheme="majorHAnsi" w:hAnsiTheme="majorHAnsi" w:cstheme="majorHAnsi"/>
          <w:szCs w:val="24"/>
        </w:rPr>
      </w:pPr>
    </w:p>
    <w:p w14:paraId="679CBD3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Data Integration and Unified Gene-RCD Matrix</w:t>
      </w:r>
    </w:p>
    <w:p w14:paraId="0313C7B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Outputs from all five channels were merged into a unified gene-RCD association matrix using (gene_symbol, rcd_form) as the primary merge key, preserving the original RCD form name exactly as recorded in each source database. A parallel rcd_form_canonical column was reserved for subsequent expert-governed unification of synonymous form names (e.g., "Entosis" to "Entotic cell death").</w:t>
      </w:r>
    </w:p>
    <w:p w14:paraId="28E17E11" w14:textId="77777777" w:rsidR="00EC5F2D" w:rsidRPr="002D15AA" w:rsidRDefault="00EC5F2D" w:rsidP="002D15AA">
      <w:pPr>
        <w:spacing w:after="0" w:line="240" w:lineRule="auto"/>
        <w:rPr>
          <w:rFonts w:asciiTheme="majorHAnsi" w:hAnsiTheme="majorHAnsi" w:cstheme="majorHAnsi"/>
          <w:szCs w:val="24"/>
        </w:rPr>
      </w:pPr>
    </w:p>
    <w:p w14:paraId="6DAE09B3"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gene-RCD association was annotated with an evidence_quality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ai_extracted) expanded the matrix to the final 22,473 rows.</w:t>
      </w:r>
    </w:p>
    <w:p w14:paraId="48B6F95C" w14:textId="77777777" w:rsidR="00EC5F2D" w:rsidRPr="002D15AA" w:rsidRDefault="00EC5F2D" w:rsidP="002D15AA">
      <w:pPr>
        <w:spacing w:after="0" w:line="240" w:lineRule="auto"/>
        <w:rPr>
          <w:rFonts w:asciiTheme="majorHAnsi" w:hAnsiTheme="majorHAnsi" w:cstheme="majorHAnsi"/>
          <w:szCs w:val="24"/>
        </w:rPr>
      </w:pPr>
    </w:p>
    <w:p w14:paraId="2E891677" w14:textId="5689955E"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Additionally, all gene symbols in the merged matrix were validated against the HGNC complete approved symbol set (n = 45,030; </w:t>
      </w:r>
      <w:hyperlink r:id="rId42">
        <w:r w:rsidRPr="002D15AA">
          <w:rPr>
            <w:rStyle w:val="Hyperlink"/>
            <w:rFonts w:asciiTheme="majorHAnsi" w:hAnsiTheme="majorHAnsi" w:cstheme="majorHAnsi"/>
            <w:szCs w:val="24"/>
          </w:rPr>
          <w:t>https://rest.genenames.org</w:t>
        </w:r>
      </w:hyperlink>
      <w:r w:rsidRPr="002D15AA">
        <w:rPr>
          <w:rFonts w:asciiTheme="majorHAnsi" w:hAnsiTheme="majorHAnsi" w:cstheme="majorHAnsi"/>
          <w:szCs w:val="24"/>
        </w:rPr>
        <w:t xml:space="preserve">; </w:t>
      </w:r>
      <w:r w:rsidR="00E16F4E">
        <w:rPr>
          <w:rFonts w:asciiTheme="majorHAnsi" w:hAnsiTheme="majorHAnsi" w:cstheme="majorHAnsi"/>
          <w:szCs w:val="24"/>
        </w:rPr>
        <w:t>{</w:t>
      </w:r>
      <w:r w:rsidR="00E16F4E" w:rsidRPr="00E16F4E">
        <w:rPr>
          <w:rFonts w:asciiTheme="majorHAnsi" w:hAnsiTheme="majorHAnsi" w:cstheme="majorHAnsi"/>
          <w:szCs w:val="24"/>
          <w:highlight w:val="yellow"/>
        </w:rPr>
        <w:t>Seal, 2023 #786308}</w:t>
      </w:r>
      <w:r w:rsidRPr="002D15AA">
        <w:rPr>
          <w:rFonts w:asciiTheme="majorHAnsi" w:hAnsiTheme="majorHAnsi" w:cstheme="majorHAnsi"/>
          <w:szCs w:val="24"/>
        </w:rPr>
        <w:t>).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gene_symbol_status column of the raw matrix and documented in the extraction audit log.</w:t>
      </w:r>
    </w:p>
    <w:p w14:paraId="5C2F971D" w14:textId="77777777" w:rsidR="00EC5F2D" w:rsidRPr="002D15AA" w:rsidRDefault="00EC5F2D" w:rsidP="002D15AA">
      <w:pPr>
        <w:spacing w:after="0" w:line="240" w:lineRule="auto"/>
        <w:rPr>
          <w:rFonts w:asciiTheme="majorHAnsi" w:hAnsiTheme="majorHAnsi" w:cstheme="majorHAnsi"/>
          <w:szCs w:val="24"/>
        </w:rPr>
      </w:pPr>
    </w:p>
    <w:p w14:paraId="28C5231B" w14:textId="77777777" w:rsidR="005E2A6F"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sidRPr="002D15AA">
        <w:rPr>
          <w:rFonts w:asciiTheme="majorHAnsi" w:hAnsiTheme="majorHAnsi" w:cstheme="majorHAnsi"/>
          <w:szCs w:val="24"/>
        </w:rPr>
        <w:t xml:space="preserve"> </w:t>
      </w:r>
      <w:r w:rsidR="004C0F76" w:rsidRPr="002D15AA">
        <w:rPr>
          <w:rFonts w:asciiTheme="majorHAnsi" w:hAnsiTheme="majorHAnsi" w:cstheme="majorHAnsi"/>
          <w:szCs w:val="24"/>
          <w:highlight w:val="green"/>
        </w:rPr>
        <w:t>(Dataset S1)</w:t>
      </w:r>
      <w:r w:rsidRPr="002D15AA">
        <w:rPr>
          <w:rFonts w:asciiTheme="majorHAnsi" w:hAnsiTheme="majorHAnsi" w:cstheme="majorHAnsi"/>
          <w:szCs w:val="24"/>
        </w:rPr>
        <w:t xml:space="preserve">. </w:t>
      </w:r>
    </w:p>
    <w:p w14:paraId="2DE0880B" w14:textId="77777777" w:rsidR="00EC5F2D" w:rsidRPr="002D15AA" w:rsidRDefault="00EC5F2D" w:rsidP="002D15AA">
      <w:pPr>
        <w:spacing w:after="0" w:line="240" w:lineRule="auto"/>
        <w:rPr>
          <w:rFonts w:asciiTheme="majorHAnsi" w:hAnsiTheme="majorHAnsi" w:cstheme="majorHAnsi"/>
          <w:b/>
          <w:bCs/>
          <w:szCs w:val="24"/>
        </w:rPr>
      </w:pPr>
    </w:p>
    <w:p w14:paraId="19CFE18B" w14:textId="77777777" w:rsidR="00925876" w:rsidRPr="00E6339B" w:rsidRDefault="00921C18" w:rsidP="002D15AA">
      <w:pPr>
        <w:spacing w:after="0" w:line="240" w:lineRule="auto"/>
        <w:rPr>
          <w:rFonts w:asciiTheme="majorHAnsi" w:hAnsiTheme="majorHAnsi" w:cstheme="majorHAnsi"/>
          <w:b/>
          <w:bCs/>
          <w:color w:val="auto"/>
          <w:szCs w:val="24"/>
        </w:rPr>
      </w:pPr>
      <w:r w:rsidRPr="00E6339B">
        <w:rPr>
          <w:rFonts w:asciiTheme="majorHAnsi" w:hAnsiTheme="majorHAnsi" w:cstheme="majorHAnsi"/>
          <w:b/>
          <w:bCs/>
          <w:szCs w:val="24"/>
        </w:rPr>
        <w:t>RCD Form Vocabulary Expansion, External Audit, and Governance</w:t>
      </w:r>
    </w:p>
    <w:p w14:paraId="570C5947" w14:textId="77777777" w:rsidR="00EA778E"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Floatptosis and Lysozincrosis as a cell-type program (L4) and a subtype (L2), respectively, and Metalloptosis as an umbrella term, completing the 53-entity vocabulary. An external audit subsequently integrated three additional databases (Reactome pathway-specific gene sets, WikiPathways, and XDeathDB), bringing the final count to 53 RCD-related entities (</w:t>
      </w:r>
      <w:r w:rsidRPr="003D6FFF">
        <w:rPr>
          <w:rFonts w:asciiTheme="majorHAnsi" w:hAnsiTheme="majorHAnsi" w:cstheme="majorHAnsi"/>
          <w:color w:val="auto"/>
          <w:szCs w:val="24"/>
          <w:highlight w:val="green"/>
        </w:rPr>
        <w:t>Supplementary Table S3).</w:t>
      </w:r>
      <w:r w:rsidRPr="002D15AA">
        <w:rPr>
          <w:rFonts w:asciiTheme="majorHAnsi" w:hAnsiTheme="majorHAnsi" w:cstheme="majorHAnsi"/>
          <w:color w:val="auto"/>
          <w:szCs w:val="24"/>
        </w:rPr>
        <w:t xml:space="preserve"> </w:t>
      </w:r>
    </w:p>
    <w:p w14:paraId="0FC9D316" w14:textId="77777777" w:rsidR="00EA778E" w:rsidRPr="002D15AA" w:rsidRDefault="00EA778E" w:rsidP="002D15AA">
      <w:pPr>
        <w:spacing w:after="0" w:line="240" w:lineRule="auto"/>
        <w:rPr>
          <w:rFonts w:asciiTheme="majorHAnsi" w:hAnsiTheme="majorHAnsi" w:cstheme="majorHAnsi"/>
          <w:color w:val="auto"/>
          <w:szCs w:val="24"/>
        </w:rPr>
      </w:pPr>
    </w:p>
    <w:p w14:paraId="4CB3A1BF" w14:textId="77777777" w:rsidR="00925876"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lastRenderedPageBreak/>
        <w:t>Three proposals were formally excluded on fundamental grounds:</w:t>
      </w:r>
    </w:p>
    <w:p w14:paraId="2251036A" w14:textId="77777777" w:rsidR="00EA778E" w:rsidRPr="002D15AA" w:rsidRDefault="00EA778E" w:rsidP="002D15AA">
      <w:pPr>
        <w:spacing w:after="0" w:line="240" w:lineRule="auto"/>
        <w:rPr>
          <w:rFonts w:asciiTheme="majorHAnsi" w:hAnsiTheme="majorHAnsi" w:cstheme="majorHAnsi"/>
          <w:color w:val="auto"/>
          <w:szCs w:val="24"/>
        </w:rPr>
      </w:pPr>
    </w:p>
    <w:p w14:paraId="18FCC9FC"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1. </w:t>
      </w:r>
      <w:r w:rsidR="00921C18" w:rsidRPr="002D15AA">
        <w:rPr>
          <w:rFonts w:asciiTheme="majorHAnsi" w:hAnsiTheme="majorHAnsi" w:cstheme="majorHAnsi"/>
          <w:color w:val="auto"/>
          <w:szCs w:val="24"/>
        </w:rPr>
        <w:t>Cobaltosis: This term describes systemic cobalt toxicity (cobaltism) from metal-on-metal hip implants, not a genetically encoded cell death program. The cellular damage is a consequence of heavy metal poisoning, not a regulated entity with distinct molecular machinery. No unique trigger, executioner, or inhibitor distinguishes it from general metal toxicity.</w:t>
      </w:r>
    </w:p>
    <w:p w14:paraId="34DD7F2C" w14:textId="77777777" w:rsidR="00EA778E" w:rsidRPr="002D15AA" w:rsidRDefault="00EA778E" w:rsidP="002D15AA">
      <w:pPr>
        <w:spacing w:after="0" w:line="240" w:lineRule="auto"/>
        <w:rPr>
          <w:rFonts w:asciiTheme="majorHAnsi" w:hAnsiTheme="majorHAnsi" w:cstheme="majorHAnsi"/>
          <w:color w:val="auto"/>
          <w:szCs w:val="24"/>
        </w:rPr>
      </w:pPr>
    </w:p>
    <w:p w14:paraId="30647E6C"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2. </w:t>
      </w:r>
      <w:r w:rsidR="00921C18" w:rsidRPr="002D15AA">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1A52BAFF" w14:textId="77777777" w:rsidR="00EA778E" w:rsidRPr="002D15AA" w:rsidRDefault="00EA778E" w:rsidP="002D15AA">
      <w:pPr>
        <w:spacing w:after="0" w:line="240" w:lineRule="auto"/>
        <w:rPr>
          <w:rFonts w:asciiTheme="majorHAnsi" w:hAnsiTheme="majorHAnsi" w:cstheme="majorHAnsi"/>
          <w:color w:val="auto"/>
          <w:szCs w:val="24"/>
        </w:rPr>
      </w:pPr>
    </w:p>
    <w:p w14:paraId="72DC803B"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3. </w:t>
      </w:r>
      <w:r w:rsidR="00921C18" w:rsidRPr="002D15AA">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10304F19" w14:textId="77777777" w:rsidR="00925876"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The exclusion of cobaltosis, calcioptosis, and corneoptosis is documented here to establish a precedent: not every "-ptosis" or "-osis" term proposed in the literature qualifies as a distinct regulated cell death form. The five-criteria framework serves as the gatekeeper.</w:t>
      </w:r>
    </w:p>
    <w:p w14:paraId="285728B5" w14:textId="77777777" w:rsidR="0022059B" w:rsidRPr="002D15AA" w:rsidRDefault="0022059B" w:rsidP="002D15AA">
      <w:pPr>
        <w:spacing w:after="0" w:line="240" w:lineRule="auto"/>
        <w:rPr>
          <w:rFonts w:asciiTheme="majorHAnsi" w:hAnsiTheme="majorHAnsi" w:cstheme="majorHAnsi"/>
          <w:color w:val="EE0000"/>
          <w:szCs w:val="24"/>
        </w:rPr>
      </w:pPr>
    </w:p>
    <w:p w14:paraId="32C16B3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(rcd_form) is preserved in every row; the normalized name (rcd_form_canonical)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w:t>
      </w:r>
      <w:r w:rsidRPr="00D36884">
        <w:rPr>
          <w:rFonts w:asciiTheme="majorHAnsi" w:hAnsiTheme="majorHAnsi" w:cstheme="majorHAnsi"/>
          <w:szCs w:val="24"/>
          <w:highlight w:val="green"/>
        </w:rPr>
        <w:t>Supplementary Table S5.</w:t>
      </w:r>
    </w:p>
    <w:p w14:paraId="4139FC8F" w14:textId="77777777" w:rsidR="00EA778E" w:rsidRPr="002D15AA" w:rsidRDefault="00EA778E" w:rsidP="002D15AA">
      <w:pPr>
        <w:spacing w:after="0" w:line="240" w:lineRule="auto"/>
        <w:rPr>
          <w:rFonts w:asciiTheme="majorHAnsi" w:hAnsiTheme="majorHAnsi" w:cstheme="majorHAnsi"/>
          <w:szCs w:val="24"/>
        </w:rPr>
      </w:pPr>
    </w:p>
    <w:p w14:paraId="689AD7E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Normalization mapping (11 renames to produce 53 RCD-related entities, all with gene-level evidence):</w:t>
      </w:r>
    </w:p>
    <w:p w14:paraId="1759D6F2" w14:textId="77777777" w:rsidR="00925876" w:rsidRPr="002D15AA" w:rsidRDefault="00925876" w:rsidP="002D15AA">
      <w:pPr>
        <w:spacing w:after="0" w:line="240" w:lineRule="auto"/>
        <w:rPr>
          <w:rFonts w:asciiTheme="majorHAnsi" w:hAnsiTheme="majorHAnsi" w:cstheme="majorHAnsi"/>
          <w:szCs w:val="24"/>
        </w:rPr>
      </w:pPr>
    </w:p>
    <w:p w14:paraId="6C97B87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final RCD form vocabulary consolidates 62 original name strings from 20 independent resources into 53 RCD-related entities through 9 synonym-merge groups (11 name eliminations, 2 split names). All 53 RCD-related entities carry gene-level evidence in the unified matrix (Supplementary Table S3). The full expansion and normalization methodology is documented in the Methods (Normalization mapping) and Supplementary Table S3. The newly admitted RCD-related entities are listed in Supplementary Table S6.</w:t>
      </w:r>
    </w:p>
    <w:p w14:paraId="138C69B3" w14:textId="77777777" w:rsidR="00EA778E" w:rsidRPr="002D15AA" w:rsidRDefault="00EA778E" w:rsidP="002D15AA">
      <w:pPr>
        <w:spacing w:after="0" w:line="240" w:lineRule="auto"/>
        <w:rPr>
          <w:rFonts w:asciiTheme="majorHAnsi" w:hAnsiTheme="majorHAnsi" w:cstheme="majorHAnsi"/>
          <w:b/>
          <w:bCs/>
          <w:szCs w:val="24"/>
        </w:rPr>
      </w:pPr>
    </w:p>
    <w:p w14:paraId="0CBFC1F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All 53 normalized names were retained as-is (kept verbatim, without renaming or merging, because at least one source database had already contributed them in their normalized </w:t>
      </w:r>
      <w:r w:rsidRPr="002D15AA">
        <w:rPr>
          <w:rFonts w:asciiTheme="majorHAnsi" w:hAnsiTheme="majorHAnsi" w:cstheme="majorHAnsi"/>
          <w:szCs w:val="24"/>
        </w:rPr>
        <w:lastRenderedPageBreak/>
        <w:t>form). No names were invented; every normalized term originates from at least one database's published terminology.</w:t>
      </w:r>
    </w:p>
    <w:p w14:paraId="33819EBD" w14:textId="77777777" w:rsidR="00EA778E" w:rsidRPr="002D15AA" w:rsidRDefault="00EA778E" w:rsidP="002D15AA">
      <w:pPr>
        <w:spacing w:after="0" w:line="240" w:lineRule="auto"/>
        <w:rPr>
          <w:rFonts w:asciiTheme="majorHAnsi" w:hAnsiTheme="majorHAnsi" w:cstheme="majorHAnsi"/>
          <w:b/>
          <w:bCs/>
          <w:szCs w:val="24"/>
        </w:rPr>
      </w:pPr>
    </w:p>
    <w:p w14:paraId="0EB3895C"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Phase 2: Automated Gene-RCD Association Validation</w:t>
      </w:r>
    </w:p>
    <w:p w14:paraId="18A959F4" w14:textId="77777777" w:rsidR="00CA1683"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szCs w:val="24"/>
        </w:rPr>
        <w:t>Phase 2A: Two-Call Independent Validation</w:t>
      </w:r>
    </w:p>
    <w:p w14:paraId="33EC9CB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1744DF5E" w14:textId="77777777" w:rsidR="00EA778E" w:rsidRPr="002D15AA" w:rsidRDefault="00EA778E" w:rsidP="002D15AA">
      <w:pPr>
        <w:spacing w:after="0" w:line="240" w:lineRule="auto"/>
        <w:rPr>
          <w:rFonts w:asciiTheme="majorHAnsi" w:hAnsiTheme="majorHAnsi" w:cstheme="majorHAnsi"/>
          <w:b/>
          <w:bCs/>
          <w:szCs w:val="24"/>
        </w:rPr>
      </w:pPr>
    </w:p>
    <w:p w14:paraId="4839C62E"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Two distinct validations are performed and never conflated: (i)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association validation, whether a gene and an RCD entity are genuinely linked in the published record, which is automated and scalable across the three independent channels; and (ii) RCD modality status validation: whether an entity constitutes a bona fide human cell-death modality, which is an ontological judgment performed by human curation, not by the automated channels.</w:t>
      </w:r>
    </w:p>
    <w:p w14:paraId="6B74B2EB" w14:textId="77777777" w:rsidR="009B500E" w:rsidRPr="002D15AA" w:rsidRDefault="009B500E" w:rsidP="002D15AA">
      <w:pPr>
        <w:spacing w:after="0" w:line="240" w:lineRule="auto"/>
        <w:rPr>
          <w:rFonts w:asciiTheme="majorHAnsi" w:hAnsiTheme="majorHAnsi" w:cstheme="majorHAnsi"/>
          <w:b/>
          <w:bCs/>
          <w:szCs w:val="24"/>
        </w:rPr>
      </w:pPr>
    </w:p>
    <w:p w14:paraId="7700C3E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Two-Call Independent Validation Architecture</w:t>
      </w:r>
    </w:p>
    <w:p w14:paraId="7368495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pipeline executes two completely independent LLM calls per gene-RCD pair, with no cross-contamination between them:</w:t>
      </w:r>
    </w:p>
    <w:p w14:paraId="02D3438A" w14:textId="77777777" w:rsidR="00EA778E" w:rsidRPr="002D15AA" w:rsidRDefault="00EA778E" w:rsidP="002D15AA">
      <w:pPr>
        <w:spacing w:after="0" w:line="240" w:lineRule="auto"/>
        <w:rPr>
          <w:rFonts w:asciiTheme="majorHAnsi" w:hAnsiTheme="majorHAnsi" w:cstheme="majorHAnsi"/>
          <w:b/>
          <w:bCs/>
          <w:szCs w:val="24"/>
        </w:rPr>
      </w:pPr>
    </w:p>
    <w:p w14:paraId="7DD2B50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Call A (Internal Knowledge):</w:t>
      </w:r>
      <w:r w:rsidRPr="002D15AA">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777108E" w14:textId="77777777" w:rsidR="00EA778E" w:rsidRPr="002D15AA" w:rsidRDefault="00EA778E" w:rsidP="002D15AA">
      <w:pPr>
        <w:spacing w:after="0" w:line="240" w:lineRule="auto"/>
        <w:rPr>
          <w:rFonts w:asciiTheme="majorHAnsi" w:hAnsiTheme="majorHAnsi" w:cstheme="majorHAnsi"/>
          <w:b/>
          <w:bCs/>
          <w:szCs w:val="24"/>
        </w:rPr>
      </w:pPr>
    </w:p>
    <w:p w14:paraId="4DC2E7AF"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Call B (PubMed Abstract Evidence)</w:t>
      </w:r>
      <w:r w:rsidRPr="002D15AA">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493F0515" w14:textId="77777777" w:rsidR="00840E12" w:rsidRPr="002D15AA" w:rsidRDefault="00840E12" w:rsidP="002D15AA">
      <w:pPr>
        <w:spacing w:after="0" w:line="240" w:lineRule="auto"/>
        <w:rPr>
          <w:rFonts w:asciiTheme="majorHAnsi" w:hAnsiTheme="majorHAnsi" w:cstheme="majorHAnsi"/>
          <w:b/>
          <w:bCs/>
          <w:szCs w:val="24"/>
        </w:rPr>
      </w:pPr>
    </w:p>
    <w:p w14:paraId="11B2CEAC" w14:textId="77777777" w:rsidR="009B500E"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DeepSeek Validation.</w:t>
      </w:r>
      <w:r w:rsidRPr="002D15AA">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sidRPr="002D15AA">
        <w:rPr>
          <w:rFonts w:asciiTheme="majorHAnsi" w:hAnsiTheme="majorHAnsi" w:cstheme="majorHAnsi"/>
          <w:szCs w:val="24"/>
        </w:rPr>
        <w:t xml:space="preserve"> </w:t>
      </w:r>
    </w:p>
    <w:p w14:paraId="13AF605F" w14:textId="77777777" w:rsidR="009B500E" w:rsidRPr="002D15AA" w:rsidRDefault="009B500E" w:rsidP="002D15AA">
      <w:pPr>
        <w:spacing w:after="0" w:line="240" w:lineRule="auto"/>
        <w:rPr>
          <w:rFonts w:asciiTheme="majorHAnsi" w:hAnsiTheme="majorHAnsi" w:cstheme="majorHAnsi"/>
          <w:szCs w:val="24"/>
        </w:rPr>
      </w:pPr>
    </w:p>
    <w:p w14:paraId="4A10E5B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two calls are merged independently according to a predefined matrix: both CONFIRMED → CONFIRMED; Call A CONFIRMED + Call B UNCLEAR → NEEDS_LITERATURE (LLM knowledge exists but literature is lacking); Call A UNCLEAR + Call B CONFIRMED → NEEDS_CONTEXT (literature support exists but the LLM is uncertain); both UNCLEAR → UNCLEAR.</w:t>
      </w:r>
    </w:p>
    <w:p w14:paraId="05498915" w14:textId="77777777" w:rsidR="00EA778E" w:rsidRPr="002D15AA" w:rsidRDefault="00EA778E" w:rsidP="002D15AA">
      <w:pPr>
        <w:spacing w:after="0" w:line="240" w:lineRule="auto"/>
        <w:rPr>
          <w:rFonts w:asciiTheme="majorHAnsi" w:hAnsiTheme="majorHAnsi" w:cstheme="majorHAnsi"/>
          <w:b/>
          <w:bCs/>
          <w:szCs w:val="24"/>
        </w:rPr>
      </w:pPr>
    </w:p>
    <w:p w14:paraId="711C97CF"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lastRenderedPageBreak/>
        <w:t>Evidence Tier Assignment</w:t>
      </w:r>
    </w:p>
    <w:p w14:paraId="70F8CE5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gene-RCD pair receives a final evidence tier (ET1-ET4) based on a composite of multi-database consensus and LLM validation status:</w:t>
      </w:r>
    </w:p>
    <w:p w14:paraId="1410E069" w14:textId="77777777" w:rsidR="00EA778E" w:rsidRPr="002D15AA" w:rsidRDefault="00EA778E" w:rsidP="002D15AA">
      <w:pPr>
        <w:spacing w:after="0" w:line="240" w:lineRule="auto"/>
        <w:rPr>
          <w:rFonts w:asciiTheme="majorHAnsi" w:hAnsiTheme="majorHAnsi" w:cstheme="majorHAnsi"/>
          <w:szCs w:val="24"/>
        </w:rPr>
      </w:pPr>
    </w:p>
    <w:p w14:paraId="667DD8E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ET1 (Gold Standard): Four or more independent database sources, or two or more sources with RCDdb-provided PMIDs.</w:t>
      </w:r>
    </w:p>
    <w:p w14:paraId="04F74867" w14:textId="77777777" w:rsidR="00EA778E" w:rsidRPr="002D15AA" w:rsidRDefault="00EA778E" w:rsidP="002D15AA">
      <w:pPr>
        <w:spacing w:after="0" w:line="240" w:lineRule="auto"/>
        <w:rPr>
          <w:rFonts w:asciiTheme="majorHAnsi" w:hAnsiTheme="majorHAnsi" w:cstheme="majorHAnsi"/>
          <w:szCs w:val="24"/>
        </w:rPr>
      </w:pPr>
    </w:p>
    <w:p w14:paraId="1DA13E2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ET2 (Strong Evidence): Three or more sources, or confirmed by both LLM calls.</w:t>
      </w:r>
    </w:p>
    <w:p w14:paraId="4DDA5AD9" w14:textId="77777777" w:rsidR="00EA778E" w:rsidRPr="002D15AA" w:rsidRDefault="00EA778E" w:rsidP="002D15AA">
      <w:pPr>
        <w:spacing w:after="0" w:line="240" w:lineRule="auto"/>
        <w:rPr>
          <w:rFonts w:asciiTheme="majorHAnsi" w:hAnsiTheme="majorHAnsi" w:cstheme="majorHAnsi"/>
          <w:szCs w:val="24"/>
        </w:rPr>
      </w:pPr>
    </w:p>
    <w:p w14:paraId="4CDC1A43"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ET3 (Moderate Evidence): Two sources with LLM confirmation, or one source with LLM confirmation.</w:t>
      </w:r>
    </w:p>
    <w:p w14:paraId="32E8579B" w14:textId="77777777" w:rsidR="00EA778E" w:rsidRPr="002D15AA" w:rsidRDefault="00EA778E" w:rsidP="002D15AA">
      <w:pPr>
        <w:spacing w:after="0" w:line="240" w:lineRule="auto"/>
        <w:rPr>
          <w:rFonts w:asciiTheme="majorHAnsi" w:hAnsiTheme="majorHAnsi" w:cstheme="majorHAnsi"/>
          <w:szCs w:val="24"/>
        </w:rPr>
      </w:pPr>
    </w:p>
    <w:p w14:paraId="167591EE"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ET4 (Weak Evidence): Single source without LLM confirmation, or LLM unable to verify.</w:t>
      </w:r>
    </w:p>
    <w:p w14:paraId="376C08EA" w14:textId="77777777" w:rsidR="00917D83" w:rsidRPr="002D15AA" w:rsidRDefault="00917D83" w:rsidP="002D15AA">
      <w:pPr>
        <w:spacing w:after="0" w:line="240" w:lineRule="auto"/>
        <w:rPr>
          <w:rFonts w:asciiTheme="majorHAnsi" w:hAnsiTheme="majorHAnsi" w:cstheme="majorHAnsi"/>
          <w:color w:val="EE0000"/>
          <w:szCs w:val="24"/>
        </w:rPr>
      </w:pPr>
    </w:p>
    <w:p w14:paraId="469ECE5A" w14:textId="77777777" w:rsidR="00925876"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color w:val="EE0000"/>
          <w:szCs w:val="24"/>
        </w:rPr>
        <w:t>Separately, a confidence score was computed as a weighted sum of the compilation channels (Channel D = 4, Channel B = 3, Channel A = 1, Channel C = 1) and recorded as an independent confidence tier (CT1 = 7–9, CT2 = 4–6, CT3 = 2–3, CT4 = 0–1). This confidence tier is a metric distinct from the evidence tier (ET1–ET4) defined above and must not be conflated with it.</w:t>
      </w:r>
    </w:p>
    <w:p w14:paraId="555F2843" w14:textId="77777777" w:rsidR="00EA778E" w:rsidRPr="002D15AA" w:rsidRDefault="00EA778E" w:rsidP="002D15AA">
      <w:pPr>
        <w:spacing w:after="0" w:line="240" w:lineRule="auto"/>
        <w:rPr>
          <w:rFonts w:asciiTheme="majorHAnsi" w:hAnsiTheme="majorHAnsi" w:cstheme="majorHAnsi"/>
          <w:szCs w:val="24"/>
        </w:rPr>
      </w:pPr>
    </w:p>
    <w:p w14:paraId="3E987CD0"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Anti-Block and Rate-Limiting Strategy</w:t>
      </w:r>
    </w:p>
    <w:p w14:paraId="7AF915A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(llm_verification_progress.json), ensuring that the matrix remains uncorrupted if the pipeline is interrupted. The validation pipeline is implemented as channel_c_evidence_tier.py in the extraction code repository. All LLM API keys are stored in environment variables (.env file), never hardcoded.</w:t>
      </w:r>
    </w:p>
    <w:p w14:paraId="40C146B8" w14:textId="77777777" w:rsidR="00EA778E" w:rsidRPr="002D15AA" w:rsidRDefault="00EA778E" w:rsidP="002D15AA">
      <w:pPr>
        <w:spacing w:after="0" w:line="240" w:lineRule="auto"/>
        <w:rPr>
          <w:rFonts w:asciiTheme="majorHAnsi" w:hAnsiTheme="majorHAnsi" w:cstheme="majorHAnsi"/>
          <w:szCs w:val="24"/>
        </w:rPr>
      </w:pPr>
    </w:p>
    <w:p w14:paraId="51C2D59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szCs w:val="24"/>
        </w:rPr>
        <w:t>Independent Accuracy Assessment (Phase 2A/D)</w:t>
      </w:r>
    </w:p>
    <w:p w14:paraId="3A88C60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2C2252B6" w14:textId="77777777" w:rsidR="004A5E2F" w:rsidRPr="002D15AA" w:rsidRDefault="004A5E2F" w:rsidP="002D15AA">
      <w:pPr>
        <w:spacing w:after="0" w:line="240" w:lineRule="auto"/>
        <w:rPr>
          <w:rFonts w:asciiTheme="majorHAnsi" w:hAnsiTheme="majorHAnsi" w:cstheme="majorHAnsi"/>
          <w:szCs w:val="24"/>
        </w:rPr>
      </w:pPr>
    </w:p>
    <w:p w14:paraId="3BCBEB3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 The Phase 2A/D validation output columns are described in Supplementary Table S7.</w:t>
      </w:r>
    </w:p>
    <w:p w14:paraId="190C0B7B" w14:textId="77777777" w:rsidR="00EA778E" w:rsidRPr="002D15AA" w:rsidRDefault="00EA778E" w:rsidP="002D15AA">
      <w:pPr>
        <w:spacing w:after="0" w:line="240" w:lineRule="auto"/>
        <w:rPr>
          <w:rFonts w:asciiTheme="majorHAnsi" w:hAnsiTheme="majorHAnsi" w:cstheme="majorHAnsi"/>
          <w:color w:val="EE0000"/>
          <w:szCs w:val="24"/>
        </w:rPr>
      </w:pPr>
    </w:p>
    <w:p w14:paraId="7E212760"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lastRenderedPageBreak/>
        <w:t>Phase 2A/D MSigDB extension.</w:t>
      </w:r>
      <w:r w:rsidRPr="002D15AA">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mechanistic (yes/no), role (executor/regulator/marker/uncertain), and direction (promotes/protects),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58F088D5" w14:textId="77777777" w:rsidR="00EA778E" w:rsidRPr="002D15AA" w:rsidRDefault="00EA778E" w:rsidP="002D15AA">
      <w:pPr>
        <w:spacing w:after="0" w:line="240" w:lineRule="auto"/>
        <w:rPr>
          <w:rFonts w:asciiTheme="majorHAnsi" w:hAnsiTheme="majorHAnsi" w:cstheme="majorHAnsi"/>
          <w:szCs w:val="24"/>
        </w:rPr>
      </w:pPr>
    </w:p>
    <w:p w14:paraId="1EBE3011" w14:textId="77777777" w:rsidR="00925876" w:rsidRPr="002D15AA" w:rsidRDefault="00985363" w:rsidP="002D15AA">
      <w:pPr>
        <w:spacing w:after="0" w:line="240" w:lineRule="auto"/>
        <w:rPr>
          <w:rFonts w:asciiTheme="majorHAnsi" w:hAnsiTheme="majorHAnsi" w:cstheme="majorHAnsi"/>
          <w:b/>
          <w:bCs/>
          <w:szCs w:val="24"/>
        </w:rPr>
      </w:pPr>
      <w:r w:rsidRPr="002D15AA">
        <w:rPr>
          <w:rFonts w:asciiTheme="majorHAnsi" w:hAnsiTheme="majorHAnsi" w:cstheme="majorHAnsi"/>
          <w:b/>
          <w:szCs w:val="24"/>
        </w:rPr>
        <w:t>Phase 2B: Europe PMC Full-Text XML Deep RAG Evidence Extraction</w:t>
      </w:r>
    </w:p>
    <w:p w14:paraId="0146CA1B"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(gene[Gene]) AND (rcd[Title/Abstract]) strategy. For each non-MECHANISTIC pair, the query ({gene}) AND ({rcd}) is executed against the full-text index, returning PMIDs, PMC IDs, and total hit counts.</w:t>
      </w:r>
    </w:p>
    <w:p w14:paraId="13C41DB1" w14:textId="77777777" w:rsidR="00570905" w:rsidRPr="002D15AA" w:rsidRDefault="00570905" w:rsidP="002D15AA">
      <w:pPr>
        <w:spacing w:after="0" w:line="240" w:lineRule="auto"/>
        <w:rPr>
          <w:rFonts w:asciiTheme="majorHAnsi" w:hAnsiTheme="majorHAnsi" w:cstheme="majorHAnsi"/>
          <w:szCs w:val="24"/>
        </w:rPr>
      </w:pPr>
    </w:p>
    <w:p w14:paraId="65B3C56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2D15AA">
        <w:rPr>
          <w:rFonts w:asciiTheme="majorHAnsi" w:hAnsiTheme="majorHAnsi" w:cstheme="majorHAnsi"/>
          <w:color w:val="EE0000"/>
          <w:szCs w:val="24"/>
        </w:rPr>
        <w:t xml:space="preserve">Phase 2A </w:t>
      </w:r>
      <w:r w:rsidRPr="002D15AA">
        <w:rPr>
          <w:rFonts w:asciiTheme="majorHAnsi" w:hAnsiTheme="majorHAnsi" w:cstheme="majorHAnsi"/>
          <w:szCs w:val="24"/>
        </w:rPr>
        <w:t>(abstract-level validation) by capturing evidence buried in paper bodies that never appears in titles or abstracts.</w:t>
      </w:r>
    </w:p>
    <w:p w14:paraId="3CA8C4F1" w14:textId="77777777" w:rsidR="00EA778E" w:rsidRPr="002D15AA" w:rsidRDefault="00EA778E" w:rsidP="002D15AA">
      <w:pPr>
        <w:spacing w:after="0" w:line="240" w:lineRule="auto"/>
        <w:rPr>
          <w:rFonts w:asciiTheme="majorHAnsi" w:hAnsiTheme="majorHAnsi" w:cstheme="majorHAnsi"/>
          <w:b/>
          <w:szCs w:val="24"/>
        </w:rPr>
      </w:pPr>
    </w:p>
    <w:p w14:paraId="31981C7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szCs w:val="24"/>
        </w:rPr>
        <w:t>Combined-Pass Per-Article Architecture</w:t>
      </w:r>
    </w:p>
    <w:p w14:paraId="338966B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article </w:t>
      </w:r>
      <w:r w:rsidR="001D4FC0" w:rsidRPr="002D15AA">
        <w:rPr>
          <w:rFonts w:asciiTheme="majorHAnsi" w:hAnsiTheme="majorHAnsi" w:cstheme="majorHAnsi"/>
          <w:szCs w:val="24"/>
        </w:rPr>
        <w:t>was</w:t>
      </w:r>
      <w:r w:rsidRPr="002D15AA">
        <w:rPr>
          <w:rFonts w:asciiTheme="majorHAnsi" w:hAnsiTheme="majorHAnsi" w:cstheme="majorHAnsi"/>
          <w:szCs w:val="24"/>
        </w:rPr>
        <w:t xml:space="preserve"> processed through a single combined-pass LLM call per text chunk, which performs three tasks in one request:</w:t>
      </w:r>
    </w:p>
    <w:p w14:paraId="39372226" w14:textId="77777777" w:rsidR="00EA778E" w:rsidRPr="002D15AA" w:rsidRDefault="00EA778E" w:rsidP="002D15AA">
      <w:pPr>
        <w:spacing w:after="0" w:line="240" w:lineRule="auto"/>
        <w:rPr>
          <w:rFonts w:asciiTheme="majorHAnsi" w:hAnsiTheme="majorHAnsi" w:cstheme="majorHAnsi"/>
          <w:szCs w:val="24"/>
        </w:rPr>
      </w:pPr>
    </w:p>
    <w:p w14:paraId="1325DC35"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Task 1: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2E7D8CE9" w14:textId="77777777" w:rsidR="00EA778E" w:rsidRPr="002D15AA" w:rsidRDefault="00EA778E" w:rsidP="002D15AA">
      <w:pPr>
        <w:spacing w:after="0" w:line="240" w:lineRule="auto"/>
        <w:rPr>
          <w:rFonts w:asciiTheme="majorHAnsi" w:hAnsiTheme="majorHAnsi" w:cstheme="majorHAnsi"/>
          <w:szCs w:val="24"/>
        </w:rPr>
      </w:pPr>
    </w:p>
    <w:p w14:paraId="21938E34"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Task 2: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34C32646" w14:textId="77777777" w:rsidR="00EA778E" w:rsidRPr="002D15AA" w:rsidRDefault="00EA778E" w:rsidP="002D15AA">
      <w:pPr>
        <w:spacing w:after="0" w:line="240" w:lineRule="auto"/>
        <w:rPr>
          <w:rFonts w:asciiTheme="majorHAnsi" w:hAnsiTheme="majorHAnsi" w:cstheme="majorHAnsi"/>
          <w:szCs w:val="24"/>
        </w:rPr>
      </w:pPr>
    </w:p>
    <w:p w14:paraId="3DA02CE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Task 3: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CONTEXT_DEPENDENT).</w:t>
      </w:r>
    </w:p>
    <w:p w14:paraId="44E7CC8C" w14:textId="77777777" w:rsidR="00EA778E" w:rsidRPr="002D15AA" w:rsidRDefault="00EA778E" w:rsidP="002D15AA">
      <w:pPr>
        <w:spacing w:after="0" w:line="240" w:lineRule="auto"/>
        <w:rPr>
          <w:rFonts w:asciiTheme="majorHAnsi" w:hAnsiTheme="majorHAnsi" w:cstheme="majorHAnsi"/>
          <w:b/>
          <w:bCs/>
          <w:szCs w:val="24"/>
        </w:rPr>
      </w:pPr>
    </w:p>
    <w:p w14:paraId="0B9EF1E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Hallucination Prevention and Governance</w:t>
      </w:r>
    </w:p>
    <w:p w14:paraId="6BB2D2A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A strict anti-hallucination framework operates at the code level. Every extracted sentence is verified against the complete raw XML text using exact substring matching</w:t>
      </w:r>
      <w:r w:rsidR="004E36FF" w:rsidRPr="002D15AA">
        <w:rPr>
          <w:rFonts w:asciiTheme="majorHAnsi" w:hAnsiTheme="majorHAnsi" w:cstheme="majorHAnsi"/>
          <w:szCs w:val="24"/>
        </w:rPr>
        <w:t xml:space="preserve"> </w:t>
      </w:r>
      <w:r w:rsidRPr="002D15AA">
        <w:rPr>
          <w:rFonts w:asciiTheme="majorHAnsi" w:hAnsiTheme="majorHAnsi" w:cstheme="majorHAnsi"/>
          <w:szCs w:val="24"/>
        </w:rPr>
        <w:t>(verify_sentence()). Sentences not found in the source article are rejected with a logged HALLUCINATION_DETECTED flag and excluded from accumulation. Per-PDF hallucination rates are monitored; rates exceeding 30% trigger a CRITICAL alert. A global hallucination counter and per-incident log provide full auditability.</w:t>
      </w:r>
    </w:p>
    <w:p w14:paraId="46474EAB" w14:textId="77777777" w:rsidR="00EA778E" w:rsidRPr="002D15AA" w:rsidRDefault="00EA778E" w:rsidP="002D15AA">
      <w:pPr>
        <w:spacing w:after="0" w:line="240" w:lineRule="auto"/>
        <w:rPr>
          <w:rFonts w:asciiTheme="majorHAnsi" w:hAnsiTheme="majorHAnsi" w:cstheme="majorHAnsi"/>
          <w:b/>
          <w:bCs/>
          <w:szCs w:val="24"/>
        </w:rPr>
      </w:pPr>
    </w:p>
    <w:p w14:paraId="38A1CA6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Multi-Paper Evidence Aggregation</w:t>
      </w:r>
    </w:p>
    <w:p w14:paraId="31DF2B9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2D15AA">
        <w:rPr>
          <w:rFonts w:asciiTheme="majorHAnsi" w:hAnsiTheme="majorHAnsi" w:cstheme="majorHAnsi"/>
          <w:szCs w:val="24"/>
        </w:rPr>
        <w:t>Evidence</w:t>
      </w:r>
      <w:r w:rsidRPr="002D15AA">
        <w:rPr>
          <w:rFonts w:asciiTheme="majorHAnsi" w:hAnsiTheme="majorHAnsi" w:cstheme="majorHAnsi"/>
          <w:szCs w:val="24"/>
        </w:rPr>
        <w:t xml:space="preserve"> score (fraction of papers with DIRECT_EXPERIMENTAL evidence) provides a continuous quality metric.</w:t>
      </w:r>
    </w:p>
    <w:p w14:paraId="5998D71D" w14:textId="77777777" w:rsidR="00EA778E" w:rsidRPr="002D15AA" w:rsidRDefault="00EA778E" w:rsidP="002D15AA">
      <w:pPr>
        <w:spacing w:after="0" w:line="240" w:lineRule="auto"/>
        <w:rPr>
          <w:rFonts w:asciiTheme="majorHAnsi" w:hAnsiTheme="majorHAnsi" w:cstheme="majorHAnsi"/>
          <w:b/>
          <w:bCs/>
          <w:szCs w:val="24"/>
        </w:rPr>
      </w:pPr>
    </w:p>
    <w:p w14:paraId="57814C6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szCs w:val="24"/>
        </w:rPr>
        <w:t>Independent Accuracy Assessment (Phase 2B)</w:t>
      </w:r>
    </w:p>
    <w:p w14:paraId="165CCF3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Before processing the full corpus, the pipeline executes a ground truth audit (--validate mode) on four landmark papers with definitively known gene-RCD associations: GPX4/Ferroptosis</w:t>
      </w:r>
      <w:r w:rsidR="00676F2A" w:rsidRPr="002D15AA">
        <w:rPr>
          <w:rFonts w:asciiTheme="majorHAnsi" w:hAnsiTheme="majorHAnsi" w:cstheme="majorHAnsi"/>
          <w:szCs w:val="24"/>
        </w:rPr>
        <w:t xml:space="preserve"> </w:t>
      </w:r>
      <w:r w:rsidR="00676F2A" w:rsidRPr="002D15AA">
        <w:rPr>
          <w:rFonts w:asciiTheme="majorHAnsi" w:hAnsiTheme="majorHAnsi" w:cstheme="majorHAnsi"/>
          <w:szCs w:val="24"/>
          <w:highlight w:val="yellow"/>
        </w:rPr>
        <w:t>{Yang, 2014 #784805}</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w:t>
      </w:r>
      <w:r w:rsidR="00676F2A" w:rsidRPr="002D15AA">
        <w:rPr>
          <w:rFonts w:asciiTheme="majorHAnsi" w:hAnsiTheme="majorHAnsi" w:cstheme="majorHAnsi"/>
          <w:szCs w:val="24"/>
        </w:rPr>
        <w:t xml:space="preserve">MLKL/Necroptosis </w:t>
      </w:r>
      <w:r w:rsidR="00676F2A" w:rsidRPr="002D15AA">
        <w:rPr>
          <w:rFonts w:asciiTheme="majorHAnsi" w:hAnsiTheme="majorHAnsi" w:cstheme="majorHAnsi"/>
          <w:szCs w:val="24"/>
          <w:highlight w:val="yellow"/>
        </w:rPr>
        <w:t>{Cai, 2014 #784806}</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GSDMD/Pyroptosis</w:t>
      </w:r>
      <w:r w:rsidR="00676F2A" w:rsidRPr="002D15AA">
        <w:rPr>
          <w:rFonts w:asciiTheme="majorHAnsi" w:hAnsiTheme="majorHAnsi" w:cstheme="majorHAnsi"/>
          <w:szCs w:val="24"/>
        </w:rPr>
        <w:t xml:space="preserve"> {</w:t>
      </w:r>
      <w:r w:rsidR="00676F2A" w:rsidRPr="002D15AA">
        <w:rPr>
          <w:rFonts w:asciiTheme="majorHAnsi" w:hAnsiTheme="majorHAnsi" w:cstheme="majorHAnsi"/>
          <w:szCs w:val="24"/>
          <w:highlight w:val="yellow"/>
        </w:rPr>
        <w:t>Sborgi, 2016 #784808}</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and </w:t>
      </w:r>
      <w:r w:rsidRPr="002D15AA">
        <w:rPr>
          <w:rFonts w:asciiTheme="majorHAnsi" w:hAnsiTheme="majorHAnsi" w:cstheme="majorHAnsi"/>
          <w:szCs w:val="24"/>
          <w:highlight w:val="yellow"/>
        </w:rPr>
        <w:t>{Tsvetkov, 2022 #784069}</w:t>
      </w:r>
      <w:r w:rsidRPr="002D15AA">
        <w:rPr>
          <w:rFonts w:asciiTheme="majorHAnsi" w:hAnsiTheme="majorHAnsi" w:cstheme="majorHAnsi"/>
          <w:szCs w:val="24"/>
        </w:rPr>
        <w:t xml:space="preserve"> (FDX1/Cuproptosis). The audit measures gene symbol recall, RCD form detection accuracy, role classification accuracy, sentence verifiability, and hallucination rate. It yielded 100% </w:t>
      </w:r>
      <w:r w:rsidRPr="002D15AA">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2D15AA">
        <w:rPr>
          <w:rFonts w:asciiTheme="majorHAnsi" w:hAnsiTheme="majorHAnsi" w:cstheme="majorHAnsi"/>
          <w:szCs w:val="24"/>
        </w:rPr>
        <w:t>.</w:t>
      </w:r>
    </w:p>
    <w:p w14:paraId="0186CCAD" w14:textId="77777777" w:rsidR="00EA778E" w:rsidRPr="002D15AA" w:rsidRDefault="00EA778E" w:rsidP="002D15AA">
      <w:pPr>
        <w:spacing w:after="0" w:line="240" w:lineRule="auto"/>
        <w:rPr>
          <w:rFonts w:asciiTheme="majorHAnsi" w:hAnsiTheme="majorHAnsi" w:cstheme="majorHAnsi"/>
          <w:b/>
          <w:bCs/>
          <w:szCs w:val="24"/>
        </w:rPr>
      </w:pPr>
    </w:p>
    <w:p w14:paraId="2B66ABD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Output and Matrix Integration</w:t>
      </w:r>
    </w:p>
    <w:p w14:paraId="1CDB2A48" w14:textId="77777777" w:rsidR="00685507" w:rsidRPr="002D15AA" w:rsidRDefault="00685507"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Phase 2B full-text XML deep evidence extraction (channel_c_deep_xml_rag.py) processes all 21,312 gene-RCD pairs carrying at least one PMID. PMID-to-PMCID conversion yields open-access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(deep_pmids_total, deep_pmids_free, deep_pmids_skipped, deep_paper_count, deep_best_sentence, deep_best_evidence, deep_best_role, deep_best_direction, deep_confidence, deep_evidence_score). Three existing columns are upgraded where deep evidence confirms Phase 2A/D classifications: evidence_tier (ET2 to ET1 when deep_confidence=HIGH and role=EXECUTOR), rcd_gene_type (populated from deep_best_role for empty rows), and mechanistic_class (LITERATURE_GAP to MECHANISTIC when deep_confidence is HIGH or MEDIUM). Processing is resumable via checkpoint files (phase2b_checkpoint.json, phase2b_pair_results.json) and generates a governance report </w:t>
      </w:r>
      <w:r w:rsidRPr="002D15AA">
        <w:rPr>
          <w:rFonts w:asciiTheme="majorHAnsi" w:hAnsiTheme="majorHAnsi" w:cstheme="majorHAnsi"/>
          <w:szCs w:val="24"/>
        </w:rPr>
        <w:lastRenderedPageBreak/>
        <w:t>documenting every PMCID processed, every hallucination rejected, and the full evidence distribution.</w:t>
      </w:r>
    </w:p>
    <w:p w14:paraId="1EF1BC9A" w14:textId="77777777" w:rsidR="00EA778E" w:rsidRPr="002D15AA" w:rsidRDefault="00EA778E" w:rsidP="002D15AA">
      <w:pPr>
        <w:spacing w:after="0" w:line="240" w:lineRule="auto"/>
        <w:rPr>
          <w:rFonts w:asciiTheme="majorHAnsi" w:hAnsiTheme="majorHAnsi" w:cstheme="majorHAnsi"/>
          <w:szCs w:val="24"/>
        </w:rPr>
      </w:pPr>
    </w:p>
    <w:p w14:paraId="3ADD10C3"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szCs w:val="24"/>
        </w:rPr>
        <w:t>Phase 2C: Full-Text Europe PMC Recovery</w:t>
      </w:r>
    </w:p>
    <w:p w14:paraId="4DD8DC7F" w14:textId="77777777" w:rsidR="000C7EE5" w:rsidRPr="006B4852"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 xml:space="preserve">Output and Traceability. </w:t>
      </w:r>
      <w:r w:rsidRPr="006B4852">
        <w:rPr>
          <w:rFonts w:asciiTheme="majorHAnsi" w:hAnsiTheme="majorHAnsi" w:cstheme="majorHAnsi"/>
          <w:szCs w:val="24"/>
        </w:rPr>
        <w:t>Phase 2C adds four new columns to the unified matrix without overwriting Phase 2A values. Phase 2C is distinct from Phase 2B (the deep RAG step): 2C recovers PMIDs, whereas 2B extracts deep evidence sentences. These columns capture MECHANISTIC classifications from full-text Europe PMC recovery, in addition to the 3,063 MECHANISTIC pairs from Phase 2A/D abstract validation: epmc_hits (full-text hit count), epmc_status (Phase 2C LLM verdict), epmc_pmids (PMIDs recovered by Europe PMC), and phase2c_mechanistic_class (combined classification). Phase 2A columns (mechanistic_class, llm_status, llm_pmids) remain untouched, preserving full traceability of the validation provenance. The pipeline is implemented as channel_c_recovery_europe_pmc.py, runs autonomously with auto-restart on failure, and saves progress every 10 pairs.</w:t>
      </w:r>
    </w:p>
    <w:p w14:paraId="138FD998" w14:textId="77777777" w:rsidR="00EA778E" w:rsidRPr="002D15AA" w:rsidRDefault="00EA778E" w:rsidP="002D15AA">
      <w:pPr>
        <w:spacing w:after="0" w:line="240" w:lineRule="auto"/>
        <w:rPr>
          <w:rFonts w:asciiTheme="majorHAnsi" w:hAnsiTheme="majorHAnsi" w:cstheme="majorHAnsi"/>
          <w:szCs w:val="24"/>
        </w:rPr>
      </w:pPr>
    </w:p>
    <w:p w14:paraId="109B4D73"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Phase 2D and 2E: Extended Literature Validation After External Audit</w:t>
      </w:r>
    </w:p>
    <w:p w14:paraId="30F6F538" w14:textId="2ABFD96B"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r w:rsidR="00E16F4E" w:rsidRPr="00E16F4E">
        <w:rPr>
          <w:rFonts w:asciiTheme="majorHAnsi" w:hAnsiTheme="majorHAnsi" w:cstheme="majorHAnsi"/>
          <w:szCs w:val="24"/>
          <w:highlight w:val="yellow"/>
        </w:rPr>
        <w:t>{Gadepalli, 2021 #786309}</w:t>
      </w:r>
      <w:r w:rsidR="00E16F4E">
        <w:rPr>
          <w:rFonts w:asciiTheme="majorHAnsi" w:hAnsiTheme="majorHAnsi" w:cstheme="majorHAnsi"/>
          <w:szCs w:val="24"/>
        </w:rPr>
        <w:t xml:space="preserve"> </w:t>
      </w:r>
      <w:r w:rsidRPr="002D15AA">
        <w:rPr>
          <w:rFonts w:asciiTheme="majorHAnsi" w:hAnsiTheme="majorHAnsi" w:cstheme="majorHAnsi"/>
          <w:szCs w:val="24"/>
        </w:rPr>
        <w:t>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p>
    <w:p w14:paraId="0D2A20EA" w14:textId="77777777" w:rsidR="00871F46" w:rsidRPr="002D15AA" w:rsidRDefault="00871F46" w:rsidP="002D15AA">
      <w:pPr>
        <w:spacing w:after="0" w:line="240" w:lineRule="auto"/>
        <w:rPr>
          <w:rFonts w:asciiTheme="majorHAnsi" w:hAnsiTheme="majorHAnsi" w:cstheme="majorHAnsi"/>
          <w:szCs w:val="24"/>
        </w:rPr>
      </w:pPr>
    </w:p>
    <w:p w14:paraId="243D73FF"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2F: Chain-of-Thought Full-Matrix Classification</w:t>
      </w:r>
    </w:p>
    <w:p w14:paraId="6497BFF2"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w:t>
      </w:r>
      <w:r w:rsidRPr="00C02067">
        <w:rPr>
          <w:rFonts w:asciiTheme="majorHAnsi" w:hAnsiTheme="majorHAnsi" w:cstheme="majorHAnsi"/>
          <w:i/>
          <w:iCs/>
          <w:szCs w:val="24"/>
        </w:rPr>
        <w:t xml:space="preserve">NLRX1 </w:t>
      </w:r>
      <w:r w:rsidRPr="002D15AA">
        <w:rPr>
          <w:rFonts w:asciiTheme="majorHAnsi" w:hAnsiTheme="majorHAnsi" w:cstheme="majorHAnsi"/>
          <w:szCs w:val="24"/>
        </w:rPr>
        <w:t xml:space="preserve">and </w:t>
      </w:r>
      <w:r w:rsidRPr="00C02067">
        <w:rPr>
          <w:rFonts w:asciiTheme="majorHAnsi" w:hAnsiTheme="majorHAnsi" w:cstheme="majorHAnsi"/>
          <w:i/>
          <w:iCs/>
          <w:szCs w:val="24"/>
        </w:rPr>
        <w:t>PPIF</w:t>
      </w:r>
      <w:r w:rsidRPr="002D15AA">
        <w:rPr>
          <w:rFonts w:asciiTheme="majorHAnsi" w:hAnsiTheme="majorHAnsi" w:cstheme="majorHAnsi"/>
          <w:szCs w:val="24"/>
        </w:rPr>
        <w:t xml:space="preserve">, </w:t>
      </w:r>
      <w:r w:rsidRPr="00C02067">
        <w:rPr>
          <w:rFonts w:asciiTheme="majorHAnsi" w:hAnsiTheme="majorHAnsi" w:cstheme="majorHAnsi"/>
          <w:i/>
          <w:iCs/>
          <w:szCs w:val="24"/>
        </w:rPr>
        <w:t>MPT</w:t>
      </w:r>
      <w:r w:rsidRPr="002D15AA">
        <w:rPr>
          <w:rFonts w:asciiTheme="majorHAnsi" w:hAnsiTheme="majorHAnsi" w:cstheme="majorHAnsi"/>
          <w:szCs w:val="24"/>
        </w:rPr>
        <w:t>-driven necrosis) were classified separately in the Phase 2A/D mini-run, yielding the final 21,568 unique pairs.</w:t>
      </w:r>
    </w:p>
    <w:p w14:paraId="2CAB9D9A" w14:textId="77777777" w:rsidR="00871F46" w:rsidRPr="002D15AA" w:rsidRDefault="00871F46" w:rsidP="002D15AA">
      <w:pPr>
        <w:spacing w:after="0" w:line="240" w:lineRule="auto"/>
        <w:rPr>
          <w:rFonts w:asciiTheme="majorHAnsi" w:hAnsiTheme="majorHAnsi" w:cstheme="majorHAnsi"/>
          <w:szCs w:val="24"/>
        </w:rPr>
      </w:pPr>
    </w:p>
    <w:p w14:paraId="4EC9EBFE"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336F6151" w14:textId="77777777" w:rsidR="00871F46" w:rsidRPr="002D15AA" w:rsidRDefault="00871F46" w:rsidP="002D15AA">
      <w:pPr>
        <w:spacing w:after="0" w:line="240" w:lineRule="auto"/>
        <w:rPr>
          <w:rFonts w:asciiTheme="majorHAnsi" w:hAnsiTheme="majorHAnsi" w:cstheme="majorHAnsi"/>
          <w:szCs w:val="24"/>
        </w:rPr>
      </w:pPr>
    </w:p>
    <w:p w14:paraId="52F5256F"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Post-hoc reconciliation repaired 84 self-inconsistent rows (mechanistic NO with a confident role or direction), and 231 rows with genuine role/direction uncertainty, 178 regulators with unclear direction and 53 mechanistically-involved pairs with unresolved role, were retained as honest uncertainty rather than forced into a confident category. Two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w:t>
      </w:r>
      <w:r w:rsidRPr="002D15AA">
        <w:rPr>
          <w:rFonts w:asciiTheme="majorHAnsi" w:hAnsiTheme="majorHAnsi" w:cstheme="majorHAnsi"/>
          <w:szCs w:val="24"/>
        </w:rPr>
        <w:lastRenderedPageBreak/>
        <w:t>added to the matrix after the full run (</w:t>
      </w:r>
      <w:r w:rsidRPr="00C02067">
        <w:rPr>
          <w:rFonts w:asciiTheme="majorHAnsi" w:hAnsiTheme="majorHAnsi" w:cstheme="majorHAnsi"/>
          <w:i/>
          <w:iCs/>
          <w:szCs w:val="24"/>
        </w:rPr>
        <w:t>NLRX1</w:t>
      </w:r>
      <w:r w:rsidRPr="002D15AA">
        <w:rPr>
          <w:rFonts w:asciiTheme="majorHAnsi" w:hAnsiTheme="majorHAnsi" w:cstheme="majorHAnsi"/>
          <w:szCs w:val="24"/>
        </w:rPr>
        <w:t xml:space="preserve"> and </w:t>
      </w:r>
      <w:r w:rsidRPr="00C02067">
        <w:rPr>
          <w:rFonts w:asciiTheme="majorHAnsi" w:hAnsiTheme="majorHAnsi" w:cstheme="majorHAnsi"/>
          <w:i/>
          <w:iCs/>
          <w:szCs w:val="24"/>
        </w:rPr>
        <w:t>PPIF</w:t>
      </w:r>
      <w:r w:rsidRPr="002D15AA">
        <w:rPr>
          <w:rFonts w:asciiTheme="majorHAnsi" w:hAnsiTheme="majorHAnsi" w:cstheme="majorHAnsi"/>
          <w:szCs w:val="24"/>
        </w:rPr>
        <w:t xml:space="preserve"> with </w:t>
      </w:r>
      <w:r w:rsidRPr="00C02067">
        <w:rPr>
          <w:rFonts w:asciiTheme="majorHAnsi" w:hAnsiTheme="majorHAnsi" w:cstheme="majorHAnsi"/>
          <w:i/>
          <w:iCs/>
          <w:szCs w:val="24"/>
        </w:rPr>
        <w:t>MPT</w:t>
      </w:r>
      <w:r w:rsidRPr="002D15AA">
        <w:rPr>
          <w:rFonts w:asciiTheme="majorHAnsi" w:hAnsiTheme="majorHAnsi" w:cstheme="majorHAnsi"/>
          <w:szCs w:val="24"/>
        </w:rPr>
        <w:t>-driven necrosis) were classified separately with the same logic using a five-vote majority, completing 100% pair coverage (21,568/21,568).</w:t>
      </w:r>
    </w:p>
    <w:p w14:paraId="21A9F854" w14:textId="77777777" w:rsidR="00871F46" w:rsidRPr="002D15AA" w:rsidRDefault="00871F46" w:rsidP="002D15AA">
      <w:pPr>
        <w:spacing w:after="0" w:line="240" w:lineRule="auto"/>
        <w:rPr>
          <w:rFonts w:asciiTheme="majorHAnsi" w:hAnsiTheme="majorHAnsi" w:cstheme="majorHAnsi"/>
          <w:szCs w:val="24"/>
        </w:rPr>
      </w:pPr>
    </w:p>
    <w:p w14:paraId="10A882AA"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2G: Consensus Evidence-Channel Classification</w:t>
      </w:r>
    </w:p>
    <w:p w14:paraId="2BA96690" w14:textId="77777777" w:rsidR="00C73316"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 third, fully independent evidence channel was added through the Consensus academic search engine API. Each gene-RCD pair is queried with a neutral formulation, the gene symbol followed only by “cell death”, so that the model retrieves evidence without form-name priming. The channel returns a mechanistic verdict, role, and direction, benchmarked against the 26-pair benchmark set used for the DeepSeek model-selection benchmark; seven query formulations were evaluated, and the neutral-query rule reached 100% combined accuracy with zero false positives (Supplementary Note S3; Figure 2C). The full extraction runs over all 21,568 unique pairs with a checkpoint file for resumption, subject to a monthly API quota.</w:t>
      </w:r>
    </w:p>
    <w:p w14:paraId="5925687F" w14:textId="77777777" w:rsidR="00C02067" w:rsidRPr="002D15AA" w:rsidRDefault="00C02067" w:rsidP="002D15AA">
      <w:pPr>
        <w:spacing w:after="0" w:line="240" w:lineRule="auto"/>
        <w:rPr>
          <w:rFonts w:asciiTheme="majorHAnsi" w:hAnsiTheme="majorHAnsi" w:cstheme="majorHAnsi"/>
          <w:szCs w:val="24"/>
        </w:rPr>
      </w:pPr>
    </w:p>
    <w:p w14:paraId="1CD05BA3"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3 Benchmark: Elicit Systematic Review Governance Validation</w:t>
      </w:r>
    </w:p>
    <w:p w14:paraId="00582DF9"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Rationale. Phase 3 of the RCDome pipeline uses Elicit's systematic review API (</w:t>
      </w:r>
      <w:hyperlink r:id="rId43">
        <w:r w:rsidRPr="002D15AA">
          <w:rPr>
            <w:rFonts w:asciiTheme="majorHAnsi" w:hAnsiTheme="majorHAnsi" w:cstheme="majorHAnsi"/>
            <w:color w:val="0563C1"/>
            <w:szCs w:val="24"/>
            <w:u w:val="single"/>
          </w:rPr>
          <w:t>https://elicit.com</w:t>
        </w:r>
      </w:hyperlink>
      <w:r w:rsidRPr="002D15AA">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51E84DF2" w14:textId="77777777" w:rsidR="00EA778E" w:rsidRPr="002D15AA" w:rsidRDefault="00EA778E" w:rsidP="002D15AA">
      <w:pPr>
        <w:spacing w:after="0" w:line="240" w:lineRule="auto"/>
        <w:rPr>
          <w:rFonts w:asciiTheme="majorHAnsi" w:hAnsiTheme="majorHAnsi" w:cstheme="majorHAnsi"/>
          <w:b/>
          <w:szCs w:val="24"/>
        </w:rPr>
      </w:pPr>
    </w:p>
    <w:p w14:paraId="5803285D" w14:textId="77777777" w:rsidR="0019489D" w:rsidRPr="002D15AA" w:rsidRDefault="00921C18"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Benchmark Design. </w:t>
      </w:r>
      <w:r w:rsidRPr="002D15AA">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(Figure 2B).</w:t>
      </w:r>
    </w:p>
    <w:p w14:paraId="0C304BC9" w14:textId="77777777" w:rsidR="00871F46" w:rsidRPr="002D15AA" w:rsidRDefault="00871F46" w:rsidP="002D15AA">
      <w:pPr>
        <w:spacing w:after="0" w:line="240" w:lineRule="auto"/>
        <w:rPr>
          <w:rFonts w:asciiTheme="majorHAnsi" w:hAnsiTheme="majorHAnsi" w:cstheme="majorHAnsi"/>
          <w:szCs w:val="24"/>
        </w:rPr>
      </w:pPr>
    </w:p>
    <w:p w14:paraId="33D802E3"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BIDIRECTIONAL, UNCLEAR), and required_for_death (YES, PARTIAL, NO, NOT_TESTED, UNCLEAR). Extraction was configured with `generate: False` to ensure that the six columns, rather than Elicit's default auto-generated schema, were applied to every paper.</w:t>
      </w:r>
    </w:p>
    <w:p w14:paraId="00F38008" w14:textId="77777777" w:rsidR="00EA778E" w:rsidRPr="002D15AA" w:rsidRDefault="00EA778E" w:rsidP="002D15AA">
      <w:pPr>
        <w:spacing w:after="0" w:line="240" w:lineRule="auto"/>
        <w:rPr>
          <w:rFonts w:asciiTheme="majorHAnsi" w:hAnsiTheme="majorHAnsi" w:cstheme="majorHAnsi"/>
          <w:b/>
          <w:szCs w:val="24"/>
        </w:rPr>
      </w:pPr>
    </w:p>
    <w:p w14:paraId="188363E9" w14:textId="08B73756"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lastRenderedPageBreak/>
        <w:t>Post-Export Governance</w:t>
      </w:r>
      <w:r w:rsidR="00C02067">
        <w:rPr>
          <w:rFonts w:asciiTheme="majorHAnsi" w:hAnsiTheme="majorHAnsi" w:cstheme="majorHAnsi"/>
          <w:b/>
          <w:szCs w:val="24"/>
        </w:rPr>
        <w:t xml:space="preserve">. </w:t>
      </w:r>
      <w:r w:rsidRPr="002D15AA">
        <w:rPr>
          <w:rFonts w:asciiTheme="majorHAnsi" w:hAnsiTheme="majorHAnsi" w:cstheme="majorHAnsi"/>
          <w:szCs w:val="24"/>
        </w:rPr>
        <w:t>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`required_for_death = YES` was downgraded to REGULATOR, reflecting the NCCD criterion that executioner genes must be demonstrably necessary for the death process. (Rule 4) Deduplication: records were deduplicated on (DOI, gene_symbol, first 50 characters of verbatim_sentence). Rules 2 and 3 together implement the governance principle that SENSITIZER and RESISTANCE are not 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role_direction column.</w:t>
      </w:r>
    </w:p>
    <w:p w14:paraId="039CB38C" w14:textId="77777777" w:rsidR="00EA778E" w:rsidRPr="002D15AA" w:rsidRDefault="00EA778E" w:rsidP="002D15AA">
      <w:pPr>
        <w:spacing w:after="0" w:line="240" w:lineRule="auto"/>
        <w:rPr>
          <w:rFonts w:asciiTheme="majorHAnsi" w:hAnsiTheme="majorHAnsi" w:cstheme="majorHAnsi"/>
          <w:b/>
          <w:szCs w:val="24"/>
        </w:rPr>
      </w:pPr>
    </w:p>
    <w:p w14:paraId="0863B0FA" w14:textId="77D28919"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Five-Gate Evaluation Framework. </w:t>
      </w:r>
      <w:r w:rsidRPr="002D15AA">
        <w:rPr>
          <w:rFonts w:asciiTheme="majorHAnsi" w:hAnsiTheme="majorHAnsi" w:cstheme="majorHAnsi"/>
          <w:bCs/>
          <w:szCs w:val="24"/>
        </w:rPr>
        <w:t>The benchmark assessed five independent compliance gates, each with a pre-registered threshold: The five Elicit governance gates (EG1–EG5) are defined in Supplementary Table S8.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73890DBE" w14:textId="77777777" w:rsidR="00EA778E" w:rsidRPr="002D15AA" w:rsidRDefault="00EA778E" w:rsidP="002D15AA">
      <w:pPr>
        <w:spacing w:after="0" w:line="240" w:lineRule="auto"/>
        <w:rPr>
          <w:rFonts w:asciiTheme="majorHAnsi" w:hAnsiTheme="majorHAnsi" w:cstheme="majorHAnsi"/>
          <w:b/>
          <w:szCs w:val="24"/>
        </w:rPr>
      </w:pPr>
    </w:p>
    <w:p w14:paraId="388605F9" w14:textId="3AE89B8B"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Staged Elicit Extraction and Priority Tiers</w:t>
      </w:r>
      <w:r w:rsidR="00C02067">
        <w:rPr>
          <w:rFonts w:asciiTheme="majorHAnsi" w:hAnsiTheme="majorHAnsi" w:cstheme="majorHAnsi"/>
          <w:b/>
          <w:szCs w:val="24"/>
        </w:rPr>
        <w:t xml:space="preserve">. </w:t>
      </w:r>
      <w:r w:rsidRPr="002D15AA">
        <w:rPr>
          <w:rFonts w:asciiTheme="majorHAnsi" w:hAnsiTheme="majorHAnsi" w:cstheme="majorHAnsi"/>
          <w:szCs w:val="24"/>
        </w:rPr>
        <w:t xml:space="preserve">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associations per Elicit review, and the largest forms (e.g., Apoptosis, 5,897 genes; Ferroptosis, 1,724 genes) carry the most associations awaiting independent validation.</w:t>
      </w:r>
    </w:p>
    <w:p w14:paraId="089FF501" w14:textId="77777777" w:rsidR="00EA778E" w:rsidRPr="002D15AA" w:rsidRDefault="00EA778E" w:rsidP="002D15AA">
      <w:pPr>
        <w:spacing w:after="0" w:line="240" w:lineRule="auto"/>
        <w:rPr>
          <w:rFonts w:asciiTheme="majorHAnsi" w:hAnsiTheme="majorHAnsi" w:cstheme="majorHAnsi"/>
          <w:szCs w:val="24"/>
        </w:rPr>
      </w:pPr>
    </w:p>
    <w:p w14:paraId="7B86EF2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sidRPr="002D15AA">
        <w:rPr>
          <w:rFonts w:asciiTheme="majorHAnsi" w:hAnsiTheme="majorHAnsi" w:cstheme="majorHAnsi"/>
          <w:szCs w:val="24"/>
        </w:rPr>
        <w:t>is</w:t>
      </w:r>
      <w:r w:rsidRPr="002D15AA">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029138BC" w14:textId="77777777" w:rsidR="00BA2B2A" w:rsidRPr="002D15AA" w:rsidRDefault="00BA2B2A" w:rsidP="002D15AA">
      <w:pPr>
        <w:spacing w:after="0" w:line="240" w:lineRule="auto"/>
        <w:rPr>
          <w:rFonts w:asciiTheme="majorHAnsi" w:hAnsiTheme="majorHAnsi" w:cstheme="majorHAnsi"/>
          <w:szCs w:val="24"/>
        </w:rPr>
      </w:pPr>
    </w:p>
    <w:p w14:paraId="183A332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Governance Literature Survey.</w:t>
      </w:r>
      <w:r w:rsidRPr="002D15AA">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sidRPr="002D15AA">
        <w:rPr>
          <w:rFonts w:asciiTheme="majorHAnsi" w:hAnsiTheme="majorHAnsi" w:cstheme="majorHAnsi"/>
          <w:szCs w:val="24"/>
        </w:rPr>
        <w:t>RAG</w:t>
      </w:r>
      <w:r w:rsidRPr="002D15AA">
        <w:rPr>
          <w:rFonts w:asciiTheme="majorHAnsi" w:hAnsiTheme="majorHAnsi" w:cstheme="majorHAnsi"/>
          <w:szCs w:val="24"/>
        </w:rPr>
        <w:t xml:space="preserve"> </w:t>
      </w:r>
      <w:r w:rsidRPr="002D15AA">
        <w:rPr>
          <w:rFonts w:asciiTheme="majorHAnsi" w:hAnsiTheme="majorHAnsi" w:cstheme="majorHAnsi"/>
          <w:szCs w:val="24"/>
        </w:rPr>
        <w:lastRenderedPageBreak/>
        <w:t>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1C63F71E" w14:textId="77777777" w:rsidR="00EA778E" w:rsidRPr="002D15AA" w:rsidRDefault="00EA778E" w:rsidP="002D15AA">
      <w:pPr>
        <w:spacing w:after="0" w:line="240" w:lineRule="auto"/>
        <w:rPr>
          <w:rFonts w:asciiTheme="majorHAnsi" w:hAnsiTheme="majorHAnsi" w:cstheme="majorHAnsi"/>
          <w:color w:val="EE0000"/>
          <w:szCs w:val="24"/>
        </w:rPr>
      </w:pPr>
    </w:p>
    <w:p w14:paraId="638954E6" w14:textId="472F1DD6"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RCDome Platform Architecture</w:t>
      </w:r>
      <w:r w:rsidR="00A20085">
        <w:rPr>
          <w:rFonts w:asciiTheme="majorHAnsi" w:hAnsiTheme="majorHAnsi" w:cstheme="majorHAnsi"/>
          <w:b/>
          <w:bCs/>
          <w:szCs w:val="24"/>
        </w:rPr>
        <w:t xml:space="preserve">. </w:t>
      </w:r>
      <w:r w:rsidRPr="002D15AA">
        <w:rPr>
          <w:rFonts w:asciiTheme="majorHAnsi" w:hAnsiTheme="majorHAnsi" w:cstheme="majorHAnsi"/>
          <w:szCs w:val="24"/>
        </w:rP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RCD entities (all 53 RCD-related entities, with modal descriptions), Gene Catalog (the complete matrix with a Genes view, a Direction/Role source selector, a death-core preset, and a per-entity comparison), Network, and RCDchat (LLM literature consultation),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7C838E79" w14:textId="77777777" w:rsidR="002D15AA" w:rsidRPr="002D15AA" w:rsidRDefault="002D15AA" w:rsidP="002D15AA">
      <w:pPr>
        <w:spacing w:line="240" w:lineRule="auto"/>
        <w:rPr>
          <w:rFonts w:asciiTheme="majorHAnsi" w:hAnsiTheme="majorHAnsi" w:cstheme="majorHAnsi"/>
          <w:szCs w:val="24"/>
        </w:rPr>
      </w:pPr>
    </w:p>
    <w:p w14:paraId="3C8D174A" w14:textId="3AFFA5AC" w:rsidR="00533B0E"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independent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5AFCD816" w14:textId="77777777" w:rsidR="002D15AA" w:rsidRPr="002D15AA" w:rsidRDefault="002D15AA"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AI-assisted mechanistic description, figure generation, and multi-model quality control</w:t>
      </w:r>
    </w:p>
    <w:p w14:paraId="30FAAA92"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Following selection and ontological adjudication of the RCD-related entities, mechanistic information for each entity was systematically collected using Consensus in Deep mode. A standardized query framework was applied to reconstruct the available molecular evidence from pathway initiation to terminal cell death, including initiating signals, molecular regulators, participating genes and proteins, signaling intermediates, protective mechanisms, execution processes, morphological features, experimentally demonstrated crosstalk, and unresolved mechanistic steps. The framework required distinction between established mechanisms, context-dependent observations, and unresolved or proposed mechanisms, and prioritized traceable evidence from the scientific literature (</w:t>
      </w:r>
      <w:r w:rsidRPr="00A20085">
        <w:rPr>
          <w:rFonts w:asciiTheme="majorHAnsi" w:hAnsiTheme="majorHAnsi" w:cstheme="majorHAnsi"/>
          <w:szCs w:val="24"/>
          <w:highlight w:val="green"/>
        </w:rPr>
        <w:t>Supplementary Prompt S1</w:t>
      </w:r>
      <w:r w:rsidRPr="002D15AA">
        <w:rPr>
          <w:rFonts w:asciiTheme="majorHAnsi" w:hAnsiTheme="majorHAnsi" w:cstheme="majorHAnsi"/>
          <w:szCs w:val="24"/>
        </w:rPr>
        <w:t xml:space="preserve">). The complete mechanistic-reconstruction framework is provided in </w:t>
      </w:r>
      <w:r w:rsidRPr="00A20085">
        <w:rPr>
          <w:rFonts w:asciiTheme="majorHAnsi" w:hAnsiTheme="majorHAnsi" w:cstheme="majorHAnsi"/>
          <w:szCs w:val="24"/>
          <w:highlight w:val="green"/>
        </w:rPr>
        <w:t>Supplementary Prompt S1</w:t>
      </w:r>
      <w:r w:rsidRPr="002D15AA">
        <w:rPr>
          <w:rFonts w:asciiTheme="majorHAnsi" w:hAnsiTheme="majorHAnsi" w:cstheme="majorHAnsi"/>
          <w:szCs w:val="24"/>
        </w:rPr>
        <w:t xml:space="preserve"> rather than reproduced here. </w:t>
      </w:r>
    </w:p>
    <w:p w14:paraId="1B6E7011" w14:textId="77777777" w:rsidR="002D15AA" w:rsidRPr="002D15AA" w:rsidRDefault="002D15AA" w:rsidP="002D15AA">
      <w:pPr>
        <w:spacing w:after="0" w:line="240" w:lineRule="auto"/>
        <w:rPr>
          <w:rFonts w:asciiTheme="majorHAnsi" w:hAnsiTheme="majorHAnsi" w:cstheme="majorHAnsi"/>
          <w:szCs w:val="24"/>
        </w:rPr>
      </w:pPr>
    </w:p>
    <w:p w14:paraId="76CE0B86"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 xml:space="preserve">For each RCD-related entity, the resulting mechanistic description and its associated references were retained together with the corresponding bibliographic RIS file. The extracted text was subsequently harmonized using a second standardized prompt </w:t>
      </w:r>
      <w:r w:rsidRPr="00A20085">
        <w:rPr>
          <w:rFonts w:asciiTheme="majorHAnsi" w:hAnsiTheme="majorHAnsi" w:cstheme="majorHAnsi"/>
          <w:szCs w:val="24"/>
          <w:highlight w:val="green"/>
        </w:rPr>
        <w:t>(Supplementary Prompt S2</w:t>
      </w:r>
      <w:r w:rsidRPr="002D15AA">
        <w:rPr>
          <w:rFonts w:asciiTheme="majorHAnsi" w:hAnsiTheme="majorHAnsi" w:cstheme="majorHAnsi"/>
          <w:szCs w:val="24"/>
        </w:rPr>
        <w:t>). This step was restricted to organization and linguistic standardization of the supplied material and was not intended to introduce additional mechanisms, molecules, or references. The harmonization framework explicitly required preservation of mechanistic uncertainty, separation of established from emerging evidence, and retention of the references supporting the source description. Each harmonized description was saved as an entity-specific plain-text (.txt) file, named according to the corresponding RCD-related entity, while the associated reference record and RIS file were retained as provenance artifacts.</w:t>
      </w:r>
    </w:p>
    <w:p w14:paraId="599CFB3B" w14:textId="77777777" w:rsidR="002D15AA" w:rsidRPr="002D15AA" w:rsidRDefault="002D15AA" w:rsidP="002D15AA">
      <w:pPr>
        <w:spacing w:after="0" w:line="240" w:lineRule="auto"/>
        <w:rPr>
          <w:rFonts w:asciiTheme="majorHAnsi" w:hAnsiTheme="majorHAnsi" w:cstheme="majorHAnsi"/>
          <w:szCs w:val="24"/>
        </w:rPr>
      </w:pPr>
    </w:p>
    <w:p w14:paraId="765EE178"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harmonized entity-specific descriptions were subsequently used as direct inputs for generation of mechanistic illustrations with ChatGPT (OpenAI; GPT-5.6 Sol) using a standardized figure-generation framework (</w:t>
      </w:r>
      <w:r w:rsidRPr="00A20085">
        <w:rPr>
          <w:rFonts w:asciiTheme="majorHAnsi" w:hAnsiTheme="majorHAnsi" w:cstheme="majorHAnsi"/>
          <w:szCs w:val="24"/>
          <w:highlight w:val="green"/>
        </w:rPr>
        <w:t>Supplementary Prompt S3).</w:t>
      </w:r>
      <w:r w:rsidRPr="002D15AA">
        <w:rPr>
          <w:rFonts w:asciiTheme="majorHAnsi" w:hAnsiTheme="majorHAnsi" w:cstheme="majorHAnsi"/>
          <w:szCs w:val="24"/>
        </w:rPr>
        <w:t xml:space="preserve"> The prompt imposed common scientific-illustration constraints across entities, including biologically ordered pathway representation, explicit molecular directionality, appropriate subcellular localization, consistent molecular labeling, and a publication-oriented biomedical illustration style. Importantly, the mechanistic description supplied for each individual entity constituted the biological input to the figure-generation step, whereas the standardized prompt controlled the graphical representation and visual organization. </w:t>
      </w:r>
    </w:p>
    <w:p w14:paraId="30FCAD09" w14:textId="77777777" w:rsidR="002D15AA" w:rsidRPr="002D15AA" w:rsidRDefault="002D15AA" w:rsidP="002D15AA">
      <w:pPr>
        <w:spacing w:after="0" w:line="240" w:lineRule="auto"/>
        <w:rPr>
          <w:rFonts w:asciiTheme="majorHAnsi" w:hAnsiTheme="majorHAnsi" w:cstheme="majorHAnsi"/>
          <w:szCs w:val="24"/>
        </w:rPr>
      </w:pPr>
    </w:p>
    <w:p w14:paraId="6886F03C"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initial figure underwent a sequential multi-model quality-control workflow using the standardized audit framework provided in </w:t>
      </w:r>
      <w:r w:rsidRPr="00A20085">
        <w:rPr>
          <w:rFonts w:asciiTheme="majorHAnsi" w:hAnsiTheme="majorHAnsi" w:cstheme="majorHAnsi"/>
          <w:szCs w:val="24"/>
          <w:highlight w:val="green"/>
        </w:rPr>
        <w:t>Supplementary Prompt S4.</w:t>
      </w:r>
      <w:r w:rsidRPr="002D15AA">
        <w:rPr>
          <w:rFonts w:asciiTheme="majorHAnsi" w:hAnsiTheme="majorHAnsi" w:cstheme="majorHAnsi"/>
          <w:szCs w:val="24"/>
        </w:rPr>
        <w:t xml:space="preserve"> In the first audit stage, the mechanistic description and corresponding figure were evaluated with Claude (Anthropic; Sonnet 5) for conceptual and mechanistic inconsistencies, including errors in causal sequence, molecular identity or localization, activation/inhibition directionality, pathway crosstalk, labeling, visual representation, and omission of biologically relevant components. The audit generated explicit element-level corrections rather than a general assessment. The resulting audit report was returned to ChatGPT, together with the original mechanistic description and figure, and used to generate a corrected version.</w:t>
      </w:r>
    </w:p>
    <w:p w14:paraId="1BBB0FF5" w14:textId="77777777" w:rsidR="002D15AA" w:rsidRPr="002D15AA" w:rsidRDefault="002D15AA" w:rsidP="002D15AA">
      <w:pPr>
        <w:spacing w:after="0" w:line="240" w:lineRule="auto"/>
        <w:rPr>
          <w:rFonts w:asciiTheme="majorHAnsi" w:hAnsiTheme="majorHAnsi" w:cstheme="majorHAnsi"/>
          <w:szCs w:val="24"/>
        </w:rPr>
      </w:pPr>
    </w:p>
    <w:p w14:paraId="0BC335B2" w14:textId="725FDB87" w:rsidR="00EA778E"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revised figure was then subjected to an independent second-stage audit with Gemini (Google; 3.6 Reasoning) using the same quality-control framework. This step evaluated whether previously identified errors had been corrected and whether residual conceptual, mechanistic, directional, labeling, or graphical inconsistencies remained. Figures for which additional issues were identified were returned to ChatGPT for another correction cycle and subsequently reassessed with Gemini. This iterative correction–reaudit loop was continued until no additional correction was requested under the audit criteria. Throughout the workflow, AI-generated outputs were used for literature synthesis, graphical construction, and quality control rather than as primary evidence; the entity-specific mechanistic descriptions, their cited references, and the corresponding RIS records were retained as the traceable evidence layer.</w:t>
      </w:r>
    </w:p>
    <w:p w14:paraId="5C3B804A" w14:textId="77777777" w:rsidR="002D15AA" w:rsidRPr="002D15AA" w:rsidRDefault="002D15AA" w:rsidP="002D15AA">
      <w:pPr>
        <w:spacing w:after="0" w:line="240" w:lineRule="auto"/>
        <w:rPr>
          <w:rFonts w:asciiTheme="majorHAnsi" w:hAnsiTheme="majorHAnsi" w:cstheme="majorHAnsi"/>
          <w:szCs w:val="24"/>
        </w:rPr>
      </w:pPr>
    </w:p>
    <w:p w14:paraId="5AEFAFE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Extraction Scripts</w:t>
      </w:r>
      <w:r w:rsidRPr="002D15AA">
        <w:rPr>
          <w:rFonts w:asciiTheme="majorHAnsi" w:hAnsiTheme="majorHAnsi" w:cstheme="majorHAnsi"/>
          <w:szCs w:val="24"/>
        </w:rPr>
        <w:t>: The complete extraction-pipeline scripts are catalogued in Supplementary Table S10. For completeness, TCGA, GEO, CPTAC, CCLE/GDSC/DepMap, STRING, and BioGRID are annotation/PPI sources, not gene extraction sources.</w:t>
      </w:r>
    </w:p>
    <w:p w14:paraId="383BFA46" w14:textId="77777777" w:rsidR="00925876" w:rsidRPr="002D15AA" w:rsidRDefault="00925876" w:rsidP="002D15AA">
      <w:pPr>
        <w:spacing w:after="0" w:line="240" w:lineRule="auto"/>
        <w:rPr>
          <w:rFonts w:asciiTheme="majorHAnsi" w:hAnsiTheme="majorHAnsi" w:cstheme="majorHAnsi"/>
          <w:szCs w:val="24"/>
        </w:rPr>
      </w:pPr>
    </w:p>
    <w:p w14:paraId="6FFD229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5D25393F" w14:textId="77777777" w:rsidR="00871F46" w:rsidRPr="002D15AA" w:rsidRDefault="00871F46" w:rsidP="002D15AA">
      <w:pPr>
        <w:spacing w:after="0" w:line="240" w:lineRule="auto"/>
        <w:rPr>
          <w:rFonts w:asciiTheme="majorHAnsi" w:hAnsiTheme="majorHAnsi" w:cstheme="majorHAnsi"/>
          <w:szCs w:val="24"/>
        </w:rPr>
      </w:pPr>
    </w:p>
    <w:p w14:paraId="781214DA" w14:textId="77777777" w:rsidR="00B9076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extraction scripts are available in the code/extraction/ directory and are executable via the master orchestrator master_extract.py. The output CSVs in output databases/ contain all gene-RCD associations with full source traceability.</w:t>
      </w:r>
    </w:p>
    <w:p w14:paraId="68B6EFC5" w14:textId="77777777" w:rsidR="00B9076D" w:rsidRPr="002D15AA" w:rsidRDefault="00B9076D" w:rsidP="002D15AA">
      <w:pPr>
        <w:spacing w:after="0" w:line="240" w:lineRule="auto"/>
        <w:rPr>
          <w:rFonts w:asciiTheme="majorHAnsi" w:hAnsiTheme="majorHAnsi" w:cstheme="majorHAnsi"/>
          <w:b/>
          <w:szCs w:val="24"/>
        </w:rPr>
      </w:pPr>
    </w:p>
    <w:p w14:paraId="4D194D14" w14:textId="77777777" w:rsidR="00EA778E" w:rsidRPr="002D15AA" w:rsidRDefault="00EA778E" w:rsidP="002D15AA">
      <w:pPr>
        <w:pStyle w:val="Ttulo2"/>
        <w:spacing w:before="0" w:line="240" w:lineRule="auto"/>
        <w:rPr>
          <w:rFonts w:cstheme="majorHAnsi"/>
          <w:sz w:val="24"/>
          <w:szCs w:val="24"/>
        </w:rPr>
      </w:pPr>
    </w:p>
    <w:p w14:paraId="75987434" w14:textId="77777777" w:rsidR="00A20085" w:rsidRDefault="00A20085" w:rsidP="002D15AA">
      <w:pPr>
        <w:pStyle w:val="Ttulo2"/>
        <w:spacing w:before="0" w:line="240" w:lineRule="auto"/>
        <w:rPr>
          <w:rFonts w:cstheme="majorHAnsi"/>
          <w:sz w:val="24"/>
          <w:szCs w:val="24"/>
        </w:rPr>
        <w:sectPr w:rsidR="00A20085" w:rsidSect="00034616">
          <w:pgSz w:w="11906" w:h="16838"/>
          <w:pgMar w:top="1417" w:right="1417" w:bottom="1417" w:left="1417" w:header="720" w:footer="720" w:gutter="0"/>
          <w:cols w:space="720"/>
          <w:docGrid w:linePitch="360"/>
        </w:sectPr>
      </w:pPr>
    </w:p>
    <w:p w14:paraId="5EAEE369" w14:textId="77777777" w:rsidR="000C7EE5" w:rsidRPr="002D15AA" w:rsidRDefault="00921C18" w:rsidP="002D15AA">
      <w:pPr>
        <w:pStyle w:val="Ttulo2"/>
        <w:spacing w:before="0" w:line="240" w:lineRule="auto"/>
        <w:rPr>
          <w:rFonts w:cstheme="majorHAnsi"/>
          <w:sz w:val="24"/>
          <w:szCs w:val="24"/>
        </w:rPr>
      </w:pPr>
      <w:r w:rsidRPr="002D15AA">
        <w:rPr>
          <w:rFonts w:cstheme="majorHAnsi"/>
          <w:sz w:val="24"/>
          <w:szCs w:val="24"/>
        </w:rPr>
        <w:lastRenderedPageBreak/>
        <w:t>RESULTS</w:t>
      </w:r>
    </w:p>
    <w:p w14:paraId="7657299A" w14:textId="77777777" w:rsidR="009B500E" w:rsidRPr="002D15AA" w:rsidRDefault="009B500E" w:rsidP="002D15AA">
      <w:pPr>
        <w:spacing w:after="0" w:line="240" w:lineRule="auto"/>
        <w:rPr>
          <w:rFonts w:asciiTheme="majorHAnsi" w:hAnsiTheme="majorHAnsi" w:cstheme="majorHAnsi"/>
          <w:b/>
          <w:szCs w:val="24"/>
        </w:rPr>
      </w:pPr>
    </w:p>
    <w:p w14:paraId="08E3FFD2" w14:textId="77777777" w:rsidR="000C7EE5" w:rsidRPr="002D15AA" w:rsidRDefault="00661FF5"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The RCDome </w:t>
      </w:r>
      <w:r w:rsidR="00921C18" w:rsidRPr="002D15AA">
        <w:rPr>
          <w:rFonts w:asciiTheme="majorHAnsi" w:hAnsiTheme="majorHAnsi" w:cstheme="majorHAnsi"/>
          <w:b/>
          <w:szCs w:val="24"/>
        </w:rPr>
        <w:t>Compendium Composition</w:t>
      </w:r>
    </w:p>
    <w:p w14:paraId="2DD9CCF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final canonicalized vocabulary comprises 53 RCD-related entities (Supplementary Note S4)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(Database S1).</w:t>
      </w:r>
    </w:p>
    <w:p w14:paraId="179909FB" w14:textId="77777777" w:rsidR="008A62B5" w:rsidRPr="002D15AA" w:rsidRDefault="008A62B5" w:rsidP="002D15AA">
      <w:pPr>
        <w:spacing w:after="0" w:line="240" w:lineRule="auto"/>
        <w:rPr>
          <w:rFonts w:asciiTheme="majorHAnsi" w:hAnsiTheme="majorHAnsi" w:cstheme="majorHAnsi"/>
          <w:szCs w:val="24"/>
        </w:rPr>
      </w:pPr>
    </w:p>
    <w:p w14:paraId="6520AB63" w14:textId="77777777" w:rsidR="00661FF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9 synonym-merge groups (11 name eliminations, 2 split names)) (Dataset S1).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a form formally excluded by the five-criteria admission framework (see Material and Methods), were removed, eliminating three genes (APMAP, ATP11C, CDC50A) that appeared only under that form. Gene biotypes are predominantly protein-coding (20,642,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315BE090" w14:textId="77777777" w:rsidR="00661FF5" w:rsidRPr="002D15AA" w:rsidRDefault="00661FF5" w:rsidP="002D15AA">
      <w:pPr>
        <w:spacing w:after="0" w:line="240" w:lineRule="auto"/>
        <w:rPr>
          <w:rFonts w:asciiTheme="majorHAnsi" w:hAnsiTheme="majorHAnsi" w:cstheme="majorHAnsi"/>
          <w:szCs w:val="24"/>
        </w:rPr>
      </w:pPr>
    </w:p>
    <w:p w14:paraId="2CC2C7DC"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Among the 53 RCD-related entities, gene coverage is highly heterogeneous: the largest forms, Apoptosis (6,229 association rows; 5,897 unique genes) and Autophagy (4,790 association rows),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239) represent newly integrated categories not present in the original NCCD 2018-derived vocabulary. Every gene-RCD association carries full provenance to its source database, ten RCD-specific curated databases (FerrDB v3, RCDdb, iPCD, LncRCD, iLIR, HADb, HAMdb, ATD, AMT-DB, ncFO), five pathway and molecular databases (KEGG, Reactome, Gene Ontology, MSigDB/GSEA, WikiPathways), NCBI Gene, and </w:t>
      </w:r>
      <w:r w:rsidRPr="002D15AA">
        <w:rPr>
          <w:rFonts w:asciiTheme="majorHAnsi" w:hAnsiTheme="majorHAnsi" w:cstheme="majorHAnsi"/>
          <w:szCs w:val="24"/>
        </w:rPr>
        <w:lastRenderedPageBreak/>
        <w:t>six omic-annotation resources (TCGA, GEO, CPTAC, CCLE, GDSC, DepMap), supplemented by the AI-assisted Elicit extraction (20 independent resources, Supplementary Table S2),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(Supplementary Figure S2).</w:t>
      </w:r>
    </w:p>
    <w:p w14:paraId="477A0AB4" w14:textId="77777777" w:rsidR="004C566E" w:rsidRPr="002D15AA" w:rsidRDefault="004C566E" w:rsidP="002D15AA">
      <w:pPr>
        <w:spacing w:after="0" w:line="240" w:lineRule="auto"/>
        <w:rPr>
          <w:rFonts w:asciiTheme="majorHAnsi" w:hAnsiTheme="majorHAnsi" w:cstheme="majorHAnsi"/>
          <w:b/>
          <w:szCs w:val="24"/>
        </w:rPr>
      </w:pPr>
    </w:p>
    <w:p w14:paraId="2FF975AE"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Read at the level of mechanism, the compendium reveals a remarkably small execution core: only 469 gene-RCD pairs (4.7% of the mechanistically-involved set) are executors, genes that directly pore, cleave, or permeabilize to kill the cell, while 9,489 pairs (94.7%) are regulators that promote or inhibit death without executing it (Figure 3A). Regulated cell death, therefore, is not a collection of lethal machines but a vast regulatory network built around a small core of executioners.</w:t>
      </w:r>
    </w:p>
    <w:p w14:paraId="10246955"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RCD entity census and operational definitions</w:t>
      </w:r>
    </w:p>
    <w:p w14:paraId="5FE9A28A"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RCDome identified 53 canonicalized RCD-related entities, represented by 22,473 gene-RCD pairs in the unified evidence matrix. Of these, 20 carried the verbatim operational definitions of the Nomenclature Committee on Cell Death (NCCD; Galluzzi et al. 2018), 12 carried the expanded operational definitions of the multi-optosis dataset (Rodrigues et al. 2025), of which five (cuproptosis, disulfidptosis, erebosis, alkaliptosis, and oxeiptosis) were not described by the NCCD and had been AI-extracted from a 6,603-PDF corpus and human-validated,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(Supplementary Table S11) The ontological adjudication of each entity, the pre- and post-adjudication levels and the Q1–Q13 evidence trail under the BG0–BG6 hard gates, is documented in Supplementary Table S12.</w:t>
      </w:r>
    </w:p>
    <w:p w14:paraId="210D7EF9" w14:textId="77777777" w:rsidR="009B500E" w:rsidRPr="002D15AA" w:rsidRDefault="009B500E" w:rsidP="002D15AA">
      <w:pPr>
        <w:spacing w:after="0" w:line="240" w:lineRule="auto"/>
        <w:rPr>
          <w:rFonts w:asciiTheme="majorHAnsi" w:hAnsiTheme="majorHAnsi" w:cstheme="majorHAnsi"/>
          <w:szCs w:val="24"/>
        </w:rPr>
      </w:pPr>
    </w:p>
    <w:p w14:paraId="1DCCCD15"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54E46210" w14:textId="77777777" w:rsidR="009B500E" w:rsidRPr="002D15AA" w:rsidRDefault="009B500E" w:rsidP="002D15AA">
      <w:pPr>
        <w:spacing w:after="0" w:line="240" w:lineRule="auto"/>
        <w:rPr>
          <w:rFonts w:asciiTheme="majorHAnsi" w:hAnsiTheme="majorHAnsi" w:cstheme="majorHAnsi"/>
          <w:szCs w:val="24"/>
        </w:rPr>
      </w:pPr>
    </w:p>
    <w:p w14:paraId="5892EBEF" w14:textId="551169C0"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entity's </w:t>
      </w:r>
      <w:r w:rsidR="00661FF5" w:rsidRPr="002D15AA">
        <w:rPr>
          <w:rFonts w:asciiTheme="majorHAnsi" w:hAnsiTheme="majorHAnsi" w:cstheme="majorHAnsi"/>
          <w:szCs w:val="24"/>
        </w:rPr>
        <w:t xml:space="preserve">operational </w:t>
      </w:r>
      <w:r w:rsidRPr="002D15AA">
        <w:rPr>
          <w:rFonts w:asciiTheme="majorHAnsi" w:hAnsiTheme="majorHAnsi" w:cstheme="majorHAnsi"/>
          <w:szCs w:val="24"/>
        </w:rP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inflammatory status (no); the overlap description (phosphatidylserine-exposure clearance, </w:t>
      </w:r>
      <w:r w:rsidRPr="002D15AA">
        <w:rPr>
          <w:rFonts w:asciiTheme="majorHAnsi" w:hAnsiTheme="majorHAnsi" w:cstheme="majorHAnsi"/>
          <w:szCs w:val="24"/>
        </w:rPr>
        <w:lastRenderedPageBreak/>
        <w:t xml:space="preserve">apoptosis/efferocytosis-like); the six criteria RS1–RS6 (4/4/4/4/5/5) with overall score S = 4.15; and the full provenance chain (founding </w:t>
      </w:r>
      <w:r w:rsidR="00C33FBD">
        <w:rPr>
          <w:rFonts w:asciiTheme="majorHAnsi" w:hAnsiTheme="majorHAnsi" w:cstheme="majorHAnsi"/>
          <w:szCs w:val="24"/>
        </w:rPr>
        <w:t>{Lang, 2006 #786310}</w:t>
      </w:r>
      <w:r w:rsidRPr="002D15AA">
        <w:rPr>
          <w:rFonts w:asciiTheme="majorHAnsi" w:hAnsiTheme="majorHAnsi" w:cstheme="majorHAnsi"/>
          <w:szCs w:val="24"/>
        </w:rPr>
        <w:t xml:space="preserve">; authoring source Rodrigues </w:t>
      </w:r>
      <w:r w:rsidRPr="002D15AA">
        <w:rPr>
          <w:rFonts w:asciiTheme="majorHAnsi" w:hAnsiTheme="majorHAnsi" w:cstheme="majorHAnsi"/>
          <w:i/>
          <w:szCs w:val="24"/>
        </w:rPr>
        <w:t>et al.</w:t>
      </w:r>
      <w:r w:rsidRPr="002D15AA">
        <w:rPr>
          <w:rFonts w:asciiTheme="majorHAnsi" w:hAnsiTheme="majorHAnsi" w:cstheme="majorHAnsi"/>
          <w:szCs w:val="24"/>
        </w:rPr>
        <w:t>, RCDome; source databases Elicit_Phase3 and NCBI_Gene; channels B and E).</w:t>
      </w:r>
    </w:p>
    <w:p w14:paraId="17720DC9" w14:textId="77777777" w:rsidR="004B02F0" w:rsidRPr="002D15AA" w:rsidRDefault="004B02F0" w:rsidP="002D15AA">
      <w:pPr>
        <w:spacing w:after="0" w:line="240" w:lineRule="auto"/>
        <w:rPr>
          <w:rFonts w:asciiTheme="majorHAnsi" w:hAnsiTheme="majorHAnsi" w:cstheme="majorHAnsi"/>
          <w:szCs w:val="24"/>
        </w:rPr>
      </w:pPr>
    </w:p>
    <w:p w14:paraId="0D87A952"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using PMC full text where available and Consensus full-text-derived takeaways otherwise,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p>
    <w:p w14:paraId="28776557" w14:textId="77777777" w:rsidR="004B02F0" w:rsidRPr="002D15AA" w:rsidRDefault="004B02F0" w:rsidP="002D15AA">
      <w:pPr>
        <w:spacing w:after="0" w:line="240" w:lineRule="auto"/>
        <w:rPr>
          <w:rFonts w:asciiTheme="majorHAnsi" w:hAnsiTheme="majorHAnsi" w:cstheme="majorHAnsi"/>
          <w:szCs w:val="24"/>
        </w:rPr>
      </w:pPr>
    </w:p>
    <w:p w14:paraId="07777714"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Four of the de novo drafts, lysoptosis, PANoptosis, regulated necrosis, and triaptosis,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0D1FDDC9" w14:textId="77777777" w:rsidR="004B02F0" w:rsidRPr="002D15AA" w:rsidRDefault="004B02F0" w:rsidP="002D15AA">
      <w:pPr>
        <w:spacing w:after="0" w:line="240" w:lineRule="auto"/>
        <w:rPr>
          <w:rFonts w:asciiTheme="majorHAnsi" w:hAnsiTheme="majorHAnsi" w:cstheme="majorHAnsi"/>
          <w:szCs w:val="24"/>
        </w:rPr>
      </w:pPr>
    </w:p>
    <w:p w14:paraId="1A8C1F3F"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color w:val="EE0000"/>
          <w:szCs w:val="24"/>
          <w:highlight w:val="cyan"/>
        </w:rPr>
        <w:t>Two ontology corrections were applied following the biological curation: MPT-driven necrosis was reclassified from the trigger level (L3) to the modality level (L1), while the mitochondrial permeability transition (MPT) itself remains a trigger (L3), correcting a trigger-centered placement; and vacuolar cell death was reclassified from L4 to L5 as a taxon-specific morphological category (plant + protist; not human). Following the adoption of strict hard gates (BG0-BG6; Methods), the ontological levels were recalibrated across the 53 entities: L1 was restricted to the 19 bona fide modalities, while morphology, umbrella, contextual, taxon-specific, legacy, and speculative emerging forms were re-leveled to L2-L5 (Supplementary Table S11).</w:t>
      </w:r>
    </w:p>
    <w:p w14:paraId="0C976259" w14:textId="77777777" w:rsidR="004B02F0" w:rsidRPr="002D15AA" w:rsidRDefault="004B02F0" w:rsidP="002D15AA">
      <w:pPr>
        <w:spacing w:after="0" w:line="240" w:lineRule="auto"/>
        <w:rPr>
          <w:rFonts w:asciiTheme="majorHAnsi" w:hAnsiTheme="majorHAnsi" w:cstheme="majorHAnsi"/>
          <w:b/>
          <w:szCs w:val="24"/>
        </w:rPr>
      </w:pPr>
    </w:p>
    <w:p w14:paraId="26A49520"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Compendium Completeness</w:t>
      </w:r>
    </w:p>
    <w:p w14:paraId="12F9A739"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22,217 of 22,473 rows (98.9%) </w:t>
      </w:r>
      <w:r w:rsidRPr="002D15AA">
        <w:rPr>
          <w:rFonts w:asciiTheme="majorHAnsi" w:hAnsiTheme="majorHAnsi" w:cstheme="majorHAnsi"/>
          <w:szCs w:val="24"/>
        </w:rPr>
        <w:lastRenderedPageBreak/>
        <w:t>with at least one traceable PMID across four evidence channels (pmid_list, llm_pmids, epmc_pmids, elicit_pmids).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p>
    <w:p w14:paraId="0E90EAD6" w14:textId="77777777" w:rsidR="00EA778E" w:rsidRPr="002D15AA" w:rsidRDefault="00EA778E" w:rsidP="002D15AA">
      <w:pPr>
        <w:spacing w:after="0" w:line="240" w:lineRule="auto"/>
        <w:rPr>
          <w:rFonts w:asciiTheme="majorHAnsi" w:hAnsiTheme="majorHAnsi" w:cstheme="majorHAnsi"/>
          <w:szCs w:val="24"/>
        </w:rPr>
      </w:pPr>
    </w:p>
    <w:p w14:paraId="688DBEE6"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2A/D Validation: Scale and Coverage</w:t>
      </w:r>
    </w:p>
    <w:p w14:paraId="20E16F5F" w14:textId="77777777" w:rsidR="00CA1683"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Validation was performed on all 21,568 unique gene-RCD combinations. Of the compendium's 22,473 total rows, 22,217 carry PMIDs (98.9%), corresponding to 21,312 of these 21,568 unique combinations. Each was independently validated through a two-call LLM architecture against PubMed abstracts.</w:t>
      </w:r>
    </w:p>
    <w:p w14:paraId="037A65FC" w14:textId="77777777" w:rsidR="00EA778E" w:rsidRPr="002D15AA" w:rsidRDefault="00EA778E" w:rsidP="002D15AA">
      <w:pPr>
        <w:spacing w:after="0" w:line="240" w:lineRule="auto"/>
        <w:rPr>
          <w:rFonts w:asciiTheme="majorHAnsi" w:hAnsiTheme="majorHAnsi" w:cstheme="majorHAnsi"/>
          <w:szCs w:val="24"/>
        </w:rPr>
      </w:pPr>
    </w:p>
    <w:p w14:paraId="09A7193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Validation Performance</w:t>
      </w:r>
    </w:p>
    <w:p w14:paraId="6A7E1975"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02A3813D" w14:textId="77777777" w:rsidR="00EA778E" w:rsidRPr="002D15AA" w:rsidRDefault="00EA778E" w:rsidP="002D15AA">
      <w:pPr>
        <w:spacing w:after="0" w:line="240" w:lineRule="auto"/>
        <w:rPr>
          <w:rFonts w:asciiTheme="majorHAnsi" w:hAnsiTheme="majorHAnsi" w:cstheme="majorHAnsi"/>
          <w:b/>
          <w:szCs w:val="24"/>
        </w:rPr>
      </w:pPr>
    </w:p>
    <w:p w14:paraId="55A1AB92"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Evidence Tier Distribution</w:t>
      </w:r>
    </w:p>
    <w:p w14:paraId="363FD28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497CC216"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ET1 (Gold Standard), 2,864 pairs (12.7%), reflects multi-database consensus with RCDdb PMID support</w:t>
      </w:r>
    </w:p>
    <w:p w14:paraId="522EAA8C"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ET2 (Strong Evidence), 5,686 pairs (25.3%), reflects three or more independent sources or LLM-confirmed</w:t>
      </w:r>
    </w:p>
    <w:p w14:paraId="63518D8E"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ET3 (Moderate Evidence), 8,212 pairs (36.5%), reflects two sources with LLM partial confirmation</w:t>
      </w:r>
    </w:p>
    <w:p w14:paraId="4AB0727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ET4 (Weak Evidence), 5,711 pairs (25.4%), reflects single source without LLM confirmation, or LLM unable to verify</w:t>
      </w:r>
    </w:p>
    <w:p w14:paraId="6E248FC1" w14:textId="77777777" w:rsidR="00EA778E" w:rsidRPr="002D15AA" w:rsidRDefault="00EA778E" w:rsidP="002D15AA">
      <w:pPr>
        <w:spacing w:after="0" w:line="240" w:lineRule="auto"/>
        <w:rPr>
          <w:rFonts w:asciiTheme="majorHAnsi" w:hAnsiTheme="majorHAnsi" w:cstheme="majorHAnsi"/>
          <w:b/>
          <w:szCs w:val="24"/>
        </w:rPr>
      </w:pPr>
    </w:p>
    <w:p w14:paraId="0BABCC5D"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Mechanistic Classification</w:t>
      </w:r>
    </w:p>
    <w:p w14:paraId="58CBB8F7"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1A83C9E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MECHANISTIC, 3,063 pairs (13.6%), validated by both LLM knowledge and PubMed abstracts</w:t>
      </w:r>
    </w:p>
    <w:p w14:paraId="4CE470A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LITERATURE_GAP, 1,519 pairs (6.8%), LLM training recognizes but abstracts lack explicit statements ; CONTEXT_GAP, 6,170 pairs (27.5%), PubMed confirms but LLM training does not recognize ; CO_OCCURRENCE, 2,416 pairs (10.8%), high paper counts but no mechanistic evidence ; INSUFFICIENT_DATA, 8,863 pairs (39.4%), few papers; LLM cannot determine </w:t>
      </w:r>
      <w:r w:rsidRPr="002D15AA">
        <w:rPr>
          <w:rFonts w:asciiTheme="majorHAnsi" w:hAnsiTheme="majorHAnsi" w:cstheme="majorHAnsi"/>
          <w:szCs w:val="24"/>
        </w:rPr>
        <w:lastRenderedPageBreak/>
        <w:t>involvement ; DATABASE_ONLY, 442 pairs (2.0%), gene and RCD term never co-occur in PubMed ; TECHNICAL_FAILURE, 0 pairs (0%), no API failures in the final run</w:t>
      </w:r>
    </w:p>
    <w:p w14:paraId="72C2FEE0" w14:textId="77777777" w:rsidR="00EA778E" w:rsidRPr="002D15AA" w:rsidRDefault="00EA778E" w:rsidP="002D15AA">
      <w:pPr>
        <w:spacing w:after="0" w:line="240" w:lineRule="auto"/>
        <w:rPr>
          <w:rFonts w:asciiTheme="majorHAnsi" w:hAnsiTheme="majorHAnsi" w:cstheme="majorHAnsi"/>
          <w:szCs w:val="24"/>
        </w:rPr>
      </w:pPr>
    </w:p>
    <w:p w14:paraId="3DB8BE67"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Together, the seven mechanistic classes account for all 22,473 validated rows.</w:t>
      </w:r>
    </w:p>
    <w:p w14:paraId="736D45F7" w14:textId="77777777" w:rsidR="004B02F0" w:rsidRPr="002D15AA" w:rsidRDefault="004B02F0" w:rsidP="002D15AA">
      <w:pPr>
        <w:spacing w:after="0" w:line="240" w:lineRule="auto"/>
        <w:rPr>
          <w:rFonts w:asciiTheme="majorHAnsi" w:hAnsiTheme="majorHAnsi" w:cstheme="majorHAnsi"/>
          <w:szCs w:val="24"/>
        </w:rPr>
      </w:pPr>
    </w:p>
    <w:p w14:paraId="4221F8AF"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265 regulators (155 pro-survival, 110 pro-death) and 16 executors, while 150 were literature gaps, 471 context gaps, 428 co-occurrence, 316 insufficient-data, and 185 database-only. Overall, 1,576 of the 1,832 pairs (86.0%) now carry at least one PMID.</w:t>
      </w:r>
    </w:p>
    <w:p w14:paraId="2C4E3767" w14:textId="77777777" w:rsidR="00EA778E" w:rsidRPr="002D15AA" w:rsidRDefault="00EA778E" w:rsidP="002D15AA">
      <w:pPr>
        <w:spacing w:after="0" w:line="240" w:lineRule="auto"/>
        <w:rPr>
          <w:rFonts w:asciiTheme="majorHAnsi" w:hAnsiTheme="majorHAnsi" w:cstheme="majorHAnsi"/>
          <w:b/>
          <w:szCs w:val="24"/>
        </w:rPr>
      </w:pPr>
    </w:p>
    <w:p w14:paraId="4FB03E7D"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3 Benchmark Results</w:t>
      </w:r>
    </w:p>
    <w:p w14:paraId="375A139B"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Extraction Summary. </w:t>
      </w:r>
      <w:r w:rsidRPr="00445A3E">
        <w:rPr>
          <w:rFonts w:asciiTheme="majorHAnsi" w:hAnsiTheme="majorHAnsi" w:cstheme="majorHAnsi"/>
          <w:bCs/>
          <w:szCs w:val="24"/>
        </w:rPr>
        <w:t>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(Supplementary Table S13).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 A, well-established; B, established; C, emerging; D, proposed).</w:t>
      </w:r>
    </w:p>
    <w:p w14:paraId="15AF051E" w14:textId="77777777" w:rsidR="00B204AE" w:rsidRPr="00B42D93" w:rsidRDefault="00B204AE" w:rsidP="002D15AA">
      <w:pPr>
        <w:spacing w:after="0" w:line="240" w:lineRule="auto"/>
        <w:rPr>
          <w:rFonts w:asciiTheme="majorHAnsi" w:hAnsiTheme="majorHAnsi" w:cstheme="majorHAnsi"/>
          <w:iCs/>
          <w:szCs w:val="24"/>
        </w:rPr>
      </w:pPr>
    </w:p>
    <w:p w14:paraId="76640146" w14:textId="77777777" w:rsidR="0019489D" w:rsidRPr="00B42D93" w:rsidRDefault="00921C18" w:rsidP="002D15AA">
      <w:pPr>
        <w:spacing w:after="0" w:line="240" w:lineRule="auto"/>
        <w:rPr>
          <w:rFonts w:asciiTheme="majorHAnsi" w:hAnsiTheme="majorHAnsi" w:cstheme="majorHAnsi"/>
          <w:iCs/>
          <w:szCs w:val="24"/>
        </w:rPr>
      </w:pPr>
      <w:r w:rsidRPr="00B42D93">
        <w:rPr>
          <w:rFonts w:asciiTheme="majorHAnsi" w:hAnsiTheme="majorHAnsi" w:cstheme="majorHAnsi"/>
          <w:bCs/>
          <w:iCs/>
          <w:szCs w:val="24"/>
        </w:rPr>
        <w:t>The raw and post-governance record counts are equal (784) because the post-export governance normalizes roles (192 EXECUTOR-to-REGULATOR downgrades) rather than removing records; zero records were rejected by the allow-list filter.</w:t>
      </w:r>
    </w:p>
    <w:p w14:paraId="7591CF2A" w14:textId="77777777" w:rsidR="00EA778E" w:rsidRPr="002D15AA" w:rsidRDefault="00EA778E" w:rsidP="002D15AA">
      <w:pPr>
        <w:spacing w:after="0" w:line="240" w:lineRule="auto"/>
        <w:rPr>
          <w:rFonts w:asciiTheme="majorHAnsi" w:hAnsiTheme="majorHAnsi" w:cstheme="majorHAnsi"/>
          <w:b/>
          <w:szCs w:val="24"/>
        </w:rPr>
      </w:pPr>
    </w:p>
    <w:p w14:paraId="75C57E75" w14:textId="77777777" w:rsidR="0019489D" w:rsidRPr="00445A3E" w:rsidRDefault="00921C18"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Gate Results. </w:t>
      </w:r>
      <w:r w:rsidRPr="00445A3E">
        <w:rPr>
          <w:rFonts w:asciiTheme="majorHAnsi" w:hAnsiTheme="majorHAnsi" w:cstheme="majorHAnsi"/>
          <w:bCs/>
          <w:szCs w:val="24"/>
        </w:rPr>
        <w:t>All five Elicit governance gates passed at their pre-registered thresholds (Supplementary Table S14).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p>
    <w:p w14:paraId="3491469D" w14:textId="77777777" w:rsidR="00EA778E" w:rsidRPr="002D15AA" w:rsidRDefault="00EA778E" w:rsidP="002D15AA">
      <w:pPr>
        <w:spacing w:after="0" w:line="240" w:lineRule="auto"/>
        <w:rPr>
          <w:rFonts w:asciiTheme="majorHAnsi" w:hAnsiTheme="majorHAnsi" w:cstheme="majorHAnsi"/>
          <w:b/>
          <w:color w:val="EE0000"/>
          <w:szCs w:val="24"/>
        </w:rPr>
      </w:pPr>
    </w:p>
    <w:p w14:paraId="444ED578"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Governance Impact.</w:t>
      </w:r>
      <w:r w:rsidRPr="002D15AA">
        <w:rPr>
          <w:rFonts w:asciiTheme="majorHAnsi" w:hAnsiTheme="majorHAnsi" w:cstheme="majorHAnsi"/>
          <w:szCs w:val="24"/>
        </w:rPr>
        <w:t xml:space="preserve"> The 192 EXECUTOR downgrades (88 Ferroptosis, 104 Cuproptosis) represent the single most impactful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w:t>
      </w:r>
      <w:r w:rsidRPr="002D15AA">
        <w:rPr>
          <w:rFonts w:asciiTheme="majorHAnsi" w:hAnsiTheme="majorHAnsi" w:cstheme="majorHAnsi"/>
          <w:szCs w:val="24"/>
        </w:rPr>
        <w:lastRenderedPageBreak/>
        <w:t>inflated, and validates the utility of embedding NCCD-compliant definitions directly into the extraction governance layer rather than relying on post hoc expert review.</w:t>
      </w:r>
    </w:p>
    <w:p w14:paraId="1F602DAB" w14:textId="77777777" w:rsidR="00707921" w:rsidRPr="002D15AA" w:rsidRDefault="00707921" w:rsidP="002D15AA">
      <w:pPr>
        <w:spacing w:after="0" w:line="240" w:lineRule="auto"/>
        <w:rPr>
          <w:rFonts w:asciiTheme="majorHAnsi" w:hAnsiTheme="majorHAnsi" w:cstheme="majorHAnsi"/>
          <w:szCs w:val="24"/>
        </w:rPr>
      </w:pPr>
    </w:p>
    <w:p w14:paraId="47C4C121" w14:textId="77777777" w:rsidR="0019489D"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t>Scalability Assessment</w:t>
      </w:r>
      <w:r w:rsidRPr="002D15AA">
        <w:rPr>
          <w:rFonts w:asciiTheme="majorHAnsi" w:hAnsiTheme="majorHAnsi" w:cstheme="majorHAnsi"/>
          <w:szCs w:val="24"/>
        </w:rPr>
        <w:t>. The benchmark extracted 784 governed records from 154 papers. Production search depth was determined empirically (see Search Depth Determination below) rather than extrapolated; the measured Ferroptosis scaling series from 50 to 1,000 results per search is reported in Supplementary Table S15. The benchmark validates the methodology for production deployment; the scaling strategy prioritizes the P1 forms (those with 100+ genes in the matrix) for full extraction, with P2 and P3 forms following as capacity allows.</w:t>
      </w:r>
    </w:p>
    <w:p w14:paraId="6231D7D1" w14:textId="77777777" w:rsidR="00EA778E" w:rsidRPr="002D15AA" w:rsidRDefault="00EA778E" w:rsidP="002D15AA">
      <w:pPr>
        <w:spacing w:after="0" w:line="240" w:lineRule="auto"/>
        <w:rPr>
          <w:rFonts w:asciiTheme="majorHAnsi" w:hAnsiTheme="majorHAnsi" w:cstheme="majorHAnsi"/>
          <w:b/>
          <w:szCs w:val="24"/>
        </w:rPr>
      </w:pPr>
    </w:p>
    <w:p w14:paraId="2D315C0C"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Comparison with Pre-Governance Baseline. </w:t>
      </w:r>
      <w:r w:rsidRPr="00445A3E">
        <w:rPr>
          <w:rFonts w:asciiTheme="majorHAnsi" w:hAnsiTheme="majorHAnsi" w:cstheme="majorHAnsi"/>
          <w:bCs/>
          <w:szCs w:val="24"/>
        </w:rPr>
        <w:t>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(a +33% relative increase), EXECUTOR precision from 47% to 100% (a +113% relative increase), and traceability from 24% to 98% (a +310% relative increase) (Figure 2B). The governance framework does not merely improve extraction quality -- it transforms an unreliable AI extraction into a verifiable, auditable evidence pipeline.</w:t>
      </w:r>
    </w:p>
    <w:p w14:paraId="59A4FA25" w14:textId="77777777" w:rsidR="00EA778E" w:rsidRPr="002D15AA" w:rsidRDefault="00EA778E" w:rsidP="002D15AA">
      <w:pPr>
        <w:spacing w:after="0" w:line="240" w:lineRule="auto"/>
        <w:rPr>
          <w:rFonts w:asciiTheme="majorHAnsi" w:hAnsiTheme="majorHAnsi" w:cstheme="majorHAnsi"/>
          <w:b/>
          <w:szCs w:val="24"/>
        </w:rPr>
      </w:pPr>
    </w:p>
    <w:p w14:paraId="63A1B703" w14:textId="7565057B"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Search Depth Determination.</w:t>
      </w:r>
      <w:r w:rsidR="00A20085">
        <w:rPr>
          <w:rFonts w:asciiTheme="majorHAnsi" w:hAnsiTheme="majorHAnsi" w:cstheme="majorHAnsi"/>
          <w:b/>
          <w:szCs w:val="24"/>
        </w:rPr>
        <w:t xml:space="preserve"> </w:t>
      </w:r>
      <w:r w:rsidRPr="002D15AA">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4DF6DD82" w14:textId="77777777" w:rsidR="00EA778E" w:rsidRPr="002D15AA" w:rsidRDefault="00EA778E" w:rsidP="002D15AA">
      <w:pPr>
        <w:spacing w:after="0" w:line="240" w:lineRule="auto"/>
        <w:rPr>
          <w:rFonts w:asciiTheme="majorHAnsi" w:hAnsiTheme="majorHAnsi" w:cstheme="majorHAnsi"/>
          <w:szCs w:val="24"/>
        </w:rPr>
      </w:pPr>
    </w:p>
    <w:p w14:paraId="129CA1E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1DFB5D41" w14:textId="77777777" w:rsidR="00EA778E" w:rsidRPr="002D15AA" w:rsidRDefault="00EA778E" w:rsidP="002D15AA">
      <w:pPr>
        <w:spacing w:after="0" w:line="240" w:lineRule="auto"/>
        <w:rPr>
          <w:rFonts w:asciiTheme="majorHAnsi" w:hAnsiTheme="majorHAnsi" w:cstheme="majorHAnsi"/>
          <w:szCs w:val="24"/>
        </w:rPr>
      </w:pPr>
    </w:p>
    <w:p w14:paraId="4F354DA5"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Elicit literature-mining layer yielded 4,602 gene-RCD associations across 50 RCD forms, triaged into three evidence statuses: 3,803 genuine (each carrying a body-level verbatim sentence and a DOI, with a PMID in 98.3% of cases), 798 association_only (database-backed </w:t>
      </w:r>
      <w:r w:rsidRPr="002D15AA">
        <w:rPr>
          <w:rFonts w:asciiTheme="majorHAnsi" w:hAnsiTheme="majorHAnsi" w:cstheme="majorHAnsi"/>
          <w:szCs w:val="24"/>
        </w:rPr>
        <w:lastRenderedPageBreak/>
        <w:t>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was predominantly PROMOTES (2,397) versus PROTECTS (963), with 1,392 genes required for death. Evidence type: GENETIC_PERTURBATION 2,079; EXPRESSION_CORRELATION 801; PHARMACOLOGICAL 670; CITATION_ONLY 3.</w:t>
      </w:r>
    </w:p>
    <w:p w14:paraId="4AF09446" w14:textId="77777777" w:rsidR="00EA778E" w:rsidRPr="002D15AA" w:rsidRDefault="00EA778E" w:rsidP="002D15AA">
      <w:pPr>
        <w:spacing w:after="0" w:line="240" w:lineRule="auto"/>
        <w:rPr>
          <w:rFonts w:asciiTheme="majorHAnsi" w:hAnsiTheme="majorHAnsi" w:cstheme="majorHAnsi"/>
          <w:szCs w:val="24"/>
        </w:rPr>
      </w:pPr>
    </w:p>
    <w:p w14:paraId="0A751966"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2B processed 167,868 free PMC full-text articles across 21,312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70 context-dependent, and one row without a recorded direction.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495C1AF9" w14:textId="77777777" w:rsidR="00EA778E" w:rsidRPr="002D15AA" w:rsidRDefault="00EA778E" w:rsidP="002D15AA">
      <w:pPr>
        <w:spacing w:after="0" w:line="240" w:lineRule="auto"/>
        <w:rPr>
          <w:rFonts w:asciiTheme="majorHAnsi" w:hAnsiTheme="majorHAnsi" w:cstheme="majorHAnsi"/>
          <w:szCs w:val="24"/>
        </w:rPr>
      </w:pPr>
    </w:p>
    <w:p w14:paraId="6D838FC8"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2C full-text Europe PMC recovery added 3,058 MECHANISTIC classifications, in addition to the 3,063 MECHANISTIC pairs from Phase 2A/D abstract validation.</w:t>
      </w:r>
    </w:p>
    <w:p w14:paraId="6B2FD6E0"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1,013 unique full-text papers in the deep layer versus 8,253 PMIDs and 9,146 DOIs in the Elicit layer, totaling 10,138 unique papers. Only 21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25534CE2" w14:textId="77777777" w:rsidR="00EA778E" w:rsidRPr="002D15AA" w:rsidRDefault="00EA778E" w:rsidP="002D15AA">
      <w:pPr>
        <w:spacing w:after="0" w:line="240" w:lineRule="auto"/>
        <w:rPr>
          <w:rFonts w:asciiTheme="majorHAnsi" w:hAnsiTheme="majorHAnsi" w:cstheme="majorHAnsi"/>
          <w:szCs w:val="24"/>
        </w:rPr>
      </w:pPr>
    </w:p>
    <w:p w14:paraId="07B9372C"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678647E2" w14:textId="77777777" w:rsidR="00EA778E" w:rsidRPr="002D15AA" w:rsidRDefault="00EA778E" w:rsidP="002D15AA">
      <w:pPr>
        <w:spacing w:after="0" w:line="240" w:lineRule="auto"/>
        <w:rPr>
          <w:rFonts w:asciiTheme="majorHAnsi" w:hAnsiTheme="majorHAnsi" w:cstheme="majorHAnsi"/>
          <w:szCs w:val="24"/>
        </w:rPr>
      </w:pPr>
    </w:p>
    <w:p w14:paraId="25808C15" w14:textId="77777777" w:rsidR="002E19E0"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lastRenderedPageBreak/>
        <w:t>Governance Literature Survey Results</w:t>
      </w:r>
      <w:r w:rsidRPr="002D15AA">
        <w:rPr>
          <w:rFonts w:asciiTheme="majorHAnsi" w:hAnsiTheme="majorHAnsi" w:cstheme="majorHAnsi"/>
          <w:szCs w:val="24"/>
        </w:rPr>
        <w:t>. The survey recovered 27,852 verbatim-anchored items from 1,308 papers, synthesized into 419 themes, of which 255 were AI-governance, 71 human-clinical (excluded), and 93 ambiguous. The AI-relevant literature converged on five recurring principles, evaluation and benchmarking, detection and mitigation, human oversight and accountability, transparency and explainability, and ethics and regulation, all 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4F8AD972" w14:textId="77777777" w:rsidR="00EA778E" w:rsidRPr="002D15AA" w:rsidRDefault="00EA778E" w:rsidP="002D15AA">
      <w:pPr>
        <w:spacing w:after="0" w:line="240" w:lineRule="auto"/>
        <w:rPr>
          <w:rFonts w:asciiTheme="majorHAnsi" w:hAnsiTheme="majorHAnsi" w:cstheme="majorHAnsi"/>
          <w:szCs w:val="24"/>
        </w:rPr>
      </w:pPr>
    </w:p>
    <w:p w14:paraId="1CC4BFC3" w14:textId="77777777" w:rsidR="002E19E0"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t xml:space="preserve">Model-selection benchmark. </w:t>
      </w:r>
      <w:r w:rsidRPr="002D15AA">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42FD4B0B" w14:textId="77777777" w:rsidR="00EA778E" w:rsidRPr="002D15AA" w:rsidRDefault="00EA778E" w:rsidP="002D15AA">
      <w:pPr>
        <w:spacing w:after="0" w:line="240" w:lineRule="auto"/>
        <w:rPr>
          <w:rFonts w:asciiTheme="majorHAnsi" w:hAnsiTheme="majorHAnsi" w:cstheme="majorHAnsi"/>
          <w:b/>
          <w:color w:val="EE0000"/>
          <w:szCs w:val="24"/>
        </w:rPr>
      </w:pPr>
    </w:p>
    <w:p w14:paraId="27080CB5" w14:textId="4AF99A61"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Chain-of-Thought Classification of the Full Matrix</w:t>
      </w:r>
      <w:r w:rsidR="00A20085">
        <w:rPr>
          <w:rFonts w:asciiTheme="majorHAnsi" w:hAnsiTheme="majorHAnsi" w:cstheme="majorHAnsi"/>
          <w:b/>
          <w:szCs w:val="24"/>
        </w:rPr>
        <w:t xml:space="preserve">. </w:t>
      </w:r>
      <w:r w:rsidRPr="002D15AA">
        <w:rPr>
          <w:rFonts w:asciiTheme="majorHAnsi" w:hAnsiTheme="majorHAnsi" w:cstheme="majorHAnsi"/>
          <w:szCs w:val="24"/>
        </w:rPr>
        <w:t xml:space="preserve">Chain-of-thought </w:t>
      </w:r>
      <w:r w:rsidR="00B930D3" w:rsidRPr="002D15AA">
        <w:rPr>
          <w:rFonts w:asciiTheme="majorHAnsi" w:hAnsiTheme="majorHAnsi" w:cstheme="majorHAnsi"/>
          <w:szCs w:val="24"/>
        </w:rPr>
        <w:t xml:space="preserve">(CoT) </w:t>
      </w:r>
      <w:r w:rsidRPr="002D15AA">
        <w:rPr>
          <w:rFonts w:asciiTheme="majorHAnsi" w:hAnsiTheme="majorHAnsi" w:cstheme="majorHAnsi"/>
          <w:szCs w:val="24"/>
        </w:rPr>
        <w:t xml:space="preserve">classification was applied to the complete matrix to add a mechanistic verdict, functional role, and direction to every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7ADC349F" w14:textId="77777777" w:rsidR="00871F46" w:rsidRPr="002D15AA" w:rsidRDefault="00871F46" w:rsidP="002D15AA">
      <w:pPr>
        <w:spacing w:after="0" w:line="240" w:lineRule="auto"/>
        <w:rPr>
          <w:rFonts w:asciiTheme="majorHAnsi" w:hAnsiTheme="majorHAnsi" w:cstheme="majorHAnsi"/>
          <w:szCs w:val="24"/>
        </w:rPr>
      </w:pPr>
    </w:p>
    <w:p w14:paraId="6CDBB2CB"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genes that directly execute the death pathway,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(Supplementary Figure S3).</w:t>
      </w:r>
    </w:p>
    <w:p w14:paraId="4366F97A" w14:textId="77777777" w:rsidR="004B02F0" w:rsidRPr="002D15AA" w:rsidRDefault="004B02F0" w:rsidP="002D15AA">
      <w:pPr>
        <w:spacing w:after="0" w:line="240" w:lineRule="auto"/>
        <w:rPr>
          <w:rFonts w:asciiTheme="majorHAnsi" w:hAnsiTheme="majorHAnsi" w:cstheme="majorHAnsi"/>
          <w:szCs w:val="24"/>
        </w:rPr>
      </w:pPr>
    </w:p>
    <w:p w14:paraId="607D8E2B"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178 regulators with unclear direction and 53 mechanistically-involved pairs with unresolved role, were retained as honest uncertainty rather than forced into a confident category. Two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w:t>
      </w:r>
      <w:r w:rsidRPr="002D15AA">
        <w:rPr>
          <w:rFonts w:asciiTheme="majorHAnsi" w:hAnsiTheme="majorHAnsi" w:cstheme="majorHAnsi"/>
          <w:i/>
          <w:iCs/>
          <w:szCs w:val="24"/>
        </w:rPr>
        <w:t>NLRX1</w:t>
      </w:r>
      <w:r w:rsidRPr="002D15AA">
        <w:rPr>
          <w:rFonts w:asciiTheme="majorHAnsi" w:hAnsiTheme="majorHAnsi" w:cstheme="majorHAnsi"/>
          <w:szCs w:val="24"/>
        </w:rPr>
        <w:t xml:space="preserve"> and </w:t>
      </w:r>
      <w:r w:rsidRPr="002D15AA">
        <w:rPr>
          <w:rFonts w:asciiTheme="majorHAnsi" w:hAnsiTheme="majorHAnsi" w:cstheme="majorHAnsi"/>
          <w:i/>
          <w:iCs/>
          <w:szCs w:val="24"/>
        </w:rPr>
        <w:t>PPIF</w:t>
      </w:r>
      <w:r w:rsidRPr="002D15AA">
        <w:rPr>
          <w:rFonts w:asciiTheme="majorHAnsi" w:hAnsiTheme="majorHAnsi" w:cstheme="majorHAnsi"/>
          <w:szCs w:val="24"/>
        </w:rPr>
        <w:t xml:space="preserve"> with MPT-driven necrosis) were classified separately with a five-vote majority, completing full pair coverage (21,568/21,568).</w:t>
      </w:r>
    </w:p>
    <w:p w14:paraId="4BC3E116" w14:textId="77777777" w:rsidR="00871F46" w:rsidRPr="002D15AA" w:rsidRDefault="00871F46" w:rsidP="002D15AA">
      <w:pPr>
        <w:spacing w:after="0" w:line="240" w:lineRule="auto"/>
        <w:rPr>
          <w:rFonts w:asciiTheme="majorHAnsi" w:hAnsiTheme="majorHAnsi" w:cstheme="majorHAnsi"/>
          <w:b/>
          <w:color w:val="EE0000"/>
          <w:szCs w:val="24"/>
        </w:rPr>
      </w:pPr>
    </w:p>
    <w:p w14:paraId="4DBE9F12" w14:textId="68622B92" w:rsidR="00D11423"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RCDome Web Application</w:t>
      </w:r>
      <w:r w:rsidR="00A20085">
        <w:rPr>
          <w:rFonts w:asciiTheme="majorHAnsi" w:hAnsiTheme="majorHAnsi" w:cstheme="majorHAnsi"/>
          <w:b/>
          <w:szCs w:val="24"/>
        </w:rPr>
        <w:t xml:space="preserve">. </w:t>
      </w:r>
      <w:r w:rsidRPr="002D15AA">
        <w:rPr>
          <w:rFonts w:asciiTheme="majorHAnsi" w:hAnsiTheme="majorHAnsi" w:cstheme="majorHAnsi"/>
          <w:szCs w:val="24"/>
        </w:rPr>
        <w:t xml:space="preserve">The compendium is exposed through RCDome, a Shiny web application with a multi-layer navigation. The Home page renders the atlas as a girded-cupola dome, 53 entity nodes colored by ontological level (L1 gold through L5 orange) along the rim, with a gene constellation beneath,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14:paraId="24E941E5"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dome is the visual signature of the platform: its cupola rim carries the 53 canonicalized RCD-related entities as nodes colored by their adjudicated ontological level, L1 modalities (19, gold), L2 subtypes (7, blue), L3 triggers (2, green), L4 Functional/contextual (13, purple), and L5 Generic/umbrella/taxon (12, orange), over a constellation of the 9,265 HGNC-validated genes. This color-coding makes the ontology’s core claim visible at a glance: only 19 of the 53 entities are bona fide RCD modalities; the remaining 34 are subtypes, triggers, contextual programs, or umbrella concepts, and their level color encodes that distinction.</w:t>
      </w:r>
    </w:p>
    <w:p w14:paraId="2391A531" w14:textId="77777777" w:rsidR="00D11423" w:rsidRPr="002D15AA" w:rsidRDefault="00D11423" w:rsidP="002D15AA">
      <w:pPr>
        <w:spacing w:after="0" w:line="240" w:lineRule="auto"/>
        <w:rPr>
          <w:rFonts w:asciiTheme="majorHAnsi" w:hAnsiTheme="majorHAnsi" w:cstheme="majorHAnsi"/>
          <w:szCs w:val="24"/>
        </w:rPr>
      </w:pPr>
    </w:p>
    <w:p w14:paraId="257B08B7"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application source code and compendium are available at </w:t>
      </w:r>
      <w:hyperlink r:id="rId44" w:history="1">
        <w:r w:rsidR="00D11423" w:rsidRPr="002D15AA">
          <w:rPr>
            <w:rStyle w:val="Hyperlink"/>
            <w:rFonts w:asciiTheme="majorHAnsi" w:hAnsiTheme="majorHAnsi" w:cstheme="majorHAnsi"/>
            <w:szCs w:val="24"/>
          </w:rPr>
          <w:t>https://github.com/BioCancerInformatics/RCDome</w:t>
        </w:r>
      </w:hyperlink>
      <w:r w:rsidRPr="002D15AA">
        <w:rPr>
          <w:rFonts w:asciiTheme="majorHAnsi" w:hAnsiTheme="majorHAnsi" w:cstheme="majorHAnsi"/>
          <w:szCs w:val="24"/>
        </w:rPr>
        <w:t>.</w:t>
      </w:r>
      <w:r w:rsidR="00D11423" w:rsidRPr="002D15AA">
        <w:rPr>
          <w:rFonts w:asciiTheme="majorHAnsi" w:hAnsiTheme="majorHAnsi" w:cstheme="majorHAnsi"/>
          <w:szCs w:val="24"/>
        </w:rPr>
        <w:t xml:space="preserve"> </w:t>
      </w:r>
      <w:r w:rsidRPr="002D15AA">
        <w:rPr>
          <w:rFonts w:asciiTheme="majorHAnsi" w:hAnsiTheme="majorHAnsi" w:cstheme="majorHAnsi"/>
          <w:szCs w:val="24"/>
        </w:rPr>
        <w:t xml:space="preserve">The </w:t>
      </w:r>
      <w:r w:rsidRPr="002D15AA">
        <w:rPr>
          <w:rFonts w:asciiTheme="majorHAnsi" w:hAnsiTheme="majorHAnsi" w:cstheme="majorHAnsi"/>
          <w:i/>
          <w:iCs/>
          <w:szCs w:val="24"/>
        </w:rPr>
        <w:t>Gene Catalog</w:t>
      </w:r>
      <w:r w:rsidRPr="002D15AA">
        <w:rPr>
          <w:rFonts w:asciiTheme="majorHAnsi" w:hAnsiTheme="majorHAnsi" w:cstheme="majorHAnsi"/>
          <w:szCs w:val="24"/>
        </w:rPr>
        <w:t xml:space="preserve"> module exposes the complete 22,473-row × 71-column matrix (</w:t>
      </w:r>
      <w:r w:rsidRPr="002D15AA">
        <w:rPr>
          <w:rFonts w:asciiTheme="majorHAnsi" w:hAnsiTheme="majorHAnsi" w:cstheme="majorHAnsi"/>
          <w:szCs w:val="24"/>
          <w:highlight w:val="green"/>
        </w:rPr>
        <w:t>Database S1</w:t>
      </w:r>
      <w:r w:rsidRPr="002D15AA">
        <w:rPr>
          <w:rFonts w:asciiTheme="majorHAnsi" w:hAnsiTheme="majorHAnsi" w:cstheme="majorHAnsi"/>
          <w:szCs w:val="24"/>
        </w:rPr>
        <w:t>) as a filterable, sortable table with nine columns, gene, biotype, RCD entity, cancer gene, confidence tier, mechanistic, role, direction, and source databases,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7C0A2BFE" w14:textId="77777777" w:rsidR="004B02F0" w:rsidRPr="002D15AA" w:rsidRDefault="004B02F0" w:rsidP="002D15AA">
      <w:pPr>
        <w:spacing w:after="0" w:line="240" w:lineRule="auto"/>
        <w:rPr>
          <w:rFonts w:asciiTheme="majorHAnsi" w:hAnsiTheme="majorHAnsi" w:cstheme="majorHAnsi"/>
          <w:szCs w:val="24"/>
        </w:rPr>
      </w:pPr>
    </w:p>
    <w:p w14:paraId="2D46B579"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Compendium Browser, Gene-Centric Explorer, Pathway Diagrams, Literature Consultation, Definition Comparator, Discovery Timeline, and Integration Toolkit, are exposed as cards on the Home page, with the interactive dome as the primary entry point.</w:t>
      </w:r>
    </w:p>
    <w:p w14:paraId="0CACA2B9" w14:textId="77777777" w:rsidR="004B02F0" w:rsidRPr="002D15AA" w:rsidRDefault="004B02F0" w:rsidP="002D15AA">
      <w:pPr>
        <w:spacing w:after="0" w:line="240" w:lineRule="auto"/>
        <w:rPr>
          <w:rFonts w:asciiTheme="majorHAnsi" w:hAnsiTheme="majorHAnsi" w:cstheme="majorHAnsi"/>
          <w:szCs w:val="24"/>
        </w:rPr>
      </w:pPr>
    </w:p>
    <w:p w14:paraId="55EB5CC9"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application was built iteratively with AI assistance (DeepSeek and Consensus classification, AI-generated pathway figures and descriptions) under the governance rules described in the Methods. Every value exposed in the interface was verified against the </w:t>
      </w:r>
      <w:r w:rsidRPr="002D15AA">
        <w:rPr>
          <w:rFonts w:asciiTheme="majorHAnsi" w:hAnsiTheme="majorHAnsi" w:cstheme="majorHAnsi"/>
          <w:szCs w:val="24"/>
        </w:rPr>
        <w:lastRenderedPageBreak/>
        <w:t>compendium matrix (Knock Test), and every AI-generated element is traceable to its source. Detailed AI usage, token, runtime, and cost figures for every AI-assisted phase are reported in Supplementary Note S5 (AI usage, tokens, and cost).</w:t>
      </w:r>
    </w:p>
    <w:p w14:paraId="41537318" w14:textId="77777777" w:rsidR="000B2C2A" w:rsidRPr="002D15AA" w:rsidRDefault="000B2C2A" w:rsidP="002D15AA">
      <w:pPr>
        <w:spacing w:after="0" w:line="240" w:lineRule="auto"/>
        <w:rPr>
          <w:rFonts w:asciiTheme="majorHAnsi" w:hAnsiTheme="majorHAnsi" w:cstheme="majorHAnsi"/>
          <w:b/>
          <w:szCs w:val="24"/>
        </w:rPr>
      </w:pPr>
    </w:p>
    <w:p w14:paraId="39734506" w14:textId="77777777" w:rsidR="00B04B4F"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S6) validated the board at 100% golden accuracy, 100% census accuracy, 100% fact-stability, a 0.047% governance violation rate, and 98.7% articulation conformity; a two-test Q&amp;A benchmark (n = 100 per test) validated the Q&amp;A at 100% positive accuracy and 100% negative controls, Wilson 95% CI 96.3–100%, two-sided binomial p = 0.010.</w:t>
      </w:r>
    </w:p>
    <w:p w14:paraId="162BC0D6"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Practical utility of the web application</w:t>
      </w:r>
    </w:p>
    <w:p w14:paraId="27919A6D"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interface is built for extraction as much as for browsing: in a single session, a researcher can filter to a mechanism of interest, download the underlying matrix, and trace any claim back to its source, with every association PMID resolving to a verified article title.</w:t>
      </w:r>
    </w:p>
    <w:p w14:paraId="17DE026B" w14:textId="77777777" w:rsidR="000B2C2A" w:rsidRPr="002D15AA" w:rsidRDefault="000B2C2A" w:rsidP="002D15AA">
      <w:pPr>
        <w:spacing w:after="0" w:line="240" w:lineRule="auto"/>
        <w:rPr>
          <w:rFonts w:asciiTheme="majorHAnsi" w:hAnsiTheme="majorHAnsi" w:cstheme="majorHAnsi"/>
          <w:b/>
          <w:color w:val="EE0000"/>
          <w:szCs w:val="24"/>
        </w:rPr>
      </w:pPr>
    </w:p>
    <w:p w14:paraId="5189AED7" w14:textId="77777777" w:rsidR="00EA778E" w:rsidRPr="002D15AA" w:rsidRDefault="00EA778E" w:rsidP="002D15AA">
      <w:pPr>
        <w:pStyle w:val="Ttulo2"/>
        <w:spacing w:before="0" w:line="240" w:lineRule="auto"/>
        <w:rPr>
          <w:rFonts w:cstheme="majorHAnsi"/>
          <w:sz w:val="24"/>
          <w:szCs w:val="24"/>
        </w:rPr>
      </w:pPr>
    </w:p>
    <w:p w14:paraId="2A05605F" w14:textId="77777777" w:rsidR="00925876" w:rsidRPr="002D15AA" w:rsidRDefault="00921C18" w:rsidP="002D15AA">
      <w:pPr>
        <w:pStyle w:val="Ttulo2"/>
        <w:spacing w:before="0" w:line="240" w:lineRule="auto"/>
        <w:rPr>
          <w:rFonts w:cstheme="majorHAnsi"/>
          <w:sz w:val="24"/>
          <w:szCs w:val="24"/>
        </w:rPr>
      </w:pPr>
      <w:r w:rsidRPr="002D15AA">
        <w:rPr>
          <w:rFonts w:cstheme="majorHAnsi"/>
          <w:sz w:val="24"/>
          <w:szCs w:val="24"/>
        </w:rPr>
        <w:t>DISCUSSION</w:t>
      </w:r>
    </w:p>
    <w:p w14:paraId="2B4EF66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RCDome was built to answer a single question: “Where did this gene-RCD association come from, and what is the evidence?” Every architectural decision follows from that question. The five-channel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and Channel E (Elicit systematic review) recovers full-text associations. The two-call independent LLM validation architecture prevents any single model from biasing the verification: one call draws on internal knowledge, the other on PubMed abstracts, and only concordance between them yields a CONFIRMED classification. The five-criteria RCD form admission framework ensures that the controlled vocabulary is not merely a list of terms encountered in the literature but a set of mechanistically distinguishable entities. Every design choice was made to maximize one thing: traceability.</w:t>
      </w:r>
    </w:p>
    <w:p w14:paraId="0F508C3E" w14:textId="77777777" w:rsidR="00EA778E" w:rsidRPr="002D15AA" w:rsidRDefault="00EA778E" w:rsidP="002D15AA">
      <w:pPr>
        <w:spacing w:after="0" w:line="240" w:lineRule="auto"/>
        <w:rPr>
          <w:rFonts w:asciiTheme="majorHAnsi" w:hAnsiTheme="majorHAnsi" w:cstheme="majorHAnsi"/>
          <w:szCs w:val="24"/>
        </w:rPr>
      </w:pPr>
    </w:p>
    <w:p w14:paraId="2020D56E"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ontology_curator_verified flag was set to TRUE for all 53 entities following individual entity-by-entity review and approval (logged 2026-09-05). Automated quality filters exclude non-HGNC symbols and NCBI Gene keyword-only associations following a spot audit that revealed zero overlap with known RCD executioner and regulator genes, a decision that removed 10,857 rows but protected the compendium from systematic noise. Governance, in RCDome, is not a statement of values; it is executable code.</w:t>
      </w:r>
    </w:p>
    <w:p w14:paraId="098102F5" w14:textId="77777777" w:rsidR="000135C8" w:rsidRDefault="00000000">
      <w:r>
        <w:t>RCDome uses a benchmarked, multi-agent/LLM evidence architecture with human adjudication and executable governance to transform heterogeneous biomedical database assertions into a traceable, literature-validated human gene knowledge atlas.</w:t>
      </w:r>
    </w:p>
    <w:p w14:paraId="26A8AB90" w14:textId="77777777" w:rsidR="00EA778E" w:rsidRPr="002D15AA" w:rsidRDefault="00EA778E" w:rsidP="002D15AA">
      <w:pPr>
        <w:spacing w:after="0" w:line="240" w:lineRule="auto"/>
        <w:rPr>
          <w:rFonts w:asciiTheme="majorHAnsi" w:hAnsiTheme="majorHAnsi" w:cstheme="majorHAnsi"/>
          <w:szCs w:val="24"/>
        </w:rPr>
      </w:pPr>
    </w:p>
    <w:p w14:paraId="2FCA7B8B" w14:textId="77777777" w:rsidR="00463DD3"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compendium is a diagnostic of the field, and several findings took us by surprise. The sheer number of RCD entities, 53 RCD-related entities consolidated from 62 original name strings,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05F2613C" w14:textId="77777777" w:rsidR="00463DD3" w:rsidRPr="002D15AA" w:rsidRDefault="00463DD3" w:rsidP="002D15AA">
      <w:pPr>
        <w:spacing w:after="0" w:line="240" w:lineRule="auto"/>
        <w:rPr>
          <w:rFonts w:asciiTheme="majorHAnsi" w:hAnsiTheme="majorHAnsi" w:cstheme="majorHAnsi"/>
          <w:szCs w:val="24"/>
        </w:rPr>
      </w:pPr>
    </w:p>
    <w:p w14:paraId="3E88F73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disparity in gene coverage is striking. Apoptosis accounts for 6,229 association rows (5,897 unique genes).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sobering result. Of the 22,473 gene-RCD associations, only 3,063 (13.6% of the 22,473 validated rows) are MECHANISTIC, meaning both LLM knowledge and PubMed abstract evidence support a functional role. For the remaining 86.3% of validated rows, the literature is either insufficient, ambiguous, or silent. A further 2,416 pairs (10.8%) reflect CO_OCCURRENCE: the gene and RCD term appear together in published articles, but without evidence of a functional relationship. For 8,863 pairs (39.4%), the literature is simply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but it makes it quantitatively measurable.</w:t>
      </w:r>
    </w:p>
    <w:p w14:paraId="277FD5B7" w14:textId="77777777" w:rsidR="00EA778E" w:rsidRPr="002D15AA" w:rsidRDefault="00EA778E" w:rsidP="002D15AA">
      <w:pPr>
        <w:spacing w:after="0" w:line="240" w:lineRule="auto"/>
        <w:rPr>
          <w:rFonts w:asciiTheme="majorHAnsi" w:hAnsiTheme="majorHAnsi" w:cstheme="majorHAnsi"/>
          <w:szCs w:val="24"/>
        </w:rPr>
      </w:pPr>
    </w:p>
    <w:p w14:paraId="6E3688D2" w14:textId="77777777" w:rsidR="00897A3F"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62 original name strings across 20 resources,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3D2BDB19" w14:textId="77777777" w:rsidR="00897A3F" w:rsidRPr="002D15AA" w:rsidRDefault="00897A3F" w:rsidP="002D15AA">
      <w:pPr>
        <w:spacing w:after="0" w:line="240" w:lineRule="auto"/>
        <w:rPr>
          <w:rFonts w:asciiTheme="majorHAnsi" w:hAnsiTheme="majorHAnsi" w:cstheme="majorHAnsi"/>
          <w:szCs w:val="24"/>
        </w:rPr>
      </w:pPr>
    </w:p>
    <w:p w14:paraId="56811CD5"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For the researcher asking “Is gene X involved in ferroptosis, and what is the evidence?”, RCDome replaces hours of database cross-referencing with a single query that returns the answer, the provenance, and the evidence tier. The public codebase and the formal </w:t>
      </w:r>
      <w:r w:rsidRPr="002D15AA">
        <w:rPr>
          <w:rFonts w:asciiTheme="majorHAnsi" w:hAnsiTheme="majorHAnsi" w:cstheme="majorHAnsi"/>
          <w:szCs w:val="24"/>
        </w:rPr>
        <w:lastRenderedPageBreak/>
        <w:t>governance contract ensure that every step from database extraction to evidence verification is reproducible and auditable.</w:t>
      </w:r>
    </w:p>
    <w:p w14:paraId="323BED8C" w14:textId="77777777" w:rsidR="00925876" w:rsidRPr="002D15AA" w:rsidRDefault="00925876" w:rsidP="002D15AA">
      <w:pPr>
        <w:spacing w:after="0" w:line="240" w:lineRule="auto"/>
        <w:rPr>
          <w:rFonts w:asciiTheme="majorHAnsi" w:hAnsiTheme="majorHAnsi" w:cstheme="majorHAnsi"/>
          <w:szCs w:val="24"/>
        </w:rPr>
      </w:pPr>
    </w:p>
    <w:p w14:paraId="4014E95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What the atlas reveals about the biology of regulated cell death</w:t>
      </w:r>
    </w:p>
    <w:p w14:paraId="7D490532"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full-matrix classification, read as a whole, paints a picture that surprised us. The death-executing machinery is remarkably small: only 469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(4.7% of the mechanistically-involved set) are executors,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2D15AA">
        <w:rPr>
          <w:rFonts w:asciiTheme="majorHAnsi" w:hAnsiTheme="majorHAnsi" w:cstheme="majorHAnsi"/>
          <w:szCs w:val="24"/>
          <w:highlight w:val="green"/>
        </w:rPr>
        <w:t>Figure 3A).</w:t>
      </w:r>
    </w:p>
    <w:p w14:paraId="755957C1" w14:textId="77777777" w:rsidR="00897A3F" w:rsidRPr="002D15AA" w:rsidRDefault="00897A3F" w:rsidP="002D15AA">
      <w:pPr>
        <w:spacing w:after="0" w:line="240" w:lineRule="auto"/>
        <w:rPr>
          <w:rFonts w:asciiTheme="majorHAnsi" w:hAnsiTheme="majorHAnsi" w:cstheme="majorHAnsi"/>
          <w:szCs w:val="24"/>
        </w:rPr>
      </w:pPr>
    </w:p>
    <w:p w14:paraId="7F888C68"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signal is sharply stratified by ontological level. The L1 modalities, the bona fide death forms, carry 64.6% of their pairs as mechanistically involved, whereas the L5 concepts (Autophagy, Programmed cell death) carry only 31.5%, despite being the largest association hubs. Most genes associated with autophagy are associated with the process, not with its lethal outcome; the DeepSeek layer makes that distinction explicit at this scale (Figure 3B). This stratification is biologically informative, but it should not be read as an independent validation of the ontology: L1 was defined precisely to concentrate mechanistic forms, so a higher mechanistic fraction in L1 is in part expected by construction.</w:t>
      </w:r>
    </w:p>
    <w:p w14:paraId="347F7761" w14:textId="77777777" w:rsidR="004B02F0" w:rsidRPr="002D15AA" w:rsidRDefault="004B02F0" w:rsidP="002D15AA">
      <w:pPr>
        <w:spacing w:after="0" w:line="240" w:lineRule="auto"/>
        <w:rPr>
          <w:rFonts w:asciiTheme="majorHAnsi" w:hAnsiTheme="majorHAnsi" w:cstheme="majorHAnsi"/>
          <w:szCs w:val="24"/>
        </w:rPr>
      </w:pPr>
    </w:p>
    <w:p w14:paraId="191398FC"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direction of regulation is nearly balanced, 5,070 promoters versus 4,755 protectors (across all role-resolved associations),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unique genes) and Autophagy (4,634 unique genes) to Pyronecrosis (1 gene) (Figure 4). Where a subtype carries more genes than its parent, Autosis (1,105 genes) against Autophagy-dependent cell death (110), the difference reflects the depth of database indexing, not ontological inheritance; parent–child gene inventories are not expected to be nested subsets.</w:t>
      </w:r>
    </w:p>
    <w:p w14:paraId="1FE0BFBC" w14:textId="77777777" w:rsidR="000B2C2A" w:rsidRPr="002D15AA" w:rsidRDefault="000B2C2A" w:rsidP="002D15AA">
      <w:pPr>
        <w:spacing w:after="0" w:line="240" w:lineRule="auto"/>
        <w:rPr>
          <w:rFonts w:asciiTheme="majorHAnsi" w:hAnsiTheme="majorHAnsi" w:cstheme="majorHAnsi"/>
          <w:b/>
          <w:szCs w:val="24"/>
        </w:rPr>
      </w:pPr>
    </w:p>
    <w:p w14:paraId="0C284E04"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value and limits of the automated classifications</w:t>
      </w:r>
    </w:p>
    <w:p w14:paraId="0145A435"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two independent classifications, DeepSeek (the chain-of-thought full-matrix classification) and Elicit (the original AI-assisted extraction), give every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67B933EF" w14:textId="77777777" w:rsidR="004B02F0" w:rsidRPr="002D15AA" w:rsidRDefault="004B02F0" w:rsidP="002D15AA">
      <w:pPr>
        <w:spacing w:after="0" w:line="240" w:lineRule="auto"/>
        <w:rPr>
          <w:rFonts w:asciiTheme="majorHAnsi" w:hAnsiTheme="majorHAnsi" w:cstheme="majorHAnsi"/>
          <w:szCs w:val="24"/>
        </w:rPr>
      </w:pPr>
    </w:p>
    <w:p w14:paraId="470A37E2"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This utility should be used with eyes open. Scaling a majority-vote classifier to 21,568 pairs necessarily leaves a residual error rate. We repaired 84 self-inconsistent rows after the fact, and we deliberately retained 231 rows as uncertain rather than forcing them into a category, because a wrong-but-confident label is worse than an honest unresolved. The benchmark </w:t>
      </w:r>
      <w:r w:rsidRPr="002D15AA">
        <w:rPr>
          <w:rFonts w:asciiTheme="majorHAnsi" w:hAnsiTheme="majorHAnsi" w:cstheme="majorHAnsi"/>
          <w:szCs w:val="24"/>
        </w:rPr>
        <w:lastRenderedPageBreak/>
        <w:t>record is strong, and it was built to be method-independent: the four landmark papers, the 17-association accuracy ground truth, and the 26-pair benchmark set, were all fixed reference sets defined independently of the classifiers themselves,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6E0EB928" w14:textId="77777777" w:rsidR="004B02F0" w:rsidRPr="002D15AA" w:rsidRDefault="004B02F0" w:rsidP="002D15AA">
      <w:pPr>
        <w:spacing w:after="0" w:line="240" w:lineRule="auto"/>
        <w:rPr>
          <w:rFonts w:asciiTheme="majorHAnsi" w:hAnsiTheme="majorHAnsi" w:cstheme="majorHAnsi"/>
          <w:szCs w:val="24"/>
        </w:rPr>
      </w:pPr>
    </w:p>
    <w:p w14:paraId="45E22E7D"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111E4E1A" w14:textId="77777777" w:rsidR="000B2C2A" w:rsidRPr="002D15AA" w:rsidRDefault="000B2C2A" w:rsidP="002D15AA">
      <w:pPr>
        <w:spacing w:after="0" w:line="240" w:lineRule="auto"/>
        <w:rPr>
          <w:rFonts w:asciiTheme="majorHAnsi" w:hAnsiTheme="majorHAnsi" w:cstheme="majorHAnsi"/>
          <w:b/>
          <w:szCs w:val="24"/>
        </w:rPr>
      </w:pPr>
    </w:p>
    <w:p w14:paraId="52A6E302"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675F99F8" w14:textId="77777777" w:rsidR="004B02F0" w:rsidRPr="002D15AA" w:rsidRDefault="004B02F0" w:rsidP="002D15AA">
      <w:pPr>
        <w:spacing w:after="0" w:line="240" w:lineRule="auto"/>
        <w:rPr>
          <w:rFonts w:asciiTheme="majorHAnsi" w:hAnsiTheme="majorHAnsi" w:cstheme="majorHAnsi"/>
          <w:szCs w:val="24"/>
        </w:rPr>
      </w:pPr>
    </w:p>
    <w:p w14:paraId="59A29B8E"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4E3675F8" w14:textId="77777777" w:rsidR="004B02F0" w:rsidRPr="002D15AA" w:rsidRDefault="004B02F0" w:rsidP="002D15AA">
      <w:pPr>
        <w:spacing w:after="0" w:line="240" w:lineRule="auto"/>
        <w:rPr>
          <w:rFonts w:asciiTheme="majorHAnsi" w:hAnsiTheme="majorHAnsi" w:cstheme="majorHAnsi"/>
          <w:szCs w:val="24"/>
        </w:rPr>
      </w:pPr>
    </w:p>
    <w:p w14:paraId="1A588DB4"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automated channels (DeepSeek, Elicit, Consensus) preserve association and evidence for every pair, but the final ontological adjudication, what counts as a modality, subtype, trigger, or umbrella, is curator-governed, consistent with the governance rules of this project.</w:t>
      </w:r>
    </w:p>
    <w:p w14:paraId="5240E75D" w14:textId="77777777" w:rsidR="004B02F0" w:rsidRPr="002D15AA" w:rsidRDefault="004B02F0" w:rsidP="002D15AA">
      <w:pPr>
        <w:spacing w:after="0" w:line="240" w:lineRule="auto"/>
        <w:rPr>
          <w:rFonts w:asciiTheme="majorHAnsi" w:hAnsiTheme="majorHAnsi" w:cstheme="majorHAnsi"/>
          <w:b/>
          <w:szCs w:val="24"/>
        </w:rPr>
      </w:pPr>
    </w:p>
    <w:p w14:paraId="1EF8C4BC"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Taken together, RCDome answers the question it was built to answer (where each gene-RCD association comes from and what supports it) while making explicit how much of the field remains unverified. It is best read not as a finished archive but as infrastructure for a field still forming: a traceable substrate on which the community can correct, extend, and re-adjudicate as the biology, the evidence, and the nomenclature mature.</w:t>
      </w:r>
    </w:p>
    <w:p w14:paraId="48A033FE"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Limitations</w:t>
      </w:r>
    </w:p>
    <w:p w14:paraId="44F76CFE"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Four limitations are explicitly acknowledged. First, the Consensus evidence-channel classification is nearly complete: 19,443 of 21,568 pairs (90.1%) were processed before the monthly API quota was exhausted, pausing the run; the remaining 2,125 pairs will be completed on resumption from the saved checkpoint after the quota reset. Second, twenty-eight of the 53 RCD-related entities were not covered by the previous multi-optosis operational-definition set and therefore required RCDome-specific definition work; in the current decoder, all 53 entities have an operational definition anchored to a reference PMID. Third, the automated classifications rely on LLM calls whose residual error rate cannot be guaranteed across all 21,568 pairs; we repaired 84 self-inconsistent rows and retained 231 as explicitly uncertain, but some fraction of the remaining automated verdicts will be wrong and is open to community correction. Fourth, 442 DATABASE_ONLY pairs (2.0%) lack any </w:t>
      </w:r>
      <w:r w:rsidRPr="002D15AA">
        <w:rPr>
          <w:rFonts w:asciiTheme="majorHAnsi" w:hAnsiTheme="majorHAnsi" w:cstheme="majorHAnsi"/>
          <w:szCs w:val="24"/>
        </w:rPr>
        <w:lastRenderedPageBreak/>
        <w:t>verifiable paper trail in the indexed literature, and 86.3% of validated rows are not mechanistically confirmed, limits of the published record itself rather than of the platform.</w:t>
      </w:r>
    </w:p>
    <w:p w14:paraId="631D1E51" w14:textId="77777777" w:rsidR="000B2C2A" w:rsidRPr="002D15AA" w:rsidRDefault="000B2C2A" w:rsidP="002D15AA">
      <w:pPr>
        <w:spacing w:after="0" w:line="240" w:lineRule="auto"/>
        <w:rPr>
          <w:rFonts w:asciiTheme="majorHAnsi" w:hAnsiTheme="majorHAnsi" w:cstheme="majorHAnsi"/>
          <w:b/>
          <w:szCs w:val="24"/>
        </w:rPr>
      </w:pPr>
    </w:p>
    <w:p w14:paraId="6F2105A8" w14:textId="77777777" w:rsidR="000B2C2A" w:rsidRPr="002D15AA" w:rsidRDefault="000B2C2A"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Data and Code Availability</w:t>
      </w:r>
    </w:p>
    <w:p w14:paraId="60E2DE03" w14:textId="502FCF76" w:rsidR="000B2C2A" w:rsidRPr="002D15AA" w:rsidRDefault="000B2C2A"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compendium matrix (Database S1; 22,473 rows × 71 columns), extraction pipeline, and the RCDome web application source code are available at </w:t>
      </w:r>
      <w:hyperlink r:id="rId45" w:history="1">
        <w:r w:rsidR="00545902" w:rsidRPr="001F7861">
          <w:rPr>
            <w:rStyle w:val="Hyperlink"/>
            <w:rFonts w:asciiTheme="majorHAnsi" w:hAnsiTheme="majorHAnsi" w:cstheme="majorHAnsi"/>
            <w:szCs w:val="24"/>
          </w:rPr>
          <w:t>https://github.com/BioCancerInformatics/RCDome</w:t>
        </w:r>
      </w:hyperlink>
      <w:r w:rsidRPr="002D15AA">
        <w:rPr>
          <w:rFonts w:asciiTheme="majorHAnsi" w:hAnsiTheme="majorHAnsi" w:cstheme="majorHAnsi"/>
          <w:szCs w:val="24"/>
        </w:rPr>
        <w:t>. The 20 source databases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p>
    <w:p w14:paraId="7A6C0D27" w14:textId="77777777" w:rsidR="000B2C2A" w:rsidRPr="002D15AA" w:rsidRDefault="000B2C2A" w:rsidP="002D15AA">
      <w:pPr>
        <w:spacing w:after="0" w:line="240" w:lineRule="auto"/>
        <w:rPr>
          <w:rFonts w:asciiTheme="majorHAnsi" w:hAnsiTheme="majorHAnsi" w:cstheme="majorHAnsi"/>
          <w:szCs w:val="24"/>
        </w:rPr>
      </w:pPr>
    </w:p>
    <w:p w14:paraId="1E4178DF" w14:textId="77777777" w:rsidR="000B2C2A" w:rsidRPr="002D15AA" w:rsidRDefault="000B2C2A" w:rsidP="002D15AA">
      <w:pPr>
        <w:spacing w:after="0" w:line="240" w:lineRule="auto"/>
        <w:rPr>
          <w:rFonts w:asciiTheme="majorHAnsi" w:hAnsiTheme="majorHAnsi" w:cstheme="majorHAnsi"/>
          <w:b/>
          <w:szCs w:val="24"/>
        </w:rPr>
      </w:pPr>
    </w:p>
    <w:p w14:paraId="50C6C579" w14:textId="77777777" w:rsidR="00B147AA" w:rsidRPr="002D15AA" w:rsidRDefault="00000000" w:rsidP="002D15AA">
      <w:pPr>
        <w:spacing w:after="0" w:line="240" w:lineRule="auto"/>
        <w:rPr>
          <w:rFonts w:asciiTheme="majorHAnsi" w:hAnsiTheme="majorHAnsi" w:cstheme="majorHAnsi"/>
          <w:b/>
          <w:szCs w:val="24"/>
        </w:rPr>
      </w:pPr>
      <w:r w:rsidRPr="002D15AA">
        <w:rPr>
          <w:rFonts w:asciiTheme="majorHAnsi" w:hAnsiTheme="majorHAnsi" w:cstheme="majorHAnsi"/>
          <w:b/>
          <w:szCs w:val="24"/>
        </w:rPr>
        <w:t>FIGURE LEGENDS</w:t>
      </w:r>
    </w:p>
    <w:p w14:paraId="74929137" w14:textId="77777777" w:rsidR="00180EB9" w:rsidRPr="002D15AA" w:rsidRDefault="00180EB9" w:rsidP="002D15AA">
      <w:pPr>
        <w:spacing w:after="0" w:line="240" w:lineRule="auto"/>
        <w:rPr>
          <w:rFonts w:asciiTheme="majorHAnsi" w:hAnsiTheme="majorHAnsi" w:cstheme="majorHAnsi"/>
          <w:szCs w:val="24"/>
        </w:rPr>
      </w:pPr>
    </w:p>
    <w:p w14:paraId="35D9D827" w14:textId="77777777" w:rsidR="00B147AA" w:rsidRPr="002D15AA" w:rsidRDefault="00000000"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Figure 1. RCDome compilation and validation pipeline. 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the gene symbol followed only by “cell death”,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w:t>
      </w:r>
      <w:r w:rsidRPr="002D15AA">
        <w:rPr>
          <w:rFonts w:asciiTheme="majorHAnsi" w:hAnsiTheme="majorHAnsi" w:cstheme="majorHAnsi"/>
          <w:b/>
          <w:szCs w:val="24"/>
        </w:rPr>
        <w:lastRenderedPageBreak/>
        <w:t>the RCD entities browser, the Network module and RCDchat. Boxes are color-coded for visual distinction, and arrows indicate the flow of data through the pipeline.</w:t>
      </w:r>
    </w:p>
    <w:p w14:paraId="01461CAD" w14:textId="77777777" w:rsidR="000B2C2A" w:rsidRPr="002D15AA" w:rsidRDefault="000B2C2A" w:rsidP="002D15AA">
      <w:pPr>
        <w:spacing w:after="0" w:line="240" w:lineRule="auto"/>
        <w:rPr>
          <w:rFonts w:asciiTheme="majorHAnsi" w:hAnsiTheme="majorHAnsi" w:cstheme="majorHAnsi"/>
          <w:szCs w:val="24"/>
        </w:rPr>
      </w:pPr>
    </w:p>
    <w:p w14:paraId="79C6B76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Figure 2. Benchmark evaluation of the three independent analyses. (A) DeepSeek model-selection benchmark against a fixed 26-pair benchmark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to 100%; after governance no unsupported EXECUTOR classification remained (all 192 were downgraded to REGULATOR), and publication traceability from 24% to 98%. (C) Consensus query-formulation benchmark against the same 26-pair benchmark set: the form-biased query reached 92% combined accuracy with 12% false positives, whereas the neutral query, the gene symbol followed only by “cell death”, reached 100% combined accuracy with zero false positives. Green bars denote combined accuracy (panels A and C) or post-governance values (panel B); salmon bars denote false positives (panels A and C) or pre-governance values (panel B).</w:t>
      </w:r>
    </w:p>
    <w:p w14:paraId="577761E8" w14:textId="77777777" w:rsidR="000B2C2A" w:rsidRPr="002D15AA" w:rsidRDefault="000B2C2A" w:rsidP="002D15AA">
      <w:pPr>
        <w:spacing w:after="0" w:line="240" w:lineRule="auto"/>
        <w:rPr>
          <w:rFonts w:asciiTheme="majorHAnsi" w:hAnsiTheme="majorHAnsi" w:cstheme="majorHAnsi"/>
          <w:b/>
          <w:szCs w:val="24"/>
        </w:rPr>
      </w:pPr>
    </w:p>
    <w:p w14:paraId="19F3E52A" w14:textId="77777777" w:rsidR="00B147AA" w:rsidRPr="002D15AA" w:rsidRDefault="00000000"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Figure 3. The death core and its regulatory network. (A)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(64.6%) while the Functional/contextual categories (L4) are the most dilute (23.6%), with the Generic/umbrella/taxon concepts at 31.5%.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p>
    <w:p w14:paraId="3CAB349B" w14:textId="77777777" w:rsidR="005739A1" w:rsidRPr="002D15AA" w:rsidRDefault="005739A1" w:rsidP="002D15AA">
      <w:pPr>
        <w:spacing w:after="0" w:line="240" w:lineRule="auto"/>
        <w:rPr>
          <w:rFonts w:asciiTheme="majorHAnsi" w:hAnsiTheme="majorHAnsi" w:cstheme="majorHAnsi"/>
          <w:szCs w:val="24"/>
        </w:rPr>
      </w:pPr>
    </w:p>
    <w:p w14:paraId="0F0DE891" w14:textId="77777777" w:rsidR="009076EB"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Figure 4. Gene coverage of the 53 canonicalized RCD-related entities.</w:t>
      </w:r>
      <w:r w:rsidRPr="002D15A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unique genes) and Autophagy (4,634 unique genes) to Pyronecrosis (1 gene).</w:t>
      </w:r>
    </w:p>
    <w:p w14:paraId="239FB661" w14:textId="77777777" w:rsidR="004B02F0" w:rsidRPr="002D15AA" w:rsidRDefault="004B02F0" w:rsidP="002D15AA">
      <w:pPr>
        <w:pStyle w:val="Ttulo2"/>
        <w:spacing w:before="0" w:line="240" w:lineRule="auto"/>
        <w:rPr>
          <w:rFonts w:cstheme="majorHAnsi"/>
          <w:sz w:val="24"/>
          <w:szCs w:val="24"/>
        </w:rPr>
      </w:pPr>
    </w:p>
    <w:p w14:paraId="41246774" w14:textId="77777777" w:rsidR="004B02F0" w:rsidRPr="002D15AA" w:rsidRDefault="004B02F0" w:rsidP="002D15AA">
      <w:pPr>
        <w:pStyle w:val="Ttulo2"/>
        <w:spacing w:before="0" w:line="240" w:lineRule="auto"/>
        <w:rPr>
          <w:rFonts w:cstheme="majorHAnsi"/>
          <w:sz w:val="24"/>
          <w:szCs w:val="24"/>
        </w:rPr>
      </w:pPr>
    </w:p>
    <w:p w14:paraId="2CA19A2B" w14:textId="77777777" w:rsidR="00180EB9" w:rsidRPr="002D15AA" w:rsidRDefault="00180EB9" w:rsidP="002D15AA">
      <w:pPr>
        <w:pStyle w:val="Ttulo2"/>
        <w:spacing w:before="0" w:line="240" w:lineRule="auto"/>
        <w:rPr>
          <w:rFonts w:cstheme="majorHAnsi"/>
          <w:sz w:val="24"/>
          <w:szCs w:val="24"/>
        </w:rPr>
        <w:sectPr w:rsidR="00180EB9" w:rsidRPr="002D15AA" w:rsidSect="00034616">
          <w:pgSz w:w="11906" w:h="16838"/>
          <w:pgMar w:top="1417" w:right="1417" w:bottom="1417" w:left="1417" w:header="720" w:footer="720" w:gutter="0"/>
          <w:cols w:space="720"/>
          <w:docGrid w:linePitch="360"/>
        </w:sectPr>
      </w:pPr>
    </w:p>
    <w:p w14:paraId="4EA432F8" w14:textId="77777777" w:rsidR="00764347" w:rsidRPr="002D15AA" w:rsidRDefault="00180EB9" w:rsidP="002D15AA">
      <w:pPr>
        <w:pStyle w:val="Ttulo2"/>
        <w:spacing w:before="0" w:line="240" w:lineRule="auto"/>
        <w:rPr>
          <w:rFonts w:cstheme="majorHAnsi"/>
          <w:sz w:val="24"/>
          <w:szCs w:val="24"/>
        </w:rPr>
      </w:pPr>
      <w:r w:rsidRPr="002D15AA">
        <w:rPr>
          <w:rFonts w:cstheme="majorHAnsi"/>
          <w:sz w:val="24"/>
          <w:szCs w:val="24"/>
        </w:rPr>
        <w:lastRenderedPageBreak/>
        <w:t>REFERENCES</w:t>
      </w:r>
    </w:p>
    <w:p w14:paraId="0C443BA6" w14:textId="77777777" w:rsidR="00180EB9" w:rsidRPr="002D15AA" w:rsidRDefault="00180EB9" w:rsidP="002D15AA">
      <w:pPr>
        <w:spacing w:line="240" w:lineRule="auto"/>
        <w:rPr>
          <w:rFonts w:asciiTheme="majorHAnsi" w:hAnsiTheme="majorHAnsi" w:cstheme="majorHAnsi"/>
          <w:szCs w:val="24"/>
        </w:rPr>
      </w:pPr>
    </w:p>
    <w:p w14:paraId="30B103D5"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11ECC285"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42EF2E60" w14:textId="77777777" w:rsidR="005F5CFD" w:rsidRPr="002D15AA" w:rsidRDefault="005F5CFD" w:rsidP="002D15AA">
      <w:pPr>
        <w:pStyle w:val="EndNoteBibliography"/>
        <w:spacing w:after="0"/>
        <w:rPr>
          <w:rFonts w:asciiTheme="majorHAnsi" w:hAnsiTheme="majorHAnsi" w:cstheme="majorHAnsi"/>
          <w:szCs w:val="24"/>
          <w:lang w:val="fr-029"/>
        </w:rPr>
      </w:pPr>
      <w:r w:rsidRPr="002D15AA">
        <w:rPr>
          <w:rFonts w:asciiTheme="majorHAnsi" w:hAnsiTheme="majorHAnsi" w:cstheme="majorHAnsi"/>
          <w:szCs w:val="24"/>
        </w:rPr>
        <w:t xml:space="preserve">3 Pandian N. and Kanneganti T. D. (2022). PANoptosis: A Unique Innate Immune Inflammatory Cell Death Modality. </w:t>
      </w:r>
      <w:r w:rsidRPr="002D15AA">
        <w:rPr>
          <w:rFonts w:asciiTheme="majorHAnsi" w:hAnsiTheme="majorHAnsi" w:cstheme="majorHAnsi"/>
          <w:szCs w:val="24"/>
          <w:lang w:val="fr-029"/>
        </w:rPr>
        <w:t>J Immunol 209(9): 1625-1633.</w:t>
      </w:r>
    </w:p>
    <w:p w14:paraId="6CD2EC58" w14:textId="77777777" w:rsidR="005F5CFD" w:rsidRPr="002D15AA" w:rsidRDefault="005F5CFD" w:rsidP="002D15AA">
      <w:pPr>
        <w:pStyle w:val="EndNoteBibliography"/>
        <w:spacing w:after="0"/>
        <w:rPr>
          <w:rFonts w:asciiTheme="majorHAnsi" w:hAnsiTheme="majorHAnsi" w:cstheme="majorHAnsi"/>
          <w:szCs w:val="24"/>
          <w:lang w:val="pt-BR"/>
        </w:rPr>
      </w:pPr>
      <w:r w:rsidRPr="002D15AA">
        <w:rPr>
          <w:rFonts w:asciiTheme="majorHAnsi" w:hAnsiTheme="majorHAnsi" w:cstheme="majorHAnsi"/>
          <w:szCs w:val="24"/>
          <w:lang w:val="fr-029"/>
        </w:rPr>
        <w:t xml:space="preserve">4 Perez-Riverol Y., Zorin A., Dass G., Vu M. T., Xu P., Glont M., et al. </w:t>
      </w:r>
      <w:r w:rsidRPr="002D15AA">
        <w:rPr>
          <w:rFonts w:asciiTheme="majorHAnsi" w:hAnsiTheme="majorHAnsi" w:cstheme="majorHAnsi"/>
          <w:szCs w:val="24"/>
          <w:lang w:val="pt-BR"/>
        </w:rPr>
        <w:t>(2019). Quantifying the impact of public omics data. Nat Commun 10(1): 3512.</w:t>
      </w:r>
    </w:p>
    <w:p w14:paraId="72C1D324" w14:textId="77777777" w:rsidR="005F5CFD" w:rsidRPr="002D15AA" w:rsidRDefault="005F5CFD" w:rsidP="002D15AA">
      <w:pPr>
        <w:pStyle w:val="EndNoteBibliography"/>
        <w:spacing w:after="0"/>
        <w:rPr>
          <w:rFonts w:asciiTheme="majorHAnsi" w:hAnsiTheme="majorHAnsi" w:cstheme="majorHAnsi"/>
          <w:szCs w:val="24"/>
          <w:lang w:val="pt-BR"/>
        </w:rPr>
      </w:pPr>
      <w:r w:rsidRPr="002D15AA">
        <w:rPr>
          <w:rFonts w:asciiTheme="majorHAnsi" w:hAnsiTheme="majorHAnsi" w:cstheme="majorHAnsi"/>
          <w:szCs w:val="24"/>
          <w:lang w:val="pt-BR"/>
        </w:rPr>
        <w:t xml:space="preserve">5 Rodrigues de Souza E., Almeida Cordeiro Nogueira H., da Silva Francisco Junior R., Garcia A. B. and Medina-Acosta E. (2025). </w:t>
      </w:r>
      <w:r w:rsidRPr="002D15AA">
        <w:rPr>
          <w:rFonts w:asciiTheme="majorHAnsi" w:hAnsiTheme="majorHAnsi" w:cstheme="majorHAnsi"/>
          <w:szCs w:val="24"/>
        </w:rPr>
        <w:t xml:space="preserve">Integrated multi-optosis model for pan-cancer candidate biomarker and therapy target discovery. </w:t>
      </w:r>
      <w:r w:rsidRPr="002D15AA">
        <w:rPr>
          <w:rFonts w:asciiTheme="majorHAnsi" w:hAnsiTheme="majorHAnsi" w:cstheme="majorHAnsi"/>
          <w:szCs w:val="24"/>
          <w:lang w:val="pt-BR"/>
        </w:rPr>
        <w:t>Front Bioinform 5: 1630518.</w:t>
      </w:r>
    </w:p>
    <w:p w14:paraId="10CE10EE"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lang w:val="pt-BR"/>
        </w:rPr>
        <w:t xml:space="preserve">6 Rodrigues de Souza E., Almeida Cordeiro Nogueira H., dos Santos Lopes V. and Medina-Acosta E. (2026). </w:t>
      </w:r>
      <w:r w:rsidRPr="002D15AA">
        <w:rPr>
          <w:rFonts w:asciiTheme="majorHAnsi" w:hAnsiTheme="majorHAnsi" w:cstheme="majorHAnsi"/>
          <w:szCs w:val="24"/>
        </w:rPr>
        <w:t>A Pan-Cancer Multi-Omic SuperLearner for Regulated Cell Death Survival Topologies. bioRxiv: 2026.2005.2029.728842.</w:t>
      </w:r>
    </w:p>
    <w:p w14:paraId="4C6C2FE2"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lang w:val="de-DE"/>
        </w:rPr>
        <w:t xml:space="preserve">7 Wang X., Wang Q., Zhao J., Chen J., Wu R., Pan J., et al. </w:t>
      </w:r>
      <w:r w:rsidRPr="002D15AA">
        <w:rPr>
          <w:rFonts w:asciiTheme="majorHAnsi" w:hAnsiTheme="majorHAnsi" w:cstheme="majorHAnsi"/>
          <w:szCs w:val="24"/>
        </w:rPr>
        <w:t>(2024). RCDdb: A manually curated database and analysis platform for regulated cell death. Comput Struct Biotechnol J 23: 3211-3221.</w:t>
      </w:r>
    </w:p>
    <w:p w14:paraId="6D75DE7F"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5DE58F78"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4ABDC6A2" w14:textId="77777777" w:rsidR="0013202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6D7A1F19" w14:textId="77777777" w:rsidR="00B147AA" w:rsidRPr="002D15AA" w:rsidRDefault="00B147AA" w:rsidP="002D15AA">
      <w:pPr>
        <w:spacing w:after="0" w:line="240" w:lineRule="auto"/>
        <w:rPr>
          <w:rFonts w:asciiTheme="majorHAnsi" w:hAnsiTheme="majorHAnsi" w:cstheme="majorHAnsi"/>
          <w:szCs w:val="24"/>
        </w:rPr>
      </w:pPr>
    </w:p>
    <w:p w14:paraId="0107F1A8" w14:textId="77777777" w:rsidR="00764347" w:rsidRPr="002D15AA" w:rsidRDefault="00764347" w:rsidP="002D15AA">
      <w:pPr>
        <w:spacing w:after="0" w:line="240" w:lineRule="auto"/>
        <w:rPr>
          <w:rFonts w:asciiTheme="majorHAnsi" w:hAnsiTheme="majorHAnsi" w:cstheme="majorHAnsi"/>
          <w:b/>
          <w:bCs/>
          <w:szCs w:val="24"/>
        </w:rPr>
      </w:pPr>
    </w:p>
    <w:sectPr w:rsidR="00764347" w:rsidRPr="002D15AA" w:rsidSect="00034616">
      <w:pgSz w:w="11906" w:h="16838"/>
      <w:pgMar w:top="1417" w:right="1417" w:bottom="1417" w:left="1417"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nrique Medina-Acosta" w:date="2026-09-23T11:03:00Z" w:initials="EM">
    <w:p w14:paraId="54E1A46D" w14:textId="7DD66CB5" w:rsidR="00447A53" w:rsidRDefault="00447A53">
      <w:pPr>
        <w:pStyle w:val="Textodecomentrio"/>
      </w:pPr>
      <w:r>
        <w:rPr>
          <w:rStyle w:val="Refdecomentrio"/>
        </w:rPr>
        <w:annotationRef/>
      </w:r>
      <w:r>
        <w:t>Explain abbreviation system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4E1A46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2439335" w16cex:dateUtc="2026-09-23T16: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4E1A46D" w16cid:durableId="7243933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D2B920" w14:textId="77777777" w:rsidR="003F1410" w:rsidRDefault="003F1410" w:rsidP="007B760F">
      <w:pPr>
        <w:spacing w:after="0" w:line="240" w:lineRule="auto"/>
      </w:pPr>
      <w:r>
        <w:separator/>
      </w:r>
    </w:p>
  </w:endnote>
  <w:endnote w:type="continuationSeparator" w:id="0">
    <w:p w14:paraId="1FCE44BB" w14:textId="77777777" w:rsidR="003F1410" w:rsidRDefault="003F1410"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A81ED8" w14:textId="77777777" w:rsidR="003F1410" w:rsidRDefault="003F1410" w:rsidP="007B760F">
      <w:pPr>
        <w:spacing w:after="0" w:line="240" w:lineRule="auto"/>
      </w:pPr>
      <w:r>
        <w:separator/>
      </w:r>
    </w:p>
  </w:footnote>
  <w:footnote w:type="continuationSeparator" w:id="0">
    <w:p w14:paraId="39FB376D" w14:textId="77777777" w:rsidR="003F1410" w:rsidRDefault="003F1410"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78DD7409"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62B98184"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nrique Medina-Acosta">
    <w15:presenceInfo w15:providerId="Windows Live" w15:userId="9c9d5c308c6afd8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NagFAM5pbL8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07354"/>
    <w:rsid w:val="000113C4"/>
    <w:rsid w:val="000135C8"/>
    <w:rsid w:val="00015DDB"/>
    <w:rsid w:val="00015F1D"/>
    <w:rsid w:val="00022C1B"/>
    <w:rsid w:val="00034616"/>
    <w:rsid w:val="00041468"/>
    <w:rsid w:val="0004236B"/>
    <w:rsid w:val="00046DDD"/>
    <w:rsid w:val="0006063C"/>
    <w:rsid w:val="000664F9"/>
    <w:rsid w:val="00074187"/>
    <w:rsid w:val="00080633"/>
    <w:rsid w:val="00086164"/>
    <w:rsid w:val="000866BF"/>
    <w:rsid w:val="00087C1F"/>
    <w:rsid w:val="000A24B6"/>
    <w:rsid w:val="000A3379"/>
    <w:rsid w:val="000A4666"/>
    <w:rsid w:val="000A7619"/>
    <w:rsid w:val="000B2C2A"/>
    <w:rsid w:val="000C31F5"/>
    <w:rsid w:val="000C564C"/>
    <w:rsid w:val="000C5913"/>
    <w:rsid w:val="000C7EE5"/>
    <w:rsid w:val="000E73A4"/>
    <w:rsid w:val="000F5DEE"/>
    <w:rsid w:val="001045DA"/>
    <w:rsid w:val="0011206F"/>
    <w:rsid w:val="00113FCC"/>
    <w:rsid w:val="0012097B"/>
    <w:rsid w:val="0013202B"/>
    <w:rsid w:val="00142F60"/>
    <w:rsid w:val="0015074B"/>
    <w:rsid w:val="00152364"/>
    <w:rsid w:val="00162DC1"/>
    <w:rsid w:val="00175EDA"/>
    <w:rsid w:val="001761FA"/>
    <w:rsid w:val="00177951"/>
    <w:rsid w:val="001779F6"/>
    <w:rsid w:val="001800ED"/>
    <w:rsid w:val="00180EB9"/>
    <w:rsid w:val="00187DB0"/>
    <w:rsid w:val="0019489D"/>
    <w:rsid w:val="001C0439"/>
    <w:rsid w:val="001C3B9A"/>
    <w:rsid w:val="001D4FC0"/>
    <w:rsid w:val="001E0E68"/>
    <w:rsid w:val="001F6597"/>
    <w:rsid w:val="001F6A83"/>
    <w:rsid w:val="00203915"/>
    <w:rsid w:val="002068DF"/>
    <w:rsid w:val="00211292"/>
    <w:rsid w:val="0021654E"/>
    <w:rsid w:val="0022059B"/>
    <w:rsid w:val="002227B6"/>
    <w:rsid w:val="00223010"/>
    <w:rsid w:val="00230384"/>
    <w:rsid w:val="00230C72"/>
    <w:rsid w:val="0023385D"/>
    <w:rsid w:val="002432F8"/>
    <w:rsid w:val="002469FE"/>
    <w:rsid w:val="0025089F"/>
    <w:rsid w:val="00264E95"/>
    <w:rsid w:val="00264F46"/>
    <w:rsid w:val="0026702C"/>
    <w:rsid w:val="00267451"/>
    <w:rsid w:val="002705CC"/>
    <w:rsid w:val="00275E31"/>
    <w:rsid w:val="00293EB3"/>
    <w:rsid w:val="0029639D"/>
    <w:rsid w:val="002A6C84"/>
    <w:rsid w:val="002A7758"/>
    <w:rsid w:val="002B5871"/>
    <w:rsid w:val="002C584C"/>
    <w:rsid w:val="002D15AA"/>
    <w:rsid w:val="002E19E0"/>
    <w:rsid w:val="002E2E0A"/>
    <w:rsid w:val="002E33E8"/>
    <w:rsid w:val="002E5FF2"/>
    <w:rsid w:val="002E6434"/>
    <w:rsid w:val="002E6683"/>
    <w:rsid w:val="002F1AA1"/>
    <w:rsid w:val="002F5184"/>
    <w:rsid w:val="00304AEF"/>
    <w:rsid w:val="0030592D"/>
    <w:rsid w:val="00306B5C"/>
    <w:rsid w:val="00324D4C"/>
    <w:rsid w:val="003263A0"/>
    <w:rsid w:val="00326F90"/>
    <w:rsid w:val="003271F9"/>
    <w:rsid w:val="003334EE"/>
    <w:rsid w:val="00333DF6"/>
    <w:rsid w:val="00334F5E"/>
    <w:rsid w:val="00353D70"/>
    <w:rsid w:val="00364152"/>
    <w:rsid w:val="00380C55"/>
    <w:rsid w:val="00380FBB"/>
    <w:rsid w:val="00381A47"/>
    <w:rsid w:val="00381DF2"/>
    <w:rsid w:val="00391E4B"/>
    <w:rsid w:val="003A135D"/>
    <w:rsid w:val="003A2688"/>
    <w:rsid w:val="003A4BA7"/>
    <w:rsid w:val="003B5CD4"/>
    <w:rsid w:val="003C4DF7"/>
    <w:rsid w:val="003D5F5C"/>
    <w:rsid w:val="003D6FFF"/>
    <w:rsid w:val="003F1410"/>
    <w:rsid w:val="003F3DE6"/>
    <w:rsid w:val="0041302C"/>
    <w:rsid w:val="004139CE"/>
    <w:rsid w:val="00426C1E"/>
    <w:rsid w:val="00427439"/>
    <w:rsid w:val="00442ADB"/>
    <w:rsid w:val="0044319E"/>
    <w:rsid w:val="00444E7A"/>
    <w:rsid w:val="004450FD"/>
    <w:rsid w:val="00445A3E"/>
    <w:rsid w:val="00447A53"/>
    <w:rsid w:val="00447C46"/>
    <w:rsid w:val="00451C06"/>
    <w:rsid w:val="00463DD3"/>
    <w:rsid w:val="00466538"/>
    <w:rsid w:val="004679FC"/>
    <w:rsid w:val="004708B6"/>
    <w:rsid w:val="0048064C"/>
    <w:rsid w:val="00491367"/>
    <w:rsid w:val="00495FA3"/>
    <w:rsid w:val="004A5E2F"/>
    <w:rsid w:val="004B02F0"/>
    <w:rsid w:val="004B5F51"/>
    <w:rsid w:val="004B7A26"/>
    <w:rsid w:val="004B7B0B"/>
    <w:rsid w:val="004C02C6"/>
    <w:rsid w:val="004C0F76"/>
    <w:rsid w:val="004C566E"/>
    <w:rsid w:val="004C6F14"/>
    <w:rsid w:val="004E0678"/>
    <w:rsid w:val="004E35A9"/>
    <w:rsid w:val="004E36FF"/>
    <w:rsid w:val="004E6BE3"/>
    <w:rsid w:val="004E777D"/>
    <w:rsid w:val="004E7824"/>
    <w:rsid w:val="00500896"/>
    <w:rsid w:val="00505C00"/>
    <w:rsid w:val="00516472"/>
    <w:rsid w:val="00521B54"/>
    <w:rsid w:val="00526657"/>
    <w:rsid w:val="00533B0E"/>
    <w:rsid w:val="00536338"/>
    <w:rsid w:val="00541EEE"/>
    <w:rsid w:val="00545902"/>
    <w:rsid w:val="00570905"/>
    <w:rsid w:val="005739A1"/>
    <w:rsid w:val="005874C2"/>
    <w:rsid w:val="00593999"/>
    <w:rsid w:val="005A0573"/>
    <w:rsid w:val="005A2A6D"/>
    <w:rsid w:val="005A5325"/>
    <w:rsid w:val="005A7DAD"/>
    <w:rsid w:val="005B369D"/>
    <w:rsid w:val="005C4538"/>
    <w:rsid w:val="005D0E14"/>
    <w:rsid w:val="005E1CBD"/>
    <w:rsid w:val="005E2A6F"/>
    <w:rsid w:val="005E3A73"/>
    <w:rsid w:val="005E4420"/>
    <w:rsid w:val="005F5CFD"/>
    <w:rsid w:val="00603234"/>
    <w:rsid w:val="00612139"/>
    <w:rsid w:val="006246B9"/>
    <w:rsid w:val="00635000"/>
    <w:rsid w:val="00637146"/>
    <w:rsid w:val="006408EE"/>
    <w:rsid w:val="0065188A"/>
    <w:rsid w:val="00655A19"/>
    <w:rsid w:val="00655E8D"/>
    <w:rsid w:val="00661FF5"/>
    <w:rsid w:val="00664F02"/>
    <w:rsid w:val="00664FD0"/>
    <w:rsid w:val="00670D3F"/>
    <w:rsid w:val="0067483C"/>
    <w:rsid w:val="00676F2A"/>
    <w:rsid w:val="00677061"/>
    <w:rsid w:val="00685507"/>
    <w:rsid w:val="00694743"/>
    <w:rsid w:val="006A1146"/>
    <w:rsid w:val="006B0346"/>
    <w:rsid w:val="006B4852"/>
    <w:rsid w:val="006C3B9E"/>
    <w:rsid w:val="006C42F9"/>
    <w:rsid w:val="006D136A"/>
    <w:rsid w:val="006D380F"/>
    <w:rsid w:val="00705A6F"/>
    <w:rsid w:val="00707921"/>
    <w:rsid w:val="00713BFF"/>
    <w:rsid w:val="00713EBB"/>
    <w:rsid w:val="00717B91"/>
    <w:rsid w:val="0072338A"/>
    <w:rsid w:val="00730A40"/>
    <w:rsid w:val="00731F91"/>
    <w:rsid w:val="007433C5"/>
    <w:rsid w:val="007478A9"/>
    <w:rsid w:val="0075796D"/>
    <w:rsid w:val="00760A8E"/>
    <w:rsid w:val="00763D17"/>
    <w:rsid w:val="00764347"/>
    <w:rsid w:val="00777BD4"/>
    <w:rsid w:val="00783422"/>
    <w:rsid w:val="0078506A"/>
    <w:rsid w:val="00786491"/>
    <w:rsid w:val="00795995"/>
    <w:rsid w:val="007B26C1"/>
    <w:rsid w:val="007B60B2"/>
    <w:rsid w:val="007B760F"/>
    <w:rsid w:val="007B7E51"/>
    <w:rsid w:val="007C2253"/>
    <w:rsid w:val="007C51D2"/>
    <w:rsid w:val="007C65B8"/>
    <w:rsid w:val="007F273A"/>
    <w:rsid w:val="008046DE"/>
    <w:rsid w:val="00810D11"/>
    <w:rsid w:val="0081379F"/>
    <w:rsid w:val="008147BF"/>
    <w:rsid w:val="00816B6F"/>
    <w:rsid w:val="00830D18"/>
    <w:rsid w:val="00840E12"/>
    <w:rsid w:val="00857FA2"/>
    <w:rsid w:val="00864C50"/>
    <w:rsid w:val="00871351"/>
    <w:rsid w:val="00871F46"/>
    <w:rsid w:val="008725B9"/>
    <w:rsid w:val="008830E3"/>
    <w:rsid w:val="00896617"/>
    <w:rsid w:val="00897A3F"/>
    <w:rsid w:val="008A62B5"/>
    <w:rsid w:val="008F108E"/>
    <w:rsid w:val="00901630"/>
    <w:rsid w:val="0090277D"/>
    <w:rsid w:val="009045FD"/>
    <w:rsid w:val="009076EB"/>
    <w:rsid w:val="0091541F"/>
    <w:rsid w:val="00916CE4"/>
    <w:rsid w:val="00917D83"/>
    <w:rsid w:val="00920088"/>
    <w:rsid w:val="00921C18"/>
    <w:rsid w:val="00925876"/>
    <w:rsid w:val="00931779"/>
    <w:rsid w:val="00935B55"/>
    <w:rsid w:val="0094122E"/>
    <w:rsid w:val="00947DDC"/>
    <w:rsid w:val="0096775B"/>
    <w:rsid w:val="00980C69"/>
    <w:rsid w:val="0098148B"/>
    <w:rsid w:val="00981CE3"/>
    <w:rsid w:val="00985363"/>
    <w:rsid w:val="00993354"/>
    <w:rsid w:val="009A1966"/>
    <w:rsid w:val="009A2EA1"/>
    <w:rsid w:val="009A3061"/>
    <w:rsid w:val="009A460B"/>
    <w:rsid w:val="009B14C2"/>
    <w:rsid w:val="009B500E"/>
    <w:rsid w:val="009C5F08"/>
    <w:rsid w:val="009E3039"/>
    <w:rsid w:val="009E6DFC"/>
    <w:rsid w:val="00A00534"/>
    <w:rsid w:val="00A20085"/>
    <w:rsid w:val="00A224F5"/>
    <w:rsid w:val="00A2299F"/>
    <w:rsid w:val="00A24850"/>
    <w:rsid w:val="00A30E1D"/>
    <w:rsid w:val="00A3490D"/>
    <w:rsid w:val="00A36429"/>
    <w:rsid w:val="00A4745B"/>
    <w:rsid w:val="00A62CF7"/>
    <w:rsid w:val="00A63D1A"/>
    <w:rsid w:val="00A76866"/>
    <w:rsid w:val="00A82408"/>
    <w:rsid w:val="00A82E1A"/>
    <w:rsid w:val="00A840DC"/>
    <w:rsid w:val="00A85AF0"/>
    <w:rsid w:val="00AA1D8D"/>
    <w:rsid w:val="00AA511A"/>
    <w:rsid w:val="00AB0CA0"/>
    <w:rsid w:val="00AB48D6"/>
    <w:rsid w:val="00AC138D"/>
    <w:rsid w:val="00AC1A2B"/>
    <w:rsid w:val="00AE4892"/>
    <w:rsid w:val="00AE6AFF"/>
    <w:rsid w:val="00B04B4F"/>
    <w:rsid w:val="00B13B32"/>
    <w:rsid w:val="00B147AA"/>
    <w:rsid w:val="00B204AE"/>
    <w:rsid w:val="00B231C6"/>
    <w:rsid w:val="00B32292"/>
    <w:rsid w:val="00B32DFC"/>
    <w:rsid w:val="00B42D93"/>
    <w:rsid w:val="00B431AA"/>
    <w:rsid w:val="00B4410A"/>
    <w:rsid w:val="00B47730"/>
    <w:rsid w:val="00B731FF"/>
    <w:rsid w:val="00B7740E"/>
    <w:rsid w:val="00B82BB0"/>
    <w:rsid w:val="00B86FC4"/>
    <w:rsid w:val="00B9076D"/>
    <w:rsid w:val="00B930D3"/>
    <w:rsid w:val="00B966FA"/>
    <w:rsid w:val="00B97F4B"/>
    <w:rsid w:val="00BA0203"/>
    <w:rsid w:val="00BA2B2A"/>
    <w:rsid w:val="00BB5EC5"/>
    <w:rsid w:val="00BC2B1E"/>
    <w:rsid w:val="00BC2C18"/>
    <w:rsid w:val="00BC306B"/>
    <w:rsid w:val="00BD21B6"/>
    <w:rsid w:val="00BD7710"/>
    <w:rsid w:val="00BF0B02"/>
    <w:rsid w:val="00C00F6A"/>
    <w:rsid w:val="00C02067"/>
    <w:rsid w:val="00C10047"/>
    <w:rsid w:val="00C11CC9"/>
    <w:rsid w:val="00C2239D"/>
    <w:rsid w:val="00C22E1A"/>
    <w:rsid w:val="00C26D91"/>
    <w:rsid w:val="00C33FBD"/>
    <w:rsid w:val="00C347D2"/>
    <w:rsid w:val="00C370BD"/>
    <w:rsid w:val="00C502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CF776F"/>
    <w:rsid w:val="00D01B24"/>
    <w:rsid w:val="00D0610C"/>
    <w:rsid w:val="00D11423"/>
    <w:rsid w:val="00D116F4"/>
    <w:rsid w:val="00D12587"/>
    <w:rsid w:val="00D16F02"/>
    <w:rsid w:val="00D36884"/>
    <w:rsid w:val="00D569A8"/>
    <w:rsid w:val="00D710BD"/>
    <w:rsid w:val="00D71E3F"/>
    <w:rsid w:val="00D75735"/>
    <w:rsid w:val="00D87307"/>
    <w:rsid w:val="00DA091E"/>
    <w:rsid w:val="00DA71D4"/>
    <w:rsid w:val="00DC6C16"/>
    <w:rsid w:val="00DD6AA9"/>
    <w:rsid w:val="00DE0257"/>
    <w:rsid w:val="00DF7BA4"/>
    <w:rsid w:val="00E07BAB"/>
    <w:rsid w:val="00E11301"/>
    <w:rsid w:val="00E16F4E"/>
    <w:rsid w:val="00E23161"/>
    <w:rsid w:val="00E31565"/>
    <w:rsid w:val="00E33A79"/>
    <w:rsid w:val="00E4335B"/>
    <w:rsid w:val="00E54383"/>
    <w:rsid w:val="00E61543"/>
    <w:rsid w:val="00E6339B"/>
    <w:rsid w:val="00E7670C"/>
    <w:rsid w:val="00E82E99"/>
    <w:rsid w:val="00E859DE"/>
    <w:rsid w:val="00E91B38"/>
    <w:rsid w:val="00EA6C20"/>
    <w:rsid w:val="00EA778E"/>
    <w:rsid w:val="00EB23ED"/>
    <w:rsid w:val="00EC5F2D"/>
    <w:rsid w:val="00ED79E0"/>
    <w:rsid w:val="00EF0CC9"/>
    <w:rsid w:val="00EF1CCE"/>
    <w:rsid w:val="00EF63EC"/>
    <w:rsid w:val="00F21EC4"/>
    <w:rsid w:val="00F407E4"/>
    <w:rsid w:val="00F41A82"/>
    <w:rsid w:val="00F42F0E"/>
    <w:rsid w:val="00F44914"/>
    <w:rsid w:val="00F46D86"/>
    <w:rsid w:val="00F51FFA"/>
    <w:rsid w:val="00F70510"/>
    <w:rsid w:val="00F7090A"/>
    <w:rsid w:val="00F75A43"/>
    <w:rsid w:val="00F83CAB"/>
    <w:rsid w:val="00F858E2"/>
    <w:rsid w:val="00FA7725"/>
    <w:rsid w:val="00FB41C5"/>
    <w:rsid w:val="00FC261A"/>
    <w:rsid w:val="00FC693F"/>
    <w:rsid w:val="00FD2A2E"/>
    <w:rsid w:val="00FD37F8"/>
    <w:rsid w:val="00FE2CF6"/>
    <w:rsid w:val="00FF2A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819429C"/>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C2A"/>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hyperlink" Target="http://chenyclab.com/RCDdb" TargetMode="External"/><Relationship Id="rId26" Type="http://schemas.openxmlformats.org/officeDocument/2006/relationships/hyperlink" Target="http://www.jianglab.cn/ncFO" TargetMode="External"/><Relationship Id="rId39" Type="http://schemas.openxmlformats.org/officeDocument/2006/relationships/hyperlink" Target="https://www.depmap.org/portal/gdsc" TargetMode="External"/><Relationship Id="rId21" Type="http://schemas.openxmlformats.org/officeDocument/2006/relationships/hyperlink" Target="https://ilir.warwick.ac.uk" TargetMode="External"/><Relationship Id="rId34" Type="http://schemas.openxmlformats.org/officeDocument/2006/relationships/hyperlink" Target="https://eutils.ncbi.nlm.nih.gov" TargetMode="External"/><Relationship Id="rId42" Type="http://schemas.openxmlformats.org/officeDocument/2006/relationships/hyperlink" Target="https://rest.genenames.org" TargetMode="External"/><Relationship Id="rId47"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microsoft.com/office/2018/08/relationships/commentsExtensible" Target="commentsExtensible.xml"/><Relationship Id="rId29" Type="http://schemas.openxmlformats.org/officeDocument/2006/relationships/hyperlink" Target="https://www.ebi.ac.uk/QuickG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quique@uenf.br" TargetMode="External"/><Relationship Id="rId24" Type="http://schemas.openxmlformats.org/officeDocument/2006/relationships/hyperlink" Target="http://auto2disease.nwsuaflmz.com" TargetMode="External"/><Relationship Id="rId32" Type="http://schemas.openxmlformats.org/officeDocument/2006/relationships/hyperlink" Target="https://string-db.org" TargetMode="External"/><Relationship Id="rId37" Type="http://schemas.openxmlformats.org/officeDocument/2006/relationships/hyperlink" Target="https://proteomics.cancer.gov/programs/cptac" TargetMode="External"/><Relationship Id="rId40" Type="http://schemas.openxmlformats.org/officeDocument/2006/relationships/hyperlink" Target="https://depmap.org" TargetMode="External"/><Relationship Id="rId45"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microsoft.com/office/2016/09/relationships/commentsIds" Target="commentsIds.xml"/><Relationship Id="rId23" Type="http://schemas.openxmlformats.org/officeDocument/2006/relationships/hyperlink" Target="http://hamdb.scbdd.com" TargetMode="External"/><Relationship Id="rId28" Type="http://schemas.openxmlformats.org/officeDocument/2006/relationships/hyperlink" Target="https://reactome.org" TargetMode="External"/><Relationship Id="rId36" Type="http://schemas.openxmlformats.org/officeDocument/2006/relationships/hyperlink" Target="https://www.ncbi.nlm.nih.gov/geo" TargetMode="External"/><Relationship Id="rId10" Type="http://schemas.openxmlformats.org/officeDocument/2006/relationships/hyperlink" Target="mailto:higoralmeida1995@gmail.com" TargetMode="External"/><Relationship Id="rId19" Type="http://schemas.openxmlformats.org/officeDocument/2006/relationships/hyperlink" Target="https://ipcd.biocuckoo.cn" TargetMode="External"/><Relationship Id="rId31" Type="http://schemas.openxmlformats.org/officeDocument/2006/relationships/hyperlink" Target="https://www.wikipathways.org" TargetMode="External"/><Relationship Id="rId44" Type="http://schemas.openxmlformats.org/officeDocument/2006/relationships/hyperlink" Target="https://github.com/BioCancerInformatics/RCDome" TargetMode="Externa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microsoft.com/office/2011/relationships/commentsExtended" Target="commentsExtended.xml"/><Relationship Id="rId22" Type="http://schemas.openxmlformats.org/officeDocument/2006/relationships/hyperlink" Target="https://autophagy.lu" TargetMode="External"/><Relationship Id="rId27" Type="http://schemas.openxmlformats.org/officeDocument/2006/relationships/hyperlink" Target="https://rest.kegg.jp" TargetMode="External"/><Relationship Id="rId30" Type="http://schemas.openxmlformats.org/officeDocument/2006/relationships/hyperlink" Target="https://www.gsea-msigdb.org" TargetMode="External"/><Relationship Id="rId35" Type="http://schemas.openxmlformats.org/officeDocument/2006/relationships/hyperlink" Target="https://www.cancer.gov/tcga" TargetMode="External"/><Relationship Id="rId43" Type="http://schemas.openxmlformats.org/officeDocument/2006/relationships/hyperlink" Target="https://elicit.com" TargetMode="External"/><Relationship Id="rId48" Type="http://schemas.openxmlformats.org/officeDocument/2006/relationships/theme" Target="theme/theme1.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www.zhounan.org/ferrdb" TargetMode="External"/><Relationship Id="rId25" Type="http://schemas.openxmlformats.org/officeDocument/2006/relationships/hyperlink" Target="https://amtdb.vercel.app" TargetMode="External"/><Relationship Id="rId33" Type="http://schemas.openxmlformats.org/officeDocument/2006/relationships/hyperlink" Target="https://thebiogrid.org" TargetMode="External"/><Relationship Id="rId38" Type="http://schemas.openxmlformats.org/officeDocument/2006/relationships/hyperlink" Target="https://sites.broadinstitute.org/ccle" TargetMode="External"/><Relationship Id="rId46" Type="http://schemas.openxmlformats.org/officeDocument/2006/relationships/fontTable" Target="fontTable.xml"/><Relationship Id="rId20" Type="http://schemas.openxmlformats.org/officeDocument/2006/relationships/hyperlink" Target="https://lncrcddb.bio-database.com" TargetMode="External"/><Relationship Id="rId41" Type="http://schemas.openxmlformats.org/officeDocument/2006/relationships/hyperlink" Target="https://consensus.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1083</TotalTime>
  <Pages>39</Pages>
  <Words>19897</Words>
  <Characters>109437</Characters>
  <Application>Microsoft Office Word</Application>
  <DocSecurity>0</DocSecurity>
  <Lines>911</Lines>
  <Paragraphs>258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129076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207</cp:revision>
  <dcterms:created xsi:type="dcterms:W3CDTF">2013-12-23T23:15:00Z</dcterms:created>
  <dcterms:modified xsi:type="dcterms:W3CDTF">2026-09-24T14:59:00Z</dcterms:modified>
  <cp:category/>
</cp:coreProperties>
</file>