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6D8D5" w14:textId="77777777" w:rsidR="00784529" w:rsidRPr="00CD1CF5" w:rsidRDefault="00784529" w:rsidP="00CD1CF5">
      <w:pPr>
        <w:pStyle w:val="Ttulo1"/>
        <w:spacing w:before="0" w:line="240" w:lineRule="auto"/>
        <w:jc w:val="center"/>
        <w:rPr>
          <w:rFonts w:cstheme="majorHAnsi"/>
          <w:sz w:val="24"/>
          <w:szCs w:val="24"/>
        </w:rPr>
      </w:pPr>
      <w:r w:rsidRPr="00CD1CF5">
        <w:rPr>
          <w:rFonts w:cstheme="majorHAnsi"/>
          <w:sz w:val="24"/>
          <w:szCs w:val="24"/>
        </w:rPr>
        <w:t>SUPPLEMENTARY INFORMATION</w:t>
      </w:r>
    </w:p>
    <w:p w14:paraId="460952B9" w14:textId="77777777" w:rsidR="00784529" w:rsidRPr="00CD1CF5" w:rsidRDefault="00784529" w:rsidP="00CD1CF5">
      <w:pPr>
        <w:pStyle w:val="Ttulo1"/>
        <w:spacing w:before="0" w:line="240" w:lineRule="auto"/>
        <w:rPr>
          <w:rFonts w:cstheme="majorHAnsi"/>
          <w:sz w:val="24"/>
          <w:szCs w:val="24"/>
        </w:rPr>
      </w:pPr>
    </w:p>
    <w:p w14:paraId="6EB759E6" w14:textId="77777777" w:rsidR="00784529" w:rsidRPr="00CD1CF5" w:rsidRDefault="00784529" w:rsidP="00CD1CF5">
      <w:pPr>
        <w:pStyle w:val="Ttulo1"/>
        <w:spacing w:before="0" w:line="240" w:lineRule="auto"/>
        <w:rPr>
          <w:rFonts w:cstheme="majorHAnsi"/>
          <w:sz w:val="24"/>
          <w:szCs w:val="24"/>
        </w:rPr>
      </w:pPr>
      <w:r w:rsidRPr="00CD1CF5">
        <w:rPr>
          <w:rFonts w:cstheme="majorHAnsi"/>
          <w:sz w:val="24"/>
          <w:szCs w:val="24"/>
        </w:rPr>
        <w:t>RCDome: A Multi-Database Human Gene Atlas of Regulated Cell Death</w:t>
      </w:r>
    </w:p>
    <w:p w14:paraId="0B00AC77" w14:textId="77777777" w:rsidR="00784529" w:rsidRPr="00CD1CF5" w:rsidRDefault="00784529" w:rsidP="00CD1CF5">
      <w:pPr>
        <w:spacing w:after="0" w:line="240" w:lineRule="auto"/>
        <w:rPr>
          <w:rFonts w:asciiTheme="majorHAnsi" w:hAnsiTheme="majorHAnsi" w:cstheme="majorHAnsi"/>
          <w:b/>
          <w:bCs/>
          <w:szCs w:val="24"/>
        </w:rPr>
      </w:pPr>
    </w:p>
    <w:p w14:paraId="33E517E4" w14:textId="77777777" w:rsidR="00784529" w:rsidRPr="00CD1CF5" w:rsidRDefault="00784529" w:rsidP="00CD1CF5">
      <w:pPr>
        <w:spacing w:after="0" w:line="240" w:lineRule="auto"/>
        <w:rPr>
          <w:rFonts w:asciiTheme="majorHAnsi" w:hAnsiTheme="majorHAnsi" w:cstheme="majorHAnsi"/>
          <w:szCs w:val="24"/>
        </w:rPr>
      </w:pPr>
      <w:r w:rsidRPr="00CD1CF5">
        <w:rPr>
          <w:rFonts w:asciiTheme="majorHAnsi" w:hAnsiTheme="majorHAnsi" w:cstheme="majorHAnsi"/>
          <w:b/>
          <w:bCs/>
          <w:szCs w:val="24"/>
        </w:rPr>
        <w:t>Running title:</w:t>
      </w:r>
      <w:r w:rsidRPr="00CD1CF5">
        <w:rPr>
          <w:rFonts w:asciiTheme="majorHAnsi" w:hAnsiTheme="majorHAnsi" w:cstheme="majorHAnsi"/>
          <w:szCs w:val="24"/>
        </w:rPr>
        <w:t xml:space="preserve"> RCDome: Human RCD Gene Atlas</w:t>
      </w:r>
    </w:p>
    <w:p w14:paraId="76D24451" w14:textId="77777777" w:rsidR="00784529" w:rsidRPr="00CD1CF5" w:rsidRDefault="00784529" w:rsidP="00CD1CF5">
      <w:pPr>
        <w:spacing w:after="0" w:line="240" w:lineRule="auto"/>
        <w:rPr>
          <w:rFonts w:asciiTheme="majorHAnsi" w:hAnsiTheme="majorHAnsi" w:cstheme="majorHAnsi"/>
          <w:szCs w:val="24"/>
        </w:rPr>
      </w:pPr>
      <w:r w:rsidRPr="00CD1CF5">
        <w:rPr>
          <w:rFonts w:asciiTheme="majorHAnsi" w:hAnsiTheme="majorHAnsi" w:cstheme="majorHAnsi"/>
          <w:b/>
          <w:bCs/>
          <w:szCs w:val="24"/>
        </w:rPr>
        <w:t>Keywords</w:t>
      </w:r>
      <w:r w:rsidRPr="00CD1CF5">
        <w:rPr>
          <w:rFonts w:asciiTheme="majorHAnsi" w:hAnsiTheme="majorHAnsi" w:cstheme="majorHAnsi"/>
          <w:szCs w:val="24"/>
        </w:rPr>
        <w:t>: regulated cell death, human gene atlas, knowledge platform, multi-database integration, operational definitions, traceability</w:t>
      </w:r>
    </w:p>
    <w:p w14:paraId="7B93C3FE" w14:textId="77777777" w:rsidR="00784529" w:rsidRPr="00CD1CF5" w:rsidRDefault="00784529" w:rsidP="00CD1CF5">
      <w:pPr>
        <w:spacing w:after="0" w:line="240" w:lineRule="auto"/>
        <w:rPr>
          <w:rFonts w:asciiTheme="majorHAnsi" w:hAnsiTheme="majorHAnsi" w:cstheme="majorHAnsi"/>
          <w:szCs w:val="24"/>
        </w:rPr>
      </w:pPr>
    </w:p>
    <w:p w14:paraId="6ED2EF1E"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Emanuell Rodrigues de Souza</w:t>
      </w:r>
      <w:r w:rsidRPr="00CD1CF5">
        <w:rPr>
          <w:rFonts w:asciiTheme="majorHAnsi" w:hAnsiTheme="majorHAnsi" w:cstheme="majorHAnsi"/>
          <w:szCs w:val="24"/>
          <w:vertAlign w:val="superscript"/>
          <w:lang w:val="pt-BR"/>
        </w:rPr>
        <w:t>#</w:t>
      </w:r>
      <w:r w:rsidRPr="00CD1CF5">
        <w:rPr>
          <w:rFonts w:asciiTheme="majorHAnsi" w:hAnsiTheme="majorHAnsi" w:cstheme="majorHAnsi"/>
          <w:szCs w:val="24"/>
          <w:lang w:val="pt-BR"/>
        </w:rPr>
        <w:t>, Victor dos Santos Lopes</w:t>
      </w:r>
      <w:r w:rsidRPr="00CD1CF5">
        <w:rPr>
          <w:rFonts w:asciiTheme="majorHAnsi" w:hAnsiTheme="majorHAnsi" w:cstheme="majorHAnsi"/>
          <w:szCs w:val="24"/>
          <w:vertAlign w:val="superscript"/>
          <w:lang w:val="pt-BR"/>
        </w:rPr>
        <w:t>#</w:t>
      </w:r>
      <w:r w:rsidRPr="00CD1CF5">
        <w:rPr>
          <w:rFonts w:asciiTheme="majorHAnsi" w:hAnsiTheme="majorHAnsi" w:cstheme="majorHAnsi"/>
          <w:szCs w:val="24"/>
          <w:lang w:val="pt-BR"/>
        </w:rPr>
        <w:t>, Higor Almeida Cordeiro Nogueira, and Enrique Medina-Acosta*</w:t>
      </w:r>
    </w:p>
    <w:p w14:paraId="2D2C37E1" w14:textId="77777777" w:rsidR="00784529" w:rsidRPr="00CD1CF5" w:rsidRDefault="00784529" w:rsidP="00CD1CF5">
      <w:pPr>
        <w:spacing w:after="0" w:line="240" w:lineRule="auto"/>
        <w:rPr>
          <w:rFonts w:asciiTheme="majorHAnsi" w:hAnsiTheme="majorHAnsi" w:cstheme="majorHAnsi"/>
          <w:szCs w:val="24"/>
          <w:lang w:val="pt-BR"/>
        </w:rPr>
      </w:pPr>
    </w:p>
    <w:p w14:paraId="14686E76"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Laboratório de Biotecnologia, Centro de Biociências e Biotecnologia, Universidade Estadual do Norte Fluminense, Avenida Alberto Lamego 2000, Parque California, Campos dos Goytacazes, RJ, CEP 28015-602, Brazil.</w:t>
      </w:r>
    </w:p>
    <w:p w14:paraId="05624F6E" w14:textId="77777777" w:rsidR="00784529" w:rsidRPr="00CD1CF5" w:rsidRDefault="00784529" w:rsidP="00CD1CF5">
      <w:pPr>
        <w:spacing w:after="0" w:line="240" w:lineRule="auto"/>
        <w:rPr>
          <w:rFonts w:asciiTheme="majorHAnsi" w:hAnsiTheme="majorHAnsi" w:cstheme="majorHAnsi"/>
          <w:szCs w:val="24"/>
          <w:lang w:val="pt-BR"/>
        </w:rPr>
      </w:pPr>
    </w:p>
    <w:p w14:paraId="278DE908"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w:t>
      </w:r>
      <w:r w:rsidRPr="00CD1CF5">
        <w:rPr>
          <w:rFonts w:asciiTheme="majorHAnsi" w:hAnsiTheme="majorHAnsi" w:cstheme="majorHAnsi"/>
          <w:b/>
          <w:bCs/>
          <w:szCs w:val="24"/>
          <w:lang w:val="pt-BR"/>
        </w:rPr>
        <w:t>Corresponding author</w:t>
      </w:r>
      <w:r w:rsidRPr="00CD1CF5">
        <w:rPr>
          <w:rFonts w:asciiTheme="majorHAnsi" w:hAnsiTheme="majorHAnsi" w:cstheme="majorHAnsi"/>
          <w:szCs w:val="24"/>
          <w:lang w:val="pt-BR"/>
        </w:rPr>
        <w:t xml:space="preserve">: Enrique Medina-Acosta: </w:t>
      </w:r>
      <w:hyperlink r:id="rId8" w:history="1">
        <w:r w:rsidRPr="00CD1CF5">
          <w:rPr>
            <w:rStyle w:val="Hyperlink"/>
            <w:rFonts w:asciiTheme="majorHAnsi" w:hAnsiTheme="majorHAnsi" w:cstheme="majorHAnsi"/>
            <w:szCs w:val="24"/>
            <w:lang w:val="pt-BR"/>
          </w:rPr>
          <w:t>quique@uenf.br</w:t>
        </w:r>
      </w:hyperlink>
    </w:p>
    <w:p w14:paraId="0A31A8FB" w14:textId="77777777" w:rsidR="00784529" w:rsidRPr="00CD1CF5" w:rsidRDefault="00784529" w:rsidP="00CD1CF5">
      <w:pPr>
        <w:spacing w:after="0" w:line="240" w:lineRule="auto"/>
        <w:rPr>
          <w:rFonts w:asciiTheme="majorHAnsi" w:hAnsiTheme="majorHAnsi" w:cstheme="majorHAnsi"/>
          <w:szCs w:val="24"/>
          <w:lang w:val="pt-BR"/>
        </w:rPr>
      </w:pPr>
    </w:p>
    <w:p w14:paraId="2E2C6D31"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b/>
          <w:bCs/>
          <w:szCs w:val="24"/>
          <w:lang w:val="pt-BR"/>
        </w:rPr>
        <w:t>Author e-mails</w:t>
      </w:r>
      <w:r w:rsidRPr="00CD1CF5">
        <w:rPr>
          <w:rFonts w:asciiTheme="majorHAnsi" w:hAnsiTheme="majorHAnsi" w:cstheme="majorHAnsi"/>
          <w:szCs w:val="24"/>
          <w:lang w:val="pt-BR"/>
        </w:rPr>
        <w:t>:</w:t>
      </w:r>
    </w:p>
    <w:p w14:paraId="7965B9A1"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 xml:space="preserve">Emanuell Rodrigues de Souza: </w:t>
      </w:r>
      <w:hyperlink r:id="rId9" w:history="1">
        <w:r w:rsidRPr="00CD1CF5">
          <w:rPr>
            <w:rStyle w:val="Hyperlink"/>
            <w:rFonts w:asciiTheme="majorHAnsi" w:hAnsiTheme="majorHAnsi" w:cstheme="majorHAnsi"/>
            <w:szCs w:val="24"/>
            <w:lang w:val="pt-BR"/>
          </w:rPr>
          <w:t>souza.ers00@gmail.com</w:t>
        </w:r>
      </w:hyperlink>
    </w:p>
    <w:p w14:paraId="4E8F449B"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 xml:space="preserve">Victor dos Santos Lopes: </w:t>
      </w:r>
      <w:hyperlink r:id="rId10" w:history="1">
        <w:r w:rsidRPr="00CD1CF5">
          <w:rPr>
            <w:rStyle w:val="Hyperlink"/>
            <w:rFonts w:asciiTheme="majorHAnsi" w:hAnsiTheme="majorHAnsi" w:cstheme="majorHAnsi"/>
            <w:szCs w:val="24"/>
            <w:lang w:val="pt-BR"/>
          </w:rPr>
          <w:t>victor94santos.lopes@gmail.com</w:t>
        </w:r>
      </w:hyperlink>
    </w:p>
    <w:p w14:paraId="6947D688"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 xml:space="preserve">Higor Almeida Cordeiro Nogueira: </w:t>
      </w:r>
      <w:hyperlink r:id="rId11" w:history="1">
        <w:r w:rsidRPr="00CD1CF5">
          <w:rPr>
            <w:rStyle w:val="Hyperlink"/>
            <w:rFonts w:asciiTheme="majorHAnsi" w:hAnsiTheme="majorHAnsi" w:cstheme="majorHAnsi"/>
            <w:szCs w:val="24"/>
            <w:lang w:val="pt-BR"/>
          </w:rPr>
          <w:t>higoralmeida1995@gmail.com</w:t>
        </w:r>
      </w:hyperlink>
    </w:p>
    <w:p w14:paraId="03FE12A6" w14:textId="77777777" w:rsidR="00784529" w:rsidRPr="00CD1CF5" w:rsidRDefault="00784529"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Enrique Medina-Acosta: </w:t>
      </w:r>
      <w:hyperlink r:id="rId12" w:history="1">
        <w:r w:rsidRPr="00CD1CF5">
          <w:rPr>
            <w:rStyle w:val="Hyperlink"/>
            <w:rFonts w:asciiTheme="majorHAnsi" w:hAnsiTheme="majorHAnsi" w:cstheme="majorHAnsi"/>
            <w:szCs w:val="24"/>
          </w:rPr>
          <w:t>quique@uenf.br</w:t>
        </w:r>
      </w:hyperlink>
    </w:p>
    <w:p w14:paraId="451E2BB8" w14:textId="77777777" w:rsidR="00784529" w:rsidRPr="00CD1CF5" w:rsidRDefault="00784529" w:rsidP="00CD1CF5">
      <w:pPr>
        <w:spacing w:after="0" w:line="240" w:lineRule="auto"/>
        <w:rPr>
          <w:rFonts w:asciiTheme="majorHAnsi" w:hAnsiTheme="majorHAnsi" w:cstheme="majorHAnsi"/>
          <w:szCs w:val="24"/>
        </w:rPr>
      </w:pPr>
    </w:p>
    <w:p w14:paraId="317FFB46" w14:textId="77777777" w:rsidR="00784529" w:rsidRPr="00CD1CF5" w:rsidRDefault="00784529" w:rsidP="00CD1CF5">
      <w:pPr>
        <w:spacing w:after="0" w:line="240" w:lineRule="auto"/>
        <w:rPr>
          <w:rFonts w:asciiTheme="majorHAnsi" w:hAnsiTheme="majorHAnsi" w:cstheme="majorHAnsi"/>
          <w:szCs w:val="24"/>
          <w:vertAlign w:val="superscript"/>
        </w:rPr>
        <w:sectPr w:rsidR="00784529" w:rsidRPr="00CD1CF5" w:rsidSect="00784529">
          <w:headerReference w:type="default" r:id="rId13"/>
          <w:pgSz w:w="11906" w:h="16838"/>
          <w:pgMar w:top="1417" w:right="1417" w:bottom="1417" w:left="1417" w:header="720" w:footer="720" w:gutter="0"/>
          <w:cols w:space="720"/>
          <w:docGrid w:linePitch="360"/>
        </w:sectPr>
      </w:pPr>
      <w:r w:rsidRPr="00CD1CF5">
        <w:rPr>
          <w:rFonts w:asciiTheme="majorHAnsi" w:hAnsiTheme="majorHAnsi" w:cstheme="majorHAnsi"/>
          <w:szCs w:val="24"/>
          <w:vertAlign w:val="superscript"/>
        </w:rPr>
        <w:t xml:space="preserve"># </w:t>
      </w:r>
      <w:r w:rsidRPr="00CD1CF5">
        <w:rPr>
          <w:rFonts w:asciiTheme="majorHAnsi" w:hAnsiTheme="majorHAnsi" w:cstheme="majorHAnsi"/>
          <w:szCs w:val="24"/>
        </w:rPr>
        <w:t>Authors share first authorship</w:t>
      </w:r>
    </w:p>
    <w:p w14:paraId="15D78692" w14:textId="77777777" w:rsidR="00A92B80" w:rsidRPr="00CD1CF5" w:rsidRDefault="00000000" w:rsidP="00CD1CF5">
      <w:pPr>
        <w:pStyle w:val="Ttulo1"/>
        <w:spacing w:before="0" w:line="240" w:lineRule="auto"/>
        <w:rPr>
          <w:rFonts w:cstheme="majorHAnsi"/>
          <w:sz w:val="24"/>
          <w:szCs w:val="24"/>
        </w:rPr>
      </w:pPr>
      <w:r w:rsidRPr="00CD1CF5">
        <w:rPr>
          <w:rFonts w:cstheme="majorHAnsi"/>
          <w:sz w:val="24"/>
          <w:szCs w:val="24"/>
        </w:rPr>
        <w:lastRenderedPageBreak/>
        <w:t>Supplementary Notes</w:t>
      </w:r>
    </w:p>
    <w:p w14:paraId="0852563A" w14:textId="77777777" w:rsidR="00BB22A7" w:rsidRPr="00CD1CF5" w:rsidRDefault="00BB22A7" w:rsidP="00CD1CF5">
      <w:pPr>
        <w:pStyle w:val="Ttulo1"/>
        <w:spacing w:before="0" w:line="240" w:lineRule="auto"/>
        <w:rPr>
          <w:rFonts w:cstheme="majorHAnsi"/>
          <w:sz w:val="24"/>
          <w:szCs w:val="24"/>
        </w:rPr>
      </w:pPr>
    </w:p>
    <w:p w14:paraId="59C2919C"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Supplementary Note S1 — Canonical-Terminology Pre-Audit and 53-Entity Expert Nomenclature and Ontological Adjudication</w:t>
      </w:r>
    </w:p>
    <w:p w14:paraId="185903C3"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Purpose</w:t>
      </w:r>
    </w:p>
    <w:p w14:paraId="29F20D82"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This note documents the governance and quality-control framework applied to RCDome's terminology and ontology: a terminology pre-audit performed before entity-level adjudication, a 53-entity expert nomenclature and ontological adjudication, and a project-wide propagation verification that closes each audit.</w:t>
      </w:r>
    </w:p>
    <w:p w14:paraId="45FCFA82"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1. The canonical-terminology pre-audit</w:t>
      </w:r>
    </w:p>
    <w:p w14:paraId="1523359B"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Before any biological adjudication, RCDome terminology was subjected to a dedicated </w:t>
      </w:r>
      <w:r w:rsidRPr="00CD1CF5">
        <w:rPr>
          <w:rFonts w:asciiTheme="majorHAnsi" w:hAnsiTheme="majorHAnsi" w:cstheme="majorHAnsi"/>
          <w:b/>
          <w:color w:val="auto"/>
          <w:szCs w:val="24"/>
        </w:rPr>
        <w:t>pre-audit</w:t>
      </w:r>
      <w:r w:rsidRPr="00CD1CF5">
        <w:rPr>
          <w:rFonts w:asciiTheme="majorHAnsi" w:hAnsiTheme="majorHAnsi" w:cstheme="majorHAnsi"/>
          <w:color w:val="auto"/>
          <w:szCs w:val="24"/>
        </w:rPr>
        <w:t xml:space="preserve"> of the word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and its variants across the manuscript, supplementary information, tables, decoder, matrix metadata, and the web application.</w:t>
      </w:r>
    </w:p>
    <w:p w14:paraId="02CC2FC3"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The risk being managed was semantic conflation: a reader could interpret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(vocabulary normalization) as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(biological establishment), and thereby read the 53-entity vocabulary as a list of 53 established cell-death modalities.</w:t>
      </w:r>
    </w:p>
    <w:p w14:paraId="6E510502"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The pre-audit therefore required that </w:t>
      </w:r>
      <w:r w:rsidRPr="00CD1CF5">
        <w:rPr>
          <w:rFonts w:asciiTheme="majorHAnsi" w:hAnsiTheme="majorHAnsi" w:cstheme="majorHAnsi"/>
          <w:b/>
          <w:color w:val="auto"/>
          <w:szCs w:val="24"/>
        </w:rPr>
        <w:t>every</w:t>
      </w:r>
      <w:r w:rsidRPr="00CD1CF5">
        <w:rPr>
          <w:rFonts w:asciiTheme="majorHAnsi" w:hAnsiTheme="majorHAnsi" w:cstheme="majorHAnsi"/>
          <w:color w:val="auto"/>
          <w:szCs w:val="24"/>
        </w:rPr>
        <w:t xml:space="preserve"> occurrence of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be adjudicated semantically into one of four categories:</w:t>
      </w:r>
    </w:p>
    <w:p w14:paraId="353A0E46"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vocabulary normalization</w:t>
      </w:r>
      <w:r w:rsidRPr="00CD1CF5">
        <w:rPr>
          <w:rFonts w:asciiTheme="majorHAnsi" w:hAnsiTheme="majorHAnsi" w:cstheme="majorHAnsi"/>
          <w:color w:val="auto"/>
          <w:szCs w:val="24"/>
        </w:rPr>
        <w:t xml:space="preserve"> — the term was renamed </w:t>
      </w:r>
      <w:r w:rsidRPr="00CD1CF5">
        <w:rPr>
          <w:rFonts w:asciiTheme="majorHAnsi" w:hAnsiTheme="majorHAnsi" w:cstheme="majorHAnsi"/>
          <w:i/>
          <w:color w:val="auto"/>
          <w:szCs w:val="24"/>
        </w:rPr>
        <w:t>"canonicalized"</w:t>
      </w:r>
      <w:r w:rsidRPr="00CD1CF5">
        <w:rPr>
          <w:rFonts w:asciiTheme="majorHAnsi" w:hAnsiTheme="majorHAnsi" w:cstheme="majorHAnsi"/>
          <w:color w:val="auto"/>
          <w:szCs w:val="24"/>
        </w:rPr>
        <w:t xml:space="preserve"> or </w:t>
      </w:r>
      <w:r w:rsidRPr="00CD1CF5">
        <w:rPr>
          <w:rFonts w:asciiTheme="majorHAnsi" w:hAnsiTheme="majorHAnsi" w:cstheme="majorHAnsi"/>
          <w:i/>
          <w:color w:val="auto"/>
          <w:szCs w:val="24"/>
        </w:rPr>
        <w:t>"normalized"</w:t>
      </w:r>
      <w:r w:rsidRPr="00CD1CF5">
        <w:rPr>
          <w:rFonts w:asciiTheme="majorHAnsi" w:hAnsiTheme="majorHAnsi" w:cstheme="majorHAnsi"/>
          <w:color w:val="auto"/>
          <w:szCs w:val="24"/>
        </w:rPr>
        <w:t>;</w:t>
      </w:r>
    </w:p>
    <w:p w14:paraId="0F42573E"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neutral entity designation</w:t>
      </w:r>
      <w:r w:rsidRPr="00CD1CF5">
        <w:rPr>
          <w:rFonts w:asciiTheme="majorHAnsi" w:hAnsiTheme="majorHAnsi" w:cstheme="majorHAnsi"/>
          <w:color w:val="auto"/>
          <w:szCs w:val="24"/>
        </w:rPr>
        <w:t xml:space="preserve"> — the term was replaced by </w:t>
      </w:r>
      <w:r w:rsidRPr="00CD1CF5">
        <w:rPr>
          <w:rFonts w:asciiTheme="majorHAnsi" w:hAnsiTheme="majorHAnsi" w:cstheme="majorHAnsi"/>
          <w:i/>
          <w:color w:val="auto"/>
          <w:szCs w:val="24"/>
        </w:rPr>
        <w:t>"RCD-related entity"</w:t>
      </w:r>
      <w:r w:rsidRPr="00CD1CF5">
        <w:rPr>
          <w:rFonts w:asciiTheme="majorHAnsi" w:hAnsiTheme="majorHAnsi" w:cstheme="majorHAnsi"/>
          <w:color w:val="auto"/>
          <w:szCs w:val="24"/>
        </w:rPr>
        <w:t>;</w:t>
      </w:r>
    </w:p>
    <w:p w14:paraId="7F19A7C2"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biological canonicality</w:t>
      </w:r>
      <w:r w:rsidRPr="00CD1CF5">
        <w:rPr>
          <w:rFonts w:asciiTheme="majorHAnsi" w:hAnsiTheme="majorHAnsi" w:cstheme="majorHAnsi"/>
          <w:color w:val="auto"/>
          <w:szCs w:val="24"/>
        </w:rPr>
        <w:t xml:space="preserve"> —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was retained only where the claim of biological establishment was scientifically justified; or</w:t>
      </w:r>
    </w:p>
    <w:p w14:paraId="1645AD33"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bona fide modality status</w:t>
      </w:r>
      <w:r w:rsidRPr="00CD1CF5">
        <w:rPr>
          <w:rFonts w:asciiTheme="majorHAnsi" w:hAnsiTheme="majorHAnsi" w:cstheme="majorHAnsi"/>
          <w:color w:val="auto"/>
          <w:szCs w:val="24"/>
        </w:rPr>
        <w:t xml:space="preserve"> — the term </w:t>
      </w:r>
      <w:r w:rsidRPr="00CD1CF5">
        <w:rPr>
          <w:rFonts w:asciiTheme="majorHAnsi" w:hAnsiTheme="majorHAnsi" w:cstheme="majorHAnsi"/>
          <w:i/>
          <w:color w:val="auto"/>
          <w:szCs w:val="24"/>
        </w:rPr>
        <w:t>"bona fide RCD modality"</w:t>
      </w:r>
      <w:r w:rsidRPr="00CD1CF5">
        <w:rPr>
          <w:rFonts w:asciiTheme="majorHAnsi" w:hAnsiTheme="majorHAnsi" w:cstheme="majorHAnsi"/>
          <w:color w:val="auto"/>
          <w:szCs w:val="24"/>
        </w:rPr>
        <w:t xml:space="preserve"> was used for L1 entities admitted through the hard gates.</w:t>
      </w:r>
    </w:p>
    <w:p w14:paraId="0A122A6A"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A global find-and-replace of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 </w:t>
      </w:r>
      <w:r w:rsidRPr="00CD1CF5">
        <w:rPr>
          <w:rFonts w:asciiTheme="majorHAnsi" w:hAnsiTheme="majorHAnsi" w:cstheme="majorHAnsi"/>
          <w:i/>
          <w:color w:val="auto"/>
          <w:szCs w:val="24"/>
        </w:rPr>
        <w:t>"canonicalized"</w:t>
      </w:r>
      <w:r w:rsidRPr="00CD1CF5">
        <w:rPr>
          <w:rFonts w:asciiTheme="majorHAnsi" w:hAnsiTheme="majorHAnsi" w:cstheme="majorHAnsi"/>
          <w:color w:val="auto"/>
          <w:szCs w:val="24"/>
        </w:rPr>
        <w:t xml:space="preserve"> was deliberately prohibited, because it would have altered legitimate biological uses (e.g., </w:t>
      </w:r>
      <w:r w:rsidRPr="00CD1CF5">
        <w:rPr>
          <w:rFonts w:asciiTheme="majorHAnsi" w:hAnsiTheme="majorHAnsi" w:cstheme="majorHAnsi"/>
          <w:i/>
          <w:color w:val="auto"/>
          <w:szCs w:val="24"/>
        </w:rPr>
        <w:t>"canonical executors"</w:t>
      </w:r>
      <w:r w:rsidRPr="00CD1CF5">
        <w:rPr>
          <w:rFonts w:asciiTheme="majorHAnsi" w:hAnsiTheme="majorHAnsi" w:cstheme="majorHAnsi"/>
          <w:color w:val="auto"/>
          <w:szCs w:val="24"/>
        </w:rPr>
        <w:t xml:space="preserve">, </w:t>
      </w:r>
      <w:r w:rsidRPr="00CD1CF5">
        <w:rPr>
          <w:rFonts w:asciiTheme="majorHAnsi" w:hAnsiTheme="majorHAnsi" w:cstheme="majorHAnsi"/>
          <w:i/>
          <w:color w:val="auto"/>
          <w:szCs w:val="24"/>
        </w:rPr>
        <w:t>"canonical apoptosis"</w:t>
      </w:r>
      <w:r w:rsidRPr="00CD1CF5">
        <w:rPr>
          <w:rFonts w:asciiTheme="majorHAnsi" w:hAnsiTheme="majorHAnsi" w:cstheme="majorHAnsi"/>
          <w:color w:val="auto"/>
          <w:szCs w:val="24"/>
        </w:rPr>
        <w:t xml:space="preserve">, </w:t>
      </w:r>
      <w:r w:rsidRPr="00CD1CF5">
        <w:rPr>
          <w:rFonts w:asciiTheme="majorHAnsi" w:hAnsiTheme="majorHAnsi" w:cstheme="majorHAnsi"/>
          <w:i/>
          <w:color w:val="auto"/>
          <w:szCs w:val="24"/>
        </w:rPr>
        <w:t>"canonical inflammasome"</w:t>
      </w:r>
      <w:r w:rsidRPr="00CD1CF5">
        <w:rPr>
          <w:rFonts w:asciiTheme="majorHAnsi" w:hAnsiTheme="majorHAnsi" w:cstheme="majorHAnsi"/>
          <w:color w:val="auto"/>
          <w:szCs w:val="24"/>
        </w:rPr>
        <w:t>) and corrupted scientific meaning.</w:t>
      </w:r>
    </w:p>
    <w:p w14:paraId="75F1D06A"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2. The 53-entity expert nomenclature and ontological adjudication</w:t>
      </w:r>
    </w:p>
    <w:p w14:paraId="58D55D48"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Each of the 53 canonicalized RCD-related entities was then assessed against a five-level ontology and a set of hard gates.</w:t>
      </w:r>
    </w:p>
    <w:p w14:paraId="0C6866DB"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b/>
          <w:color w:val="auto"/>
          <w:szCs w:val="24"/>
        </w:rPr>
        <w:t>Ontology levels.</w:t>
      </w:r>
      <w:r w:rsidRPr="00CD1CF5">
        <w:rPr>
          <w:rFonts w:asciiTheme="majorHAnsi" w:hAnsiTheme="majorHAnsi" w:cstheme="majorHAnsi"/>
          <w:color w:val="auto"/>
          <w:szCs w:val="24"/>
        </w:rPr>
        <w:t xml:space="preserve"> L1 (bona fide RCD modality — distinct causal machinery and functional necessity); L2 (subtype — mechanistic subdivision of a parent modality); L3 (trigger — an initiating event that is not itself a complete death mechanism); L4 (functional/contextual — context-dependent programs, morphological outcomes, </w:t>
      </w:r>
      <w:r w:rsidRPr="00CD1CF5">
        <w:rPr>
          <w:rFonts w:asciiTheme="majorHAnsi" w:hAnsiTheme="majorHAnsi" w:cstheme="majorHAnsi"/>
          <w:color w:val="auto"/>
          <w:szCs w:val="24"/>
        </w:rPr>
        <w:t>cell-type-specific and differentiation-associated phenomena); L5 (generic/umbrella/generic/umbrella/taxon).</w:t>
      </w:r>
    </w:p>
    <w:p w14:paraId="1C3E8EEA"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b/>
          <w:color w:val="auto"/>
          <w:szCs w:val="24"/>
        </w:rPr>
        <w:t>Hard gates G0–G6.</w:t>
      </w:r>
      <w:r w:rsidRPr="00CD1CF5">
        <w:rPr>
          <w:rFonts w:asciiTheme="majorHAnsi" w:hAnsiTheme="majorHAnsi" w:cstheme="majorHAnsi"/>
          <w:color w:val="auto"/>
          <w:szCs w:val="24"/>
        </w:rPr>
        <w:t xml:space="preserve"> G0 whole-cell death; G1 identifiable causal machinery (obligatory for L1); G2 functional necessity and distinguishability (obligatory for L1); G3 supportive phenotype/trigger; G4 published naming/provenance; G5 independent replication (defines maturity); G6 species scope. Naming alone (G4) is not evidence of mechanistic independence.</w:t>
      </w:r>
    </w:p>
    <w:p w14:paraId="26FD790E"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b/>
          <w:color w:val="auto"/>
          <w:szCs w:val="24"/>
        </w:rPr>
        <w:t>Association vs modality.</w:t>
      </w:r>
      <w:r w:rsidRPr="00CD1CF5">
        <w:rPr>
          <w:rFonts w:asciiTheme="majorHAnsi" w:hAnsiTheme="majorHAnsi" w:cstheme="majorHAnsi"/>
          <w:color w:val="auto"/>
          <w:szCs w:val="24"/>
        </w:rPr>
        <w:t xml:space="preserve"> Two dimensions are kept separate: (i) whether a gene is associated with an RCD-related entity in the evidence base, and (ii) whether the entity itself qualifies as a bona fide RCD modality. Evidence of the former does not establish the latter. Accordingly, the associated-gene list is not described as a </w:t>
      </w:r>
      <w:r w:rsidRPr="00CD1CF5">
        <w:rPr>
          <w:rFonts w:asciiTheme="majorHAnsi" w:hAnsiTheme="majorHAnsi" w:cstheme="majorHAnsi"/>
          <w:i/>
          <w:color w:val="auto"/>
          <w:szCs w:val="24"/>
        </w:rPr>
        <w:t>"death signature"</w:t>
      </w:r>
      <w:r w:rsidRPr="00CD1CF5">
        <w:rPr>
          <w:rFonts w:asciiTheme="majorHAnsi" w:hAnsiTheme="majorHAnsi" w:cstheme="majorHAnsi"/>
          <w:color w:val="auto"/>
          <w:szCs w:val="24"/>
        </w:rPr>
        <w:t xml:space="preserve"> or </w:t>
      </w:r>
      <w:r w:rsidRPr="00CD1CF5">
        <w:rPr>
          <w:rFonts w:asciiTheme="majorHAnsi" w:hAnsiTheme="majorHAnsi" w:cstheme="majorHAnsi"/>
          <w:i/>
          <w:color w:val="auto"/>
          <w:szCs w:val="24"/>
        </w:rPr>
        <w:t>"death machinery"</w:t>
      </w:r>
      <w:r w:rsidRPr="00CD1CF5">
        <w:rPr>
          <w:rFonts w:asciiTheme="majorHAnsi" w:hAnsiTheme="majorHAnsi" w:cstheme="majorHAnsi"/>
          <w:color w:val="auto"/>
          <w:szCs w:val="24"/>
        </w:rPr>
        <w:t xml:space="preserve"> unless the evidence classification supports that statement; the preferred formulation is </w:t>
      </w:r>
      <w:r w:rsidRPr="00CD1CF5">
        <w:rPr>
          <w:rFonts w:asciiTheme="majorHAnsi" w:hAnsiTheme="majorHAnsi" w:cstheme="majorHAnsi"/>
          <w:i/>
          <w:color w:val="auto"/>
          <w:szCs w:val="24"/>
        </w:rPr>
        <w:t>"genes associated with [entity] in RCDome"</w:t>
      </w:r>
      <w:r w:rsidRPr="00CD1CF5">
        <w:rPr>
          <w:rFonts w:asciiTheme="majorHAnsi" w:hAnsiTheme="majorHAnsi" w:cstheme="majorHAnsi"/>
          <w:color w:val="auto"/>
          <w:szCs w:val="24"/>
        </w:rPr>
        <w:t>.</w:t>
      </w:r>
    </w:p>
    <w:p w14:paraId="6519E3F4"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b/>
          <w:color w:val="auto"/>
          <w:szCs w:val="24"/>
        </w:rPr>
        <w:t>Uncertainty and provenance.</w:t>
      </w:r>
      <w:r w:rsidRPr="00CD1CF5">
        <w:rPr>
          <w:rFonts w:asciiTheme="majorHAnsi" w:hAnsiTheme="majorHAnsi" w:cstheme="majorHAnsi"/>
          <w:color w:val="auto"/>
          <w:szCs w:val="24"/>
        </w:rPr>
        <w:t xml:space="preserve"> Entities that fail L1 admission are not deleted. They are retained at an appropriate level (contextual category, morphology, subtype, trigger, umbrella, taxon-specific concept, legacy term, or provisional/emerging entity) with explicit provenance. Database inclusion is never treated as biological endorsement.</w:t>
      </w:r>
    </w:p>
    <w:p w14:paraId="2D4AE7A0"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3. The propagation governance gate</w:t>
      </w:r>
    </w:p>
    <w:p w14:paraId="2DA4B2C1"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The audit established a rule that has since governed all subsequent corrections: </w:t>
      </w:r>
      <w:r w:rsidRPr="00CD1CF5">
        <w:rPr>
          <w:rFonts w:asciiTheme="majorHAnsi" w:hAnsiTheme="majorHAnsi" w:cstheme="majorHAnsi"/>
          <w:b/>
          <w:color w:val="auto"/>
          <w:szCs w:val="24"/>
        </w:rPr>
        <w:t>a change is not considered implemented when the authoritative source has been corrected alone.</w:t>
      </w:r>
    </w:p>
    <w:p w14:paraId="226A507C"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Every accepted adjudication must be propagated:</w:t>
      </w:r>
    </w:p>
    <w:p w14:paraId="639E6BA1"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horizontally</w:t>
      </w:r>
      <w:r w:rsidRPr="00CD1CF5">
        <w:rPr>
          <w:rFonts w:asciiTheme="majorHAnsi" w:hAnsiTheme="majorHAnsi" w:cstheme="majorHAnsi"/>
          <w:color w:val="auto"/>
          <w:szCs w:val="24"/>
        </w:rPr>
        <w:t xml:space="preserve"> — to every artifact that reproduces the affected information (manuscript, supplementary information, supplementary tables, decoder, unified matrix, database fields, figures and legends, application components, landing pages, explanatory text, and downloadable outputs); and</w:t>
      </w:r>
    </w:p>
    <w:p w14:paraId="4F93DD5F"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vertically</w:t>
      </w:r>
      <w:r w:rsidRPr="00CD1CF5">
        <w:rPr>
          <w:rFonts w:asciiTheme="majorHAnsi" w:hAnsiTheme="majorHAnsi" w:cstheme="majorHAnsi"/>
          <w:color w:val="auto"/>
          <w:szCs w:val="24"/>
        </w:rPr>
        <w:t xml:space="preserve"> — through every dependent representation derived from it (counts, group distributions, summaries, labels, colors, tooltips, and narrative prose).</w:t>
      </w:r>
    </w:p>
    <w:p w14:paraId="76A07633"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For example, reclassifying one entity from L4 to L5 is not complete until the entity's classification, the level counts (e.g., the L4/L5 totals), the figures, the legends, the landing-page summaries, the supplementary tables, and the application display have all been updated and independently verified.</w:t>
      </w:r>
    </w:p>
    <w:p w14:paraId="04E389ED"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Any residual disagreement between the authoritative adjudicated source and a downstream artifact is treated as a propagation failure and recorded — original state, adjudicated state, affected dependency, stale representation, corrective action, and post-correction verification — never silently repaired.</w:t>
      </w:r>
    </w:p>
    <w:p w14:paraId="282F0544"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4. Traceability and reproducibility</w:t>
      </w:r>
    </w:p>
    <w:p w14:paraId="2EE9D613" w14:textId="77777777" w:rsidR="00BB22A7" w:rsidRPr="00CD1CF5" w:rsidRDefault="00BB22A7" w:rsidP="00CD1CF5">
      <w:pPr>
        <w:spacing w:line="240" w:lineRule="auto"/>
        <w:rPr>
          <w:rFonts w:asciiTheme="majorHAnsi" w:hAnsiTheme="majorHAnsi" w:cstheme="majorHAnsi"/>
          <w:szCs w:val="24"/>
        </w:rPr>
      </w:pPr>
      <w:r w:rsidRPr="00CD1CF5">
        <w:rPr>
          <w:rFonts w:asciiTheme="majorHAnsi" w:hAnsiTheme="majorHAnsi" w:cstheme="majorHAnsi"/>
          <w:color w:val="auto"/>
          <w:szCs w:val="24"/>
        </w:rPr>
        <w:t xml:space="preserve">Every change carries an audit trail: what changed, why it changed, the prior state, the evidence, and where the consequences were applied. Versions are archived </w:t>
      </w:r>
      <w:r w:rsidRPr="00CD1CF5">
        <w:rPr>
          <w:rFonts w:asciiTheme="majorHAnsi" w:hAnsiTheme="majorHAnsi" w:cstheme="majorHAnsi"/>
          <w:color w:val="auto"/>
          <w:szCs w:val="24"/>
        </w:rPr>
        <w:lastRenderedPageBreak/>
        <w:t xml:space="preserve">rather than overwritten, preserving the history of the project. This propagation gate — </w:t>
      </w:r>
      <w:r w:rsidRPr="00CD1CF5">
        <w:rPr>
          <w:rFonts w:asciiTheme="majorHAnsi" w:hAnsiTheme="majorHAnsi" w:cstheme="majorHAnsi"/>
          <w:b/>
          <w:color w:val="auto"/>
          <w:szCs w:val="24"/>
        </w:rPr>
        <w:t>adjudicated → propagated → independently verified</w:t>
      </w:r>
      <w:r w:rsidRPr="00CD1CF5">
        <w:rPr>
          <w:rFonts w:asciiTheme="majorHAnsi" w:hAnsiTheme="majorHAnsi" w:cstheme="majorHAnsi"/>
          <w:color w:val="auto"/>
          <w:szCs w:val="24"/>
        </w:rPr>
        <w:t xml:space="preserve"> — is the final governance check before an audit is declared complete, and it is re-run after any subsequent modification to guarantee internal concordance across the entire RCDome ecosystem.</w:t>
      </w:r>
    </w:p>
    <w:p w14:paraId="5BC65E9B" w14:textId="77777777" w:rsidR="00A92B80" w:rsidRPr="00CD1CF5" w:rsidRDefault="00BB22A7" w:rsidP="00CD1CF5">
      <w:pPr>
        <w:pStyle w:val="Ttulo1"/>
        <w:spacing w:before="0" w:line="240" w:lineRule="auto"/>
        <w:rPr>
          <w:rFonts w:cstheme="majorHAnsi"/>
          <w:sz w:val="24"/>
          <w:szCs w:val="24"/>
        </w:rPr>
      </w:pPr>
      <w:r w:rsidRPr="00CD1CF5">
        <w:rPr>
          <w:rFonts w:cstheme="majorHAnsi"/>
          <w:sz w:val="24"/>
          <w:szCs w:val="24"/>
        </w:rPr>
        <w:t>Supplementary Note S2</w:t>
      </w:r>
      <w:r w:rsidR="001069E6">
        <w:rPr>
          <w:rFonts w:cstheme="majorHAnsi"/>
          <w:sz w:val="24"/>
          <w:szCs w:val="24"/>
        </w:rPr>
        <w:t xml:space="preserve"> -</w:t>
      </w:r>
      <w:r w:rsidRPr="00CD1CF5">
        <w:rPr>
          <w:rFonts w:cstheme="majorHAnsi"/>
          <w:sz w:val="24"/>
          <w:szCs w:val="24"/>
        </w:rPr>
        <w:t xml:space="preserve"> RCDome: Model-Selection Benchmark (CoT + Self-Provided Loop)</w:t>
      </w:r>
    </w:p>
    <w:p w14:paraId="642859FE"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This note documents the design and results of the model-selection benchmark, which compared three functional-role classifiers on 26 well-established gene-RCD pairs and selected a self-provided governance loop as the role-classification engine.</w:t>
      </w:r>
    </w:p>
    <w:p w14:paraId="7B113E82" w14:textId="77777777" w:rsidR="00DB4E22" w:rsidRPr="00CD1CF5" w:rsidRDefault="00DB4E22" w:rsidP="00CD1CF5">
      <w:pPr>
        <w:pStyle w:val="Ttulo2"/>
        <w:spacing w:before="0" w:line="240" w:lineRule="auto"/>
        <w:rPr>
          <w:rFonts w:cstheme="majorHAnsi"/>
          <w:szCs w:val="24"/>
        </w:rPr>
      </w:pPr>
    </w:p>
    <w:p w14:paraId="5F980E3D"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Design</w:t>
      </w:r>
    </w:p>
    <w:p w14:paraId="676734AA"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Twenty-six well-established gene-RCD pairs with known functional roles, in three strata:</w:t>
      </w:r>
    </w:p>
    <w:p w14:paraId="7D5C5D48"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10 true EXECUTORS: BAX, CASP3, CASP8, CASP9, CYCS (Apoptosis); MLKL, RIPK3 (Necroptosis); GSDMD, GSDME, CASP1 (Pyroptosis).</w:t>
      </w:r>
    </w:p>
    <w:p w14:paraId="5B739934"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8 true REGULATORS: BCL2, BCL2L1, XIAP, TP53 (Apoptosis); GPX4, ACSL4, AIFM2 (Ferroptosis); BECN1 (Autophagy).</w:t>
      </w:r>
    </w:p>
    <w:p w14:paraId="7CC93814"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8 NEGATIVE controls: GPX4/Pyroptosis, MLKL/Ferroptosis, CASP3/Necroptosis, BAX/Necroptosis, GSDMD/Ferroptosis, CASP1/Apoptosis, MLKL/Apoptosis, GSDMD/Necroptosis.</w:t>
      </w:r>
    </w:p>
    <w:p w14:paraId="4E794F73" w14:textId="77777777" w:rsidR="00DB4E22" w:rsidRPr="00CD1CF5" w:rsidRDefault="00DB4E22" w:rsidP="00CD1CF5">
      <w:pPr>
        <w:spacing w:after="0" w:line="240" w:lineRule="auto"/>
        <w:rPr>
          <w:rFonts w:asciiTheme="majorHAnsi" w:hAnsiTheme="majorHAnsi" w:cstheme="majorHAnsi"/>
          <w:szCs w:val="24"/>
        </w:rPr>
      </w:pPr>
    </w:p>
    <w:p w14:paraId="1EE9D61B"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26 pairs comprise 18 positive pairs (the 18 unique positive genes: 10 executors plus 8 regulators) plus 8 form-mismatch negatives that reuse 8 of those genes with an incorrect form.</w:t>
      </w:r>
    </w:p>
    <w:p w14:paraId="0BC78FCC" w14:textId="77777777" w:rsidR="00DB4E22" w:rsidRPr="00CD1CF5" w:rsidRDefault="00DB4E22" w:rsidP="00CD1CF5">
      <w:pPr>
        <w:spacing w:after="0" w:line="240" w:lineRule="auto"/>
        <w:rPr>
          <w:rFonts w:asciiTheme="majorHAnsi" w:hAnsiTheme="majorHAnsi" w:cstheme="majorHAnsi"/>
          <w:szCs w:val="24"/>
        </w:rPr>
      </w:pPr>
    </w:p>
    <w:p w14:paraId="01E42B41"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Each pair was submitted to all three models in the same run with the identical regulatory-aware prompt (mechanistic, role, direction).</w:t>
      </w:r>
    </w:p>
    <w:p w14:paraId="295BFB30" w14:textId="77777777" w:rsidR="00DB4E22" w:rsidRPr="00CD1CF5" w:rsidRDefault="00DB4E22" w:rsidP="00CD1CF5">
      <w:pPr>
        <w:spacing w:after="0" w:line="240" w:lineRule="auto"/>
        <w:rPr>
          <w:rFonts w:asciiTheme="majorHAnsi" w:hAnsiTheme="majorHAnsi" w:cstheme="majorHAnsi"/>
          <w:szCs w:val="24"/>
        </w:rPr>
      </w:pPr>
    </w:p>
    <w:p w14:paraId="48C0181D"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Two loop variants were benchmarked. The reference-based variant (v7) used a hand-curated 18-gene reference (one entry per unique positive gene: known form + mechanism) and achieved 100% combined accuracy with zero false positives, but that reference cannot scale: only about 5% of the compendium's pairs have a complete role, direction, and mechanistic classification to reference (1,102 rows; 573 genes; 875 pairs). The self-provided variant (v11) instead makes the model state its own mechanism, known forms, and role-specific form, then self-checks those statements; it achieved the same 100% combined accuracy and zero false positives with no external reference. Because it is fully independent and scalable, v11 was adopted for the full 22K-pair matrix.</w:t>
      </w:r>
    </w:p>
    <w:p w14:paraId="0C69D972" w14:textId="77777777" w:rsidR="00DB4E22" w:rsidRPr="00CD1CF5" w:rsidRDefault="00DB4E22" w:rsidP="00CD1CF5">
      <w:pPr>
        <w:pStyle w:val="Ttulo2"/>
        <w:spacing w:before="0" w:line="240" w:lineRule="auto"/>
        <w:rPr>
          <w:rFonts w:cstheme="majorHAnsi"/>
          <w:szCs w:val="24"/>
        </w:rPr>
      </w:pPr>
    </w:p>
    <w:p w14:paraId="53C793C6"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The self-provided loop (adopted)</w:t>
      </w:r>
    </w:p>
    <w:p w14:paraId="2A7CF6F6"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winning arm is a tool-call loop on deepseek-v4-pro (thinking mode, reasoning_effort=max) with: three-fold self-consistency voting; six logic rules; and three self-provided fields the model must state in every call - its molecular mechanism, its known RCD form(s), and the single form its role belongs to (role_form). Three self-consistency rules then check those statements: an executor-</w:t>
      </w:r>
      <w:r w:rsidRPr="00CD1CF5">
        <w:rPr>
          <w:rFonts w:asciiTheme="majorHAnsi" w:hAnsiTheme="majorHAnsi" w:cstheme="majorHAnsi"/>
          <w:szCs w:val="24"/>
        </w:rPr>
        <w:lastRenderedPageBreak/>
        <w:t>keyword rule, a form-mismatch rule, and a role-form-specificity rule. No external reference is used; the gene-form pairs are drawn from the matrix, but the loop never consults the matrix's stored role or direction columns, so its classification is independent of that reference.</w:t>
      </w:r>
    </w:p>
    <w:p w14:paraId="171B01A7" w14:textId="77777777" w:rsidR="00784529" w:rsidRPr="00CD1CF5" w:rsidRDefault="00784529" w:rsidP="00CD1CF5">
      <w:pPr>
        <w:spacing w:after="0" w:line="240" w:lineRule="auto"/>
        <w:rPr>
          <w:rFonts w:asciiTheme="majorHAnsi" w:hAnsiTheme="majorHAnsi" w:cstheme="majorHAnsi"/>
          <w:szCs w:val="24"/>
        </w:rPr>
      </w:pPr>
    </w:p>
    <w:p w14:paraId="021B25AF"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Results (same run, 26 pairs)</w:t>
      </w:r>
    </w:p>
    <w:tbl>
      <w:tblPr>
        <w:tblStyle w:val="GradeClara-nfase1"/>
        <w:tblW w:w="0" w:type="auto"/>
        <w:tblLook w:val="04A0" w:firstRow="1" w:lastRow="0" w:firstColumn="1" w:lastColumn="0" w:noHBand="0" w:noVBand="1"/>
      </w:tblPr>
      <w:tblGrid>
        <w:gridCol w:w="2137"/>
        <w:gridCol w:w="2132"/>
        <w:gridCol w:w="2132"/>
        <w:gridCol w:w="2128"/>
      </w:tblGrid>
      <w:tr w:rsidR="00A92B80" w:rsidRPr="00CD1CF5" w14:paraId="71853E8A" w14:textId="77777777" w:rsidTr="00A92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815F06"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Metric</w:t>
            </w:r>
          </w:p>
        </w:tc>
        <w:tc>
          <w:tcPr>
            <w:tcW w:w="2160" w:type="dxa"/>
          </w:tcPr>
          <w:p w14:paraId="0C2748B8" w14:textId="77777777" w:rsidR="00A92B80" w:rsidRPr="00CD1CF5" w:rsidRDefault="00000000"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deepseek-chat</w:t>
            </w:r>
          </w:p>
        </w:tc>
        <w:tc>
          <w:tcPr>
            <w:tcW w:w="2160" w:type="dxa"/>
          </w:tcPr>
          <w:p w14:paraId="5A1D75A9" w14:textId="77777777" w:rsidR="00A92B80" w:rsidRPr="00CD1CF5" w:rsidRDefault="00000000"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deepseek-reasoner</w:t>
            </w:r>
          </w:p>
        </w:tc>
        <w:tc>
          <w:tcPr>
            <w:tcW w:w="2160" w:type="dxa"/>
          </w:tcPr>
          <w:p w14:paraId="3737C4CA" w14:textId="77777777" w:rsidR="00A92B80" w:rsidRPr="00CD1CF5" w:rsidRDefault="00000000"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self-provided loop (v11)</w:t>
            </w:r>
          </w:p>
        </w:tc>
      </w:tr>
      <w:tr w:rsidR="00A92B80" w:rsidRPr="00CD1CF5" w14:paraId="60FE5B13"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BD2713"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Combined accuracy</w:t>
            </w:r>
          </w:p>
        </w:tc>
        <w:tc>
          <w:tcPr>
            <w:tcW w:w="2160" w:type="dxa"/>
          </w:tcPr>
          <w:p w14:paraId="3690CFF5"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21/26 (81%)</w:t>
            </w:r>
          </w:p>
        </w:tc>
        <w:tc>
          <w:tcPr>
            <w:tcW w:w="2160" w:type="dxa"/>
          </w:tcPr>
          <w:p w14:paraId="6C86AB7D"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19/26 (73%)</w:t>
            </w:r>
          </w:p>
        </w:tc>
        <w:tc>
          <w:tcPr>
            <w:tcW w:w="2160" w:type="dxa"/>
          </w:tcPr>
          <w:p w14:paraId="056DD12D"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26/26 (100%)</w:t>
            </w:r>
          </w:p>
        </w:tc>
      </w:tr>
      <w:tr w:rsidR="00A92B80" w:rsidRPr="00CD1CF5" w14:paraId="58EDA105"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F8DCCB"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EXECUTOR sensitivity</w:t>
            </w:r>
          </w:p>
        </w:tc>
        <w:tc>
          <w:tcPr>
            <w:tcW w:w="2160" w:type="dxa"/>
          </w:tcPr>
          <w:p w14:paraId="1E3B1903"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9/10 (90%)</w:t>
            </w:r>
          </w:p>
        </w:tc>
        <w:tc>
          <w:tcPr>
            <w:tcW w:w="2160" w:type="dxa"/>
          </w:tcPr>
          <w:p w14:paraId="5C3B4395"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6/10 (60%)</w:t>
            </w:r>
          </w:p>
        </w:tc>
        <w:tc>
          <w:tcPr>
            <w:tcW w:w="2160" w:type="dxa"/>
          </w:tcPr>
          <w:p w14:paraId="689C8D82"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10/10 (100%)</w:t>
            </w:r>
          </w:p>
        </w:tc>
      </w:tr>
      <w:tr w:rsidR="00A92B80" w:rsidRPr="00CD1CF5" w14:paraId="133B1613"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473321"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EXECUTOR precision</w:t>
            </w:r>
          </w:p>
        </w:tc>
        <w:tc>
          <w:tcPr>
            <w:tcW w:w="2160" w:type="dxa"/>
          </w:tcPr>
          <w:p w14:paraId="59814B8F"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9/11 (82%)</w:t>
            </w:r>
          </w:p>
        </w:tc>
        <w:tc>
          <w:tcPr>
            <w:tcW w:w="2160" w:type="dxa"/>
          </w:tcPr>
          <w:p w14:paraId="503C8D3B"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6/7 (86%)</w:t>
            </w:r>
          </w:p>
        </w:tc>
        <w:tc>
          <w:tcPr>
            <w:tcW w:w="2160" w:type="dxa"/>
          </w:tcPr>
          <w:p w14:paraId="3E02F9EF"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10/10 (100%)</w:t>
            </w:r>
          </w:p>
        </w:tc>
      </w:tr>
      <w:tr w:rsidR="00A92B80" w:rsidRPr="00CD1CF5" w14:paraId="12C3A95E"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CA9EFB"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REGULATOR sensitivity</w:t>
            </w:r>
          </w:p>
        </w:tc>
        <w:tc>
          <w:tcPr>
            <w:tcW w:w="2160" w:type="dxa"/>
          </w:tcPr>
          <w:p w14:paraId="6441F958"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7/8 (88%)</w:t>
            </w:r>
          </w:p>
        </w:tc>
        <w:tc>
          <w:tcPr>
            <w:tcW w:w="2160" w:type="dxa"/>
          </w:tcPr>
          <w:p w14:paraId="52078FF7"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7/8 (88%)</w:t>
            </w:r>
          </w:p>
        </w:tc>
        <w:tc>
          <w:tcPr>
            <w:tcW w:w="2160" w:type="dxa"/>
          </w:tcPr>
          <w:p w14:paraId="072ADF42"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8/8 (100%)</w:t>
            </w:r>
          </w:p>
        </w:tc>
      </w:tr>
      <w:tr w:rsidR="00A92B80" w:rsidRPr="00CD1CF5" w14:paraId="183524C8"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452C13"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REGULATOR precision</w:t>
            </w:r>
          </w:p>
        </w:tc>
        <w:tc>
          <w:tcPr>
            <w:tcW w:w="2160" w:type="dxa"/>
          </w:tcPr>
          <w:p w14:paraId="33B8C632"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7/10 (70%)</w:t>
            </w:r>
          </w:p>
        </w:tc>
        <w:tc>
          <w:tcPr>
            <w:tcW w:w="2160" w:type="dxa"/>
          </w:tcPr>
          <w:p w14:paraId="52983837"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7/13 (54%)</w:t>
            </w:r>
          </w:p>
        </w:tc>
        <w:tc>
          <w:tcPr>
            <w:tcW w:w="2160" w:type="dxa"/>
          </w:tcPr>
          <w:p w14:paraId="34B17DD5"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8/8 (100%)</w:t>
            </w:r>
          </w:p>
        </w:tc>
      </w:tr>
      <w:tr w:rsidR="00A92B80" w:rsidRPr="00CD1CF5" w14:paraId="5443F0B6"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D0BC4F"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Coherent rejection</w:t>
            </w:r>
          </w:p>
        </w:tc>
        <w:tc>
          <w:tcPr>
            <w:tcW w:w="2160" w:type="dxa"/>
          </w:tcPr>
          <w:p w14:paraId="67D5109E"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5/8 (62%)</w:t>
            </w:r>
          </w:p>
        </w:tc>
        <w:tc>
          <w:tcPr>
            <w:tcW w:w="2160" w:type="dxa"/>
          </w:tcPr>
          <w:p w14:paraId="73EB6924"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6/8 (75%)</w:t>
            </w:r>
          </w:p>
        </w:tc>
        <w:tc>
          <w:tcPr>
            <w:tcW w:w="2160" w:type="dxa"/>
          </w:tcPr>
          <w:p w14:paraId="292D91ED"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8/8 (100%)</w:t>
            </w:r>
          </w:p>
        </w:tc>
      </w:tr>
      <w:tr w:rsidR="00A92B80" w:rsidRPr="00CD1CF5" w14:paraId="3BB2DBF0"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76581F"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False positives</w:t>
            </w:r>
          </w:p>
        </w:tc>
        <w:tc>
          <w:tcPr>
            <w:tcW w:w="2160" w:type="dxa"/>
          </w:tcPr>
          <w:p w14:paraId="501F8D94"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3/8 (38%)</w:t>
            </w:r>
          </w:p>
        </w:tc>
        <w:tc>
          <w:tcPr>
            <w:tcW w:w="2160" w:type="dxa"/>
          </w:tcPr>
          <w:p w14:paraId="65874B51"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2/8 (25%)</w:t>
            </w:r>
          </w:p>
        </w:tc>
        <w:tc>
          <w:tcPr>
            <w:tcW w:w="2160" w:type="dxa"/>
          </w:tcPr>
          <w:p w14:paraId="1261597D"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0/8 (0%)</w:t>
            </w:r>
          </w:p>
        </w:tc>
      </w:tr>
      <w:tr w:rsidR="00A92B80" w:rsidRPr="00CD1CF5" w14:paraId="7939E71F"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AC639F"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Role-mech coherence</w:t>
            </w:r>
          </w:p>
        </w:tc>
        <w:tc>
          <w:tcPr>
            <w:tcW w:w="2160" w:type="dxa"/>
          </w:tcPr>
          <w:p w14:paraId="0B76B803"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23/26 (88%)</w:t>
            </w:r>
          </w:p>
        </w:tc>
        <w:tc>
          <w:tcPr>
            <w:tcW w:w="2160" w:type="dxa"/>
          </w:tcPr>
          <w:p w14:paraId="647DF81F"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26/26 (100%)</w:t>
            </w:r>
          </w:p>
        </w:tc>
        <w:tc>
          <w:tcPr>
            <w:tcW w:w="2160" w:type="dxa"/>
          </w:tcPr>
          <w:p w14:paraId="4FA49D78"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26/26 (100%)</w:t>
            </w:r>
          </w:p>
        </w:tc>
      </w:tr>
      <w:tr w:rsidR="00A92B80" w:rsidRPr="00CD1CF5" w14:paraId="4AA95765"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648AFF"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Direction accuracy</w:t>
            </w:r>
          </w:p>
        </w:tc>
        <w:tc>
          <w:tcPr>
            <w:tcW w:w="2160" w:type="dxa"/>
          </w:tcPr>
          <w:p w14:paraId="5535207E"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7/8 (88%)</w:t>
            </w:r>
          </w:p>
        </w:tc>
        <w:tc>
          <w:tcPr>
            <w:tcW w:w="2160" w:type="dxa"/>
          </w:tcPr>
          <w:p w14:paraId="722C6307"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8/8 (100%)</w:t>
            </w:r>
          </w:p>
        </w:tc>
        <w:tc>
          <w:tcPr>
            <w:tcW w:w="2160" w:type="dxa"/>
          </w:tcPr>
          <w:p w14:paraId="2BDFFAE8"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8/8 (100%)</w:t>
            </w:r>
          </w:p>
        </w:tc>
      </w:tr>
    </w:tbl>
    <w:p w14:paraId="5D8A919C" w14:textId="77777777" w:rsidR="00784529" w:rsidRPr="00CD1CF5" w:rsidRDefault="00784529" w:rsidP="00CD1CF5">
      <w:pPr>
        <w:pStyle w:val="Ttulo2"/>
        <w:spacing w:before="0" w:line="240" w:lineRule="auto"/>
        <w:rPr>
          <w:rFonts w:cstheme="majorHAnsi"/>
          <w:szCs w:val="24"/>
        </w:rPr>
      </w:pPr>
    </w:p>
    <w:p w14:paraId="2800F84C"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Conclusion</w:t>
      </w:r>
    </w:p>
    <w:p w14:paraId="4842414B"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self-provided governance loop achieved 100% combined accuracy, 100% sensitivity and precision on both roles, and zero false positives - exceeding both baselines on every metric, without any external reference. It was therefore adopted as the role-classification engine for the compendium.</w:t>
      </w:r>
    </w:p>
    <w:p w14:paraId="30CFB13D" w14:textId="77777777" w:rsidR="00DB4E22" w:rsidRPr="00CD1CF5" w:rsidRDefault="00DB4E22" w:rsidP="00CD1CF5">
      <w:pPr>
        <w:pStyle w:val="Ttulo2"/>
        <w:spacing w:before="0" w:line="240" w:lineRule="auto"/>
        <w:rPr>
          <w:rFonts w:cstheme="majorHAnsi"/>
          <w:szCs w:val="24"/>
        </w:rPr>
      </w:pPr>
    </w:p>
    <w:p w14:paraId="2ACF4694"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Code</w:t>
      </w:r>
    </w:p>
    <w:p w14:paraId="6CD3784D"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cot_benchmark.py (v1) -&gt; v2 -&gt; v3 (loop) -&gt; v4 (self-consistency + rules) -&gt; v5 (coherence) -&gt; v6 (executor-keyword) -&gt; v7 (form-mismatch, with reference) -&gt; v8 (agnostic) -&gt; v9 (self-provided mechanism/known_forms) -&gt; v10 (role_form) -&gt; v11 (broadened executor words). All scripts reside in the "extraction code snippets" directory.</w:t>
      </w:r>
    </w:p>
    <w:p w14:paraId="07BB0854" w14:textId="77777777" w:rsidR="00DB4E22" w:rsidRPr="00CD1CF5" w:rsidRDefault="00DB4E22" w:rsidP="00CD1CF5">
      <w:pPr>
        <w:pStyle w:val="Ttulo2"/>
        <w:spacing w:before="0" w:line="240" w:lineRule="auto"/>
        <w:rPr>
          <w:rFonts w:cstheme="majorHAnsi"/>
          <w:szCs w:val="24"/>
        </w:rPr>
      </w:pPr>
    </w:p>
    <w:p w14:paraId="2D3B36CA"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Chain-of-thought full-run benchmark (deepseek-v4-pro + self-governance loop)</w:t>
      </w:r>
    </w:p>
    <w:p w14:paraId="53B1A6AB"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Before the full-matrix run, the same 26 ground-truth pairs (10 executors, 8 regulators, 8 negative controls) were re-benchmarked against the production classifier — deepseek-v4-pro with thinking enabled, the verify-role self-governance loop, and the role-form specificity gate. The gate rejects a mechanistic-YES verdict whenever the model’s self-stated role-form does not match the queried RCD form, targeting the form-over-generalization false positives (GPX4/Pyroptosis and MLKL/Apoptosis) that persisted in earlier iterations.</w:t>
      </w:r>
    </w:p>
    <w:p w14:paraId="6153CC4E"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lastRenderedPageBreak/>
        <w:t>Results: the production classifier reached 26/26 (100%) combined accuracy and 0/8 (0%) false positives, against 2 false positives for deepseek-chat and 2 for deepseek-reasoner on the same set.</w:t>
      </w:r>
    </w:p>
    <w:p w14:paraId="66D1B289" w14:textId="77777777" w:rsidR="00DB4E22" w:rsidRPr="00CD1CF5" w:rsidRDefault="00DB4E22" w:rsidP="00CD1CF5">
      <w:pPr>
        <w:pStyle w:val="Ttulo1"/>
        <w:spacing w:before="0" w:line="240" w:lineRule="auto"/>
        <w:rPr>
          <w:rFonts w:cstheme="majorHAnsi"/>
          <w:sz w:val="24"/>
          <w:szCs w:val="24"/>
        </w:rPr>
      </w:pPr>
    </w:p>
    <w:p w14:paraId="15BB28AF" w14:textId="77777777" w:rsidR="00A92B80" w:rsidRPr="00CD1CF5" w:rsidRDefault="00BB22A7" w:rsidP="00CD1CF5">
      <w:pPr>
        <w:pStyle w:val="Ttulo1"/>
        <w:spacing w:before="0" w:line="240" w:lineRule="auto"/>
        <w:rPr>
          <w:rFonts w:cstheme="majorHAnsi"/>
          <w:sz w:val="24"/>
          <w:szCs w:val="24"/>
        </w:rPr>
      </w:pPr>
      <w:r w:rsidRPr="00CD1CF5">
        <w:rPr>
          <w:rFonts w:cstheme="majorHAnsi"/>
          <w:sz w:val="24"/>
          <w:szCs w:val="24"/>
        </w:rPr>
        <w:t>Supplementary Note S3</w:t>
      </w:r>
      <w:r w:rsidR="001069E6">
        <w:rPr>
          <w:rFonts w:cstheme="majorHAnsi"/>
          <w:sz w:val="24"/>
          <w:szCs w:val="24"/>
        </w:rPr>
        <w:t xml:space="preserve"> -</w:t>
      </w:r>
      <w:r w:rsidRPr="00CD1CF5">
        <w:rPr>
          <w:rFonts w:cstheme="majorHAnsi"/>
          <w:sz w:val="24"/>
          <w:szCs w:val="24"/>
        </w:rPr>
        <w:t xml:space="preserve"> RCDome: Consensus API Classification Benchmark: </w:t>
      </w:r>
    </w:p>
    <w:p w14:paraId="48147F2A"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This note documents the design and results of the Consensus API classification benchmark, which tuned the Consensus evidence-channel classifier against the same 26 ground-truth pairs used for the DeepSeek model-selection benchmark (Supplementary Note S2).</w:t>
      </w:r>
    </w:p>
    <w:p w14:paraId="555F53EF" w14:textId="77777777" w:rsidR="00DB4E22" w:rsidRPr="00CD1CF5" w:rsidRDefault="00DB4E22" w:rsidP="00CD1CF5">
      <w:pPr>
        <w:pStyle w:val="Ttulo2"/>
        <w:spacing w:before="0" w:line="240" w:lineRule="auto"/>
        <w:rPr>
          <w:rFonts w:cstheme="majorHAnsi"/>
          <w:szCs w:val="24"/>
        </w:rPr>
      </w:pPr>
    </w:p>
    <w:p w14:paraId="4523E452"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Design</w:t>
      </w:r>
    </w:p>
    <w:p w14:paraId="0CFAF83B"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Twenty-six well-established gene–RCD pairs (10 executors, 8 regulators, 8 negative controls) served as ground truth. Seven iterations (v1–v7) tested query formulations: v1–v4 tested reference-query formulations; v5 combined reference and agnostic queries; v6 mirrored the DeepSeek self-governance loop; v7 introduced the neutral-query rule — the gene symbol followed only by “cell death” — removing form-name priming.</w:t>
      </w:r>
    </w:p>
    <w:p w14:paraId="1311AC21" w14:textId="77777777" w:rsidR="00DB4E22" w:rsidRPr="00CD1CF5" w:rsidRDefault="00DB4E22" w:rsidP="00CD1CF5">
      <w:pPr>
        <w:pStyle w:val="Ttulo2"/>
        <w:spacing w:before="0" w:line="240" w:lineRule="auto"/>
        <w:rPr>
          <w:rFonts w:cstheme="majorHAnsi"/>
          <w:szCs w:val="24"/>
        </w:rPr>
      </w:pPr>
    </w:p>
    <w:p w14:paraId="28052669"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Results</w:t>
      </w:r>
    </w:p>
    <w:p w14:paraId="689F5B5D"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neutral-query rule (v7) reached 26/26 (100%) combined accuracy and 0/8 (0%) false positives, against 1/8 false positives for v6 (mechanistic 25/26; role 17/26). The neutral-query rule was therefore adopted for the full Consensus extraction.</w:t>
      </w:r>
    </w:p>
    <w:p w14:paraId="4480FB17" w14:textId="77777777" w:rsidR="00DB4E22" w:rsidRPr="00CD1CF5" w:rsidRDefault="00DB4E22" w:rsidP="00CD1CF5">
      <w:pPr>
        <w:spacing w:after="0" w:line="240" w:lineRule="auto"/>
        <w:rPr>
          <w:rFonts w:asciiTheme="majorHAnsi" w:hAnsiTheme="majorHAnsi" w:cstheme="majorHAnsi"/>
          <w:szCs w:val="24"/>
        </w:rPr>
      </w:pPr>
    </w:p>
    <w:tbl>
      <w:tblPr>
        <w:tblStyle w:val="GradeClara-nfase1"/>
        <w:tblW w:w="0" w:type="auto"/>
        <w:tblLook w:val="04A0" w:firstRow="1" w:lastRow="0" w:firstColumn="1" w:lastColumn="0" w:noHBand="0" w:noVBand="1"/>
      </w:tblPr>
      <w:tblGrid>
        <w:gridCol w:w="2840"/>
        <w:gridCol w:w="2846"/>
        <w:gridCol w:w="2843"/>
      </w:tblGrid>
      <w:tr w:rsidR="00A92B80" w:rsidRPr="00CD1CF5" w14:paraId="31B08710" w14:textId="77777777" w:rsidTr="00A92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2D884F"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Iteration</w:t>
            </w:r>
          </w:p>
        </w:tc>
        <w:tc>
          <w:tcPr>
            <w:tcW w:w="2880" w:type="dxa"/>
          </w:tcPr>
          <w:p w14:paraId="24D30835" w14:textId="77777777" w:rsidR="00A92B80" w:rsidRPr="00CD1CF5" w:rsidRDefault="00000000"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Combined accuracy</w:t>
            </w:r>
          </w:p>
        </w:tc>
        <w:tc>
          <w:tcPr>
            <w:tcW w:w="2880" w:type="dxa"/>
          </w:tcPr>
          <w:p w14:paraId="4EEE93FF" w14:textId="77777777" w:rsidR="00A92B80" w:rsidRPr="00CD1CF5" w:rsidRDefault="00000000"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False positives (of 8 negatives)</w:t>
            </w:r>
          </w:p>
        </w:tc>
      </w:tr>
      <w:tr w:rsidR="00A92B80" w:rsidRPr="00CD1CF5" w14:paraId="3066EC0D"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3A3A17"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v6</w:t>
            </w:r>
          </w:p>
        </w:tc>
        <w:tc>
          <w:tcPr>
            <w:tcW w:w="2880" w:type="dxa"/>
          </w:tcPr>
          <w:p w14:paraId="40D376EC"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mechanistic 25/26 (role 17/26)</w:t>
            </w:r>
          </w:p>
        </w:tc>
        <w:tc>
          <w:tcPr>
            <w:tcW w:w="2880" w:type="dxa"/>
          </w:tcPr>
          <w:p w14:paraId="0B860B29"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1/8</w:t>
            </w:r>
          </w:p>
        </w:tc>
      </w:tr>
      <w:tr w:rsidR="00A92B80" w:rsidRPr="00CD1CF5" w14:paraId="2DBC6DF9"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7A857D"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v7 (neutral query)</w:t>
            </w:r>
          </w:p>
        </w:tc>
        <w:tc>
          <w:tcPr>
            <w:tcW w:w="2880" w:type="dxa"/>
          </w:tcPr>
          <w:p w14:paraId="325FF34A"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26/26 (100%)</w:t>
            </w:r>
          </w:p>
        </w:tc>
        <w:tc>
          <w:tcPr>
            <w:tcW w:w="2880" w:type="dxa"/>
          </w:tcPr>
          <w:p w14:paraId="2605207F"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0/8 (0%)</w:t>
            </w:r>
          </w:p>
        </w:tc>
      </w:tr>
    </w:tbl>
    <w:p w14:paraId="30D3A806" w14:textId="77777777" w:rsidR="00DB4E22" w:rsidRPr="00CD1CF5" w:rsidRDefault="00DB4E22" w:rsidP="00CD1CF5">
      <w:pPr>
        <w:spacing w:after="0" w:line="240" w:lineRule="auto"/>
        <w:rPr>
          <w:rFonts w:asciiTheme="majorHAnsi" w:hAnsiTheme="majorHAnsi" w:cstheme="majorHAnsi"/>
          <w:szCs w:val="24"/>
        </w:rPr>
      </w:pPr>
    </w:p>
    <w:p w14:paraId="42E1BB5B" w14:textId="77777777" w:rsidR="00BB22A7" w:rsidRPr="00CD1CF5" w:rsidRDefault="00BB22A7" w:rsidP="00CD1CF5">
      <w:pPr>
        <w:pStyle w:val="Ttulo1"/>
        <w:spacing w:before="0" w:line="240" w:lineRule="auto"/>
        <w:rPr>
          <w:rFonts w:cstheme="majorHAnsi"/>
          <w:sz w:val="24"/>
          <w:szCs w:val="24"/>
        </w:rPr>
      </w:pPr>
    </w:p>
    <w:p w14:paraId="68DD6F58"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 xml:space="preserve">Supplementary Note S4 </w:t>
      </w:r>
      <w:r w:rsidR="001069E6">
        <w:rPr>
          <w:rFonts w:cstheme="majorHAnsi"/>
          <w:color w:val="auto"/>
          <w:szCs w:val="24"/>
        </w:rPr>
        <w:t>-</w:t>
      </w:r>
      <w:r w:rsidRPr="00CD1CF5">
        <w:rPr>
          <w:rFonts w:cstheme="majorHAnsi"/>
          <w:color w:val="auto"/>
          <w:szCs w:val="24"/>
        </w:rPr>
        <w:t xml:space="preserve"> Canonicalization Logic and Separation from Biological Modality Status</w:t>
      </w:r>
    </w:p>
    <w:p w14:paraId="12056248"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Purpose</w:t>
      </w:r>
    </w:p>
    <w:p w14:paraId="7398196D"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This note defines the term </w:t>
      </w:r>
      <w:r w:rsidRPr="00CD1CF5">
        <w:rPr>
          <w:rFonts w:asciiTheme="majorHAnsi" w:hAnsiTheme="majorHAnsi" w:cstheme="majorHAnsi"/>
          <w:i/>
          <w:color w:val="auto"/>
          <w:szCs w:val="24"/>
        </w:rPr>
        <w:t>"canonicalized RCD-related entity"</w:t>
      </w:r>
      <w:r w:rsidRPr="00CD1CF5">
        <w:rPr>
          <w:rFonts w:asciiTheme="majorHAnsi" w:hAnsiTheme="majorHAnsi" w:cstheme="majorHAnsi"/>
          <w:color w:val="auto"/>
          <w:szCs w:val="24"/>
        </w:rPr>
        <w:t xml:space="preserve"> as used throughout RCDome, and explains why vocabulary canonicalization must be kept rigorously distinct from biological recognition of an entity as a canonical or bona fide regulated cell-death (RCD) modality.</w:t>
      </w:r>
    </w:p>
    <w:p w14:paraId="2D14706C"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1. What canonicalization means in RCDome</w:t>
      </w:r>
    </w:p>
    <w:p w14:paraId="0429A299"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RCDome consolidates gene–RCD association records recovered from 20 heterogeneous sources — curated databases, pathway resources, omic-annotation compendia, and literature-mining channels — each using its own nomenclature. A single biological concept therefore arrives under multiple names (e.g., </w:t>
      </w:r>
      <w:r w:rsidRPr="00CD1CF5">
        <w:rPr>
          <w:rFonts w:asciiTheme="majorHAnsi" w:hAnsiTheme="majorHAnsi" w:cstheme="majorHAnsi"/>
          <w:i/>
          <w:color w:val="auto"/>
          <w:szCs w:val="24"/>
        </w:rPr>
        <w:t>"Entotic-cell-death"</w:t>
      </w:r>
      <w:r w:rsidRPr="00CD1CF5">
        <w:rPr>
          <w:rFonts w:asciiTheme="majorHAnsi" w:hAnsiTheme="majorHAnsi" w:cstheme="majorHAnsi"/>
          <w:color w:val="auto"/>
          <w:szCs w:val="24"/>
        </w:rPr>
        <w:t xml:space="preserve">, </w:t>
      </w:r>
      <w:r w:rsidRPr="00CD1CF5">
        <w:rPr>
          <w:rFonts w:asciiTheme="majorHAnsi" w:hAnsiTheme="majorHAnsi" w:cstheme="majorHAnsi"/>
          <w:i/>
          <w:color w:val="auto"/>
          <w:szCs w:val="24"/>
        </w:rPr>
        <w:t>"Entotic cell death"</w:t>
      </w:r>
      <w:r w:rsidRPr="00CD1CF5">
        <w:rPr>
          <w:rFonts w:asciiTheme="majorHAnsi" w:hAnsiTheme="majorHAnsi" w:cstheme="majorHAnsi"/>
          <w:color w:val="auto"/>
          <w:szCs w:val="24"/>
        </w:rPr>
        <w:t xml:space="preserve">, and </w:t>
      </w:r>
      <w:r w:rsidRPr="00CD1CF5">
        <w:rPr>
          <w:rFonts w:asciiTheme="majorHAnsi" w:hAnsiTheme="majorHAnsi" w:cstheme="majorHAnsi"/>
          <w:i/>
          <w:color w:val="auto"/>
          <w:szCs w:val="24"/>
        </w:rPr>
        <w:t>"Entosis"</w:t>
      </w:r>
      <w:r w:rsidRPr="00CD1CF5">
        <w:rPr>
          <w:rFonts w:asciiTheme="majorHAnsi" w:hAnsiTheme="majorHAnsi" w:cstheme="majorHAnsi"/>
          <w:color w:val="auto"/>
          <w:szCs w:val="24"/>
        </w:rPr>
        <w:t xml:space="preserve"> for the same entity).</w:t>
      </w:r>
    </w:p>
    <w:p w14:paraId="4C4F865F"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b/>
          <w:color w:val="auto"/>
          <w:szCs w:val="24"/>
        </w:rPr>
        <w:lastRenderedPageBreak/>
        <w:t>Canonicalization</w:t>
      </w:r>
      <w:r w:rsidRPr="00CD1CF5">
        <w:rPr>
          <w:rFonts w:asciiTheme="majorHAnsi" w:hAnsiTheme="majorHAnsi" w:cstheme="majorHAnsi"/>
          <w:color w:val="auto"/>
          <w:szCs w:val="24"/>
        </w:rPr>
        <w:t xml:space="preserve"> is the vocabulary operation that maps these heterogeneous source terms onto a single preferred RCDome identifier while the original source term is preserved in a parallel field (`</w:t>
      </w:r>
      <w:proofErr w:type="spellStart"/>
      <w:r w:rsidRPr="00CD1CF5">
        <w:rPr>
          <w:rFonts w:asciiTheme="majorHAnsi" w:hAnsiTheme="majorHAnsi" w:cstheme="majorHAnsi"/>
          <w:color w:val="auto"/>
          <w:szCs w:val="24"/>
        </w:rPr>
        <w:t>rcd_form</w:t>
      </w:r>
      <w:proofErr w:type="spellEnd"/>
      <w:r w:rsidRPr="00CD1CF5">
        <w:rPr>
          <w:rFonts w:asciiTheme="majorHAnsi" w:hAnsiTheme="majorHAnsi" w:cstheme="majorHAnsi"/>
          <w:color w:val="auto"/>
          <w:szCs w:val="24"/>
        </w:rPr>
        <w:t>`, alongside the normalized identifier `</w:t>
      </w:r>
      <w:proofErr w:type="spellStart"/>
      <w:r w:rsidRPr="00CD1CF5">
        <w:rPr>
          <w:rFonts w:asciiTheme="majorHAnsi" w:hAnsiTheme="majorHAnsi" w:cstheme="majorHAnsi"/>
          <w:color w:val="auto"/>
          <w:szCs w:val="24"/>
        </w:rPr>
        <w:t>rcd_form_canonical</w:t>
      </w:r>
      <w:proofErr w:type="spellEnd"/>
      <w:r w:rsidRPr="00CD1CF5">
        <w:rPr>
          <w:rFonts w:asciiTheme="majorHAnsi" w:hAnsiTheme="majorHAnsi" w:cstheme="majorHAnsi"/>
          <w:color w:val="auto"/>
          <w:szCs w:val="24"/>
        </w:rPr>
        <w:t xml:space="preserve">`). The result is a controlled vocabulary of </w:t>
      </w:r>
      <w:r w:rsidRPr="00CD1CF5">
        <w:rPr>
          <w:rFonts w:asciiTheme="majorHAnsi" w:hAnsiTheme="majorHAnsi" w:cstheme="majorHAnsi"/>
          <w:b/>
          <w:color w:val="auto"/>
          <w:szCs w:val="24"/>
        </w:rPr>
        <w:t>53 canonicalized RCD-related entities</w:t>
      </w:r>
      <w:r w:rsidRPr="00CD1CF5">
        <w:rPr>
          <w:rFonts w:asciiTheme="majorHAnsi" w:hAnsiTheme="majorHAnsi" w:cstheme="majorHAnsi"/>
          <w:color w:val="auto"/>
          <w:szCs w:val="24"/>
        </w:rPr>
        <w:t>.</w:t>
      </w:r>
    </w:p>
    <w:p w14:paraId="21E2CC98"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Canonicalization is therefore an </w:t>
      </w:r>
      <w:r w:rsidRPr="00CD1CF5">
        <w:rPr>
          <w:rFonts w:asciiTheme="majorHAnsi" w:hAnsiTheme="majorHAnsi" w:cstheme="majorHAnsi"/>
          <w:b/>
          <w:color w:val="auto"/>
          <w:szCs w:val="24"/>
        </w:rPr>
        <w:t>informatics operation on nomenclature</w:t>
      </w:r>
      <w:r w:rsidRPr="00CD1CF5">
        <w:rPr>
          <w:rFonts w:asciiTheme="majorHAnsi" w:hAnsiTheme="majorHAnsi" w:cstheme="majorHAnsi"/>
          <w:color w:val="auto"/>
          <w:szCs w:val="24"/>
        </w:rPr>
        <w:t>, not a biological verdict.</w:t>
      </w:r>
    </w:p>
    <w:p w14:paraId="14CFB425"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2. What canonicalization does NOT mean</w:t>
      </w:r>
    </w:p>
    <w:p w14:paraId="7F3EA982"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Canonicalization does not imply that an entity is:</w:t>
      </w:r>
    </w:p>
    <w:p w14:paraId="21F9D7AA"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a canonical or established human cell-death modality;</w:t>
      </w:r>
    </w:p>
    <w:p w14:paraId="08D35CEB"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mechanistically independent;</w:t>
      </w:r>
    </w:p>
    <w:p w14:paraId="2FA053C7"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validated in human cells;</w:t>
      </w:r>
    </w:p>
    <w:p w14:paraId="34BAB9CF"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accepted by the Nomenclature Committee on Cell Death (NCCD);</w:t>
      </w:r>
    </w:p>
    <w:p w14:paraId="7A76FCBB"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supported by a causal execution machinery; or</w:t>
      </w:r>
    </w:p>
    <w:p w14:paraId="41CA9D86"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equivalent in evidence maturity to apoptosis, necroptosis, ferroptosis, or pyroptosis.</w:t>
      </w:r>
    </w:p>
    <w:p w14:paraId="150A06CF"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Membership in the controlled vocabulary records only that the entity's terminology has been normalized into RCDome. Biological and ontological status is adjudicated separately and independently.</w:t>
      </w:r>
    </w:p>
    <w:p w14:paraId="3CB3E09B"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3. Terminology hierarchy</w:t>
      </w:r>
    </w:p>
    <w:p w14:paraId="5BBC76FE"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Four terms are used deliberately, with distinct meanings:</w:t>
      </w:r>
    </w:p>
    <w:p w14:paraId="682DE28F"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1. </w:t>
      </w:r>
      <w:r w:rsidRPr="00CD1CF5">
        <w:rPr>
          <w:rFonts w:asciiTheme="majorHAnsi" w:hAnsiTheme="majorHAnsi" w:cstheme="majorHAnsi"/>
          <w:b/>
          <w:color w:val="auto"/>
          <w:szCs w:val="24"/>
        </w:rPr>
        <w:t>Canonicalized RCD-related entity</w:t>
      </w:r>
      <w:r w:rsidRPr="00CD1CF5">
        <w:rPr>
          <w:rFonts w:asciiTheme="majorHAnsi" w:hAnsiTheme="majorHAnsi" w:cstheme="majorHAnsi"/>
          <w:color w:val="auto"/>
          <w:szCs w:val="24"/>
        </w:rPr>
        <w:t xml:space="preserve"> — one of the 53 preferred vocabulary identifiers produced by normalization and consolidation of heterogeneous source terminology. This is a vocabulary-normalization statement.</w:t>
      </w:r>
    </w:p>
    <w:p w14:paraId="4359848E"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2. </w:t>
      </w:r>
      <w:r w:rsidRPr="00CD1CF5">
        <w:rPr>
          <w:rFonts w:asciiTheme="majorHAnsi" w:hAnsiTheme="majorHAnsi" w:cstheme="majorHAnsi"/>
          <w:b/>
          <w:color w:val="auto"/>
          <w:szCs w:val="24"/>
        </w:rPr>
        <w:t>RCD-related entity</w:t>
      </w:r>
      <w:r w:rsidRPr="00CD1CF5">
        <w:rPr>
          <w:rFonts w:asciiTheme="majorHAnsi" w:hAnsiTheme="majorHAnsi" w:cstheme="majorHAnsi"/>
          <w:color w:val="auto"/>
          <w:szCs w:val="24"/>
        </w:rPr>
        <w:t xml:space="preserve"> — the neutral umbrella term for any member of the 53-entity controlled vocabulary, used when the normalization history is not the point of the sentence.</w:t>
      </w:r>
    </w:p>
    <w:p w14:paraId="5C3F180C"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3. </w:t>
      </w:r>
      <w:r w:rsidRPr="00CD1CF5">
        <w:rPr>
          <w:rFonts w:asciiTheme="majorHAnsi" w:hAnsiTheme="majorHAnsi" w:cstheme="majorHAnsi"/>
          <w:b/>
          <w:color w:val="auto"/>
          <w:szCs w:val="24"/>
        </w:rPr>
        <w:t>Bona fide RCD modality</w:t>
      </w:r>
      <w:r w:rsidRPr="00CD1CF5">
        <w:rPr>
          <w:rFonts w:asciiTheme="majorHAnsi" w:hAnsiTheme="majorHAnsi" w:cstheme="majorHAnsi"/>
          <w:color w:val="auto"/>
          <w:szCs w:val="24"/>
        </w:rPr>
        <w:t xml:space="preserve"> — an entity admitted to level L1 through the RCDome G0–G6 hard-gate framework (identifiable causal machinery and functional necessity/distinguishability). In the current adjudicated ontology, </w:t>
      </w:r>
      <w:r w:rsidRPr="00CD1CF5">
        <w:rPr>
          <w:rFonts w:asciiTheme="majorHAnsi" w:hAnsiTheme="majorHAnsi" w:cstheme="majorHAnsi"/>
          <w:b/>
          <w:color w:val="auto"/>
          <w:szCs w:val="24"/>
        </w:rPr>
        <w:t>16 of the 53</w:t>
      </w:r>
      <w:r w:rsidRPr="00CD1CF5">
        <w:rPr>
          <w:rFonts w:asciiTheme="majorHAnsi" w:hAnsiTheme="majorHAnsi" w:cstheme="majorHAnsi"/>
          <w:color w:val="auto"/>
          <w:szCs w:val="24"/>
        </w:rPr>
        <w:t xml:space="preserve"> entities satisfy this criterion.</w:t>
      </w:r>
    </w:p>
    <w:p w14:paraId="7B8A63BD"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4. </w:t>
      </w:r>
      <w:r w:rsidRPr="00CD1CF5">
        <w:rPr>
          <w:rFonts w:asciiTheme="majorHAnsi" w:hAnsiTheme="majorHAnsi" w:cstheme="majorHAnsi"/>
          <w:b/>
          <w:color w:val="auto"/>
          <w:szCs w:val="24"/>
        </w:rPr>
        <w:t>Canonical RCD modality</w:t>
      </w:r>
      <w:r w:rsidRPr="00CD1CF5">
        <w:rPr>
          <w:rFonts w:asciiTheme="majorHAnsi" w:hAnsiTheme="majorHAnsi" w:cstheme="majorHAnsi"/>
          <w:color w:val="auto"/>
          <w:szCs w:val="24"/>
        </w:rPr>
        <w:t xml:space="preserve"> — reserved for contexts that genuinely require a claim of biological establishment or authoritative mechanistic recognition, and only where that claim is supported by the evidence. This term is never used merely because an entity has been canonicalized in RCDome.</w:t>
      </w:r>
    </w:p>
    <w:p w14:paraId="072152A2"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4. The 53 ↔ 16 relationship</w:t>
      </w:r>
    </w:p>
    <w:p w14:paraId="246BC5D4"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The 53 canonicalized RCD-related entities span five ontological levels:</w:t>
      </w:r>
    </w:p>
    <w:p w14:paraId="5591199A" w14:textId="77777777" w:rsidR="00BB22A7" w:rsidRPr="00CD1CF5" w:rsidRDefault="00BB22A7" w:rsidP="00CD1CF5">
      <w:pPr>
        <w:spacing w:line="240" w:lineRule="auto"/>
        <w:rPr>
          <w:rFonts w:asciiTheme="majorHAnsi" w:hAnsiTheme="majorHAnsi" w:cstheme="majorHAnsi"/>
          <w:color w:val="auto"/>
          <w:szCs w:val="24"/>
          <w:lang w:val="fr-029"/>
        </w:rPr>
      </w:pPr>
      <w:r w:rsidRPr="00CD1CF5">
        <w:rPr>
          <w:rFonts w:asciiTheme="majorHAnsi" w:hAnsiTheme="majorHAnsi" w:cstheme="majorHAnsi"/>
          <w:color w:val="auto"/>
          <w:szCs w:val="24"/>
          <w:lang w:val="fr-029"/>
        </w:rPr>
        <w:lastRenderedPageBreak/>
        <w:t xml:space="preserve">• </w:t>
      </w:r>
      <w:r w:rsidRPr="00CD1CF5">
        <w:rPr>
          <w:rFonts w:asciiTheme="majorHAnsi" w:hAnsiTheme="majorHAnsi" w:cstheme="majorHAnsi"/>
          <w:b/>
          <w:color w:val="auto"/>
          <w:szCs w:val="24"/>
          <w:lang w:val="fr-029"/>
        </w:rPr>
        <w:t>16</w:t>
      </w:r>
      <w:r w:rsidRPr="00CD1CF5">
        <w:rPr>
          <w:rFonts w:asciiTheme="majorHAnsi" w:hAnsiTheme="majorHAnsi" w:cstheme="majorHAnsi"/>
          <w:color w:val="auto"/>
          <w:szCs w:val="24"/>
          <w:lang w:val="fr-029"/>
        </w:rPr>
        <w:t xml:space="preserve"> </w:t>
      </w:r>
      <w:proofErr w:type="spellStart"/>
      <w:r w:rsidRPr="00CD1CF5">
        <w:rPr>
          <w:rFonts w:asciiTheme="majorHAnsi" w:hAnsiTheme="majorHAnsi" w:cstheme="majorHAnsi"/>
          <w:color w:val="auto"/>
          <w:szCs w:val="24"/>
          <w:lang w:val="fr-029"/>
        </w:rPr>
        <w:t>bona</w:t>
      </w:r>
      <w:proofErr w:type="spellEnd"/>
      <w:r w:rsidRPr="00CD1CF5">
        <w:rPr>
          <w:rFonts w:asciiTheme="majorHAnsi" w:hAnsiTheme="majorHAnsi" w:cstheme="majorHAnsi"/>
          <w:color w:val="auto"/>
          <w:szCs w:val="24"/>
          <w:lang w:val="fr-029"/>
        </w:rPr>
        <w:t xml:space="preserve"> </w:t>
      </w:r>
      <w:proofErr w:type="spellStart"/>
      <w:r w:rsidRPr="00CD1CF5">
        <w:rPr>
          <w:rFonts w:asciiTheme="majorHAnsi" w:hAnsiTheme="majorHAnsi" w:cstheme="majorHAnsi"/>
          <w:color w:val="auto"/>
          <w:szCs w:val="24"/>
          <w:lang w:val="fr-029"/>
        </w:rPr>
        <w:t>fide</w:t>
      </w:r>
      <w:proofErr w:type="spellEnd"/>
      <w:r w:rsidRPr="00CD1CF5">
        <w:rPr>
          <w:rFonts w:asciiTheme="majorHAnsi" w:hAnsiTheme="majorHAnsi" w:cstheme="majorHAnsi"/>
          <w:color w:val="auto"/>
          <w:szCs w:val="24"/>
          <w:lang w:val="fr-029"/>
        </w:rPr>
        <w:t xml:space="preserve"> RCD </w:t>
      </w:r>
      <w:proofErr w:type="spellStart"/>
      <w:r w:rsidRPr="00CD1CF5">
        <w:rPr>
          <w:rFonts w:asciiTheme="majorHAnsi" w:hAnsiTheme="majorHAnsi" w:cstheme="majorHAnsi"/>
          <w:color w:val="auto"/>
          <w:szCs w:val="24"/>
          <w:lang w:val="fr-029"/>
        </w:rPr>
        <w:t>modalities</w:t>
      </w:r>
      <w:proofErr w:type="spellEnd"/>
      <w:r w:rsidRPr="00CD1CF5">
        <w:rPr>
          <w:rFonts w:asciiTheme="majorHAnsi" w:hAnsiTheme="majorHAnsi" w:cstheme="majorHAnsi"/>
          <w:color w:val="auto"/>
          <w:szCs w:val="24"/>
          <w:lang w:val="fr-029"/>
        </w:rPr>
        <w:t xml:space="preserve"> (L1);</w:t>
      </w:r>
    </w:p>
    <w:p w14:paraId="3A8FFCA4" w14:textId="77777777" w:rsidR="0070721A" w:rsidRDefault="00000000">
      <w:r>
        <w:t>The relationship between the 16 L1 modalities and the NCCD’s 20 canonical definitions is assessed in Methods (“Relationship to the NCCD canonical ontology”).</w:t>
      </w:r>
    </w:p>
    <w:p w14:paraId="40DBF54C"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5</w:t>
      </w:r>
      <w:r w:rsidRPr="00CD1CF5">
        <w:rPr>
          <w:rFonts w:asciiTheme="majorHAnsi" w:hAnsiTheme="majorHAnsi" w:cstheme="majorHAnsi"/>
          <w:color w:val="auto"/>
          <w:szCs w:val="24"/>
        </w:rPr>
        <w:t xml:space="preserve"> subtypes (L2);</w:t>
      </w:r>
    </w:p>
    <w:p w14:paraId="515E36A8"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2</w:t>
      </w:r>
      <w:r w:rsidRPr="00CD1CF5">
        <w:rPr>
          <w:rFonts w:asciiTheme="majorHAnsi" w:hAnsiTheme="majorHAnsi" w:cstheme="majorHAnsi"/>
          <w:color w:val="auto"/>
          <w:szCs w:val="24"/>
        </w:rPr>
        <w:t xml:space="preserve"> triggers (L3);</w:t>
      </w:r>
    </w:p>
    <w:p w14:paraId="2663A0E7"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11</w:t>
      </w:r>
      <w:r w:rsidRPr="00CD1CF5">
        <w:rPr>
          <w:rFonts w:asciiTheme="majorHAnsi" w:hAnsiTheme="majorHAnsi" w:cstheme="majorHAnsi"/>
          <w:color w:val="auto"/>
          <w:szCs w:val="24"/>
        </w:rPr>
        <w:t xml:space="preserve"> functional/contextual categories (L4);</w:t>
      </w:r>
    </w:p>
    <w:p w14:paraId="57207789"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19</w:t>
      </w:r>
      <w:r w:rsidRPr="00CD1CF5">
        <w:rPr>
          <w:rFonts w:asciiTheme="majorHAnsi" w:hAnsiTheme="majorHAnsi" w:cstheme="majorHAnsi"/>
          <w:color w:val="auto"/>
          <w:szCs w:val="24"/>
        </w:rPr>
        <w:t xml:space="preserve"> generic/umbrella/generic/umbrella/taxon concepts (L5).</w:t>
      </w:r>
    </w:p>
    <w:p w14:paraId="1396B6C3"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Thus the headline count of 53 is a count of </w:t>
      </w:r>
      <w:r w:rsidRPr="00CD1CF5">
        <w:rPr>
          <w:rFonts w:asciiTheme="majorHAnsi" w:hAnsiTheme="majorHAnsi" w:cstheme="majorHAnsi"/>
          <w:b/>
          <w:color w:val="auto"/>
          <w:szCs w:val="24"/>
        </w:rPr>
        <w:t>normalized vocabulary entries</w:t>
      </w:r>
      <w:r w:rsidRPr="00CD1CF5">
        <w:rPr>
          <w:rFonts w:asciiTheme="majorHAnsi" w:hAnsiTheme="majorHAnsi" w:cstheme="majorHAnsi"/>
          <w:color w:val="auto"/>
          <w:szCs w:val="24"/>
        </w:rPr>
        <w:t>, not of established modalities. Only the 16 L1 entities are described as bona fide RCD modalities.</w:t>
      </w:r>
    </w:p>
    <w:p w14:paraId="17EE1136"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5. Preservation of provenance</w:t>
      </w:r>
    </w:p>
    <w:p w14:paraId="23170B34"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Canonicalization never overwrites the original source terminology. Every association row retains its source form (`</w:t>
      </w:r>
      <w:proofErr w:type="spellStart"/>
      <w:r w:rsidRPr="00CD1CF5">
        <w:rPr>
          <w:rFonts w:asciiTheme="majorHAnsi" w:hAnsiTheme="majorHAnsi" w:cstheme="majorHAnsi"/>
          <w:color w:val="auto"/>
          <w:szCs w:val="24"/>
        </w:rPr>
        <w:t>rcd_form</w:t>
      </w:r>
      <w:proofErr w:type="spellEnd"/>
      <w:r w:rsidRPr="00CD1CF5">
        <w:rPr>
          <w:rFonts w:asciiTheme="majorHAnsi" w:hAnsiTheme="majorHAnsi" w:cstheme="majorHAnsi"/>
          <w:color w:val="auto"/>
          <w:szCs w:val="24"/>
        </w:rPr>
        <w:t>`) in parallel with the normalized identifier (`</w:t>
      </w:r>
      <w:proofErr w:type="spellStart"/>
      <w:r w:rsidRPr="00CD1CF5">
        <w:rPr>
          <w:rFonts w:asciiTheme="majorHAnsi" w:hAnsiTheme="majorHAnsi" w:cstheme="majorHAnsi"/>
          <w:color w:val="auto"/>
          <w:szCs w:val="24"/>
        </w:rPr>
        <w:t>rcd_form_canonical</w:t>
      </w:r>
      <w:proofErr w:type="spellEnd"/>
      <w:r w:rsidRPr="00CD1CF5">
        <w:rPr>
          <w:rFonts w:asciiTheme="majorHAnsi" w:hAnsiTheme="majorHAnsi" w:cstheme="majorHAnsi"/>
          <w:color w:val="auto"/>
          <w:szCs w:val="24"/>
        </w:rPr>
        <w:t>`), so the provenance of each name — and therefore of each association — remains traceable to its source database or literature origin.</w:t>
      </w:r>
    </w:p>
    <w:p w14:paraId="4615816A"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6. Avoiding semantic leakage</w:t>
      </w:r>
    </w:p>
    <w:p w14:paraId="421289D6"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Because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in informatics conventionally denotes a preferred normalized identifier, whereas in biology it can imply authoritative establishment, RCDome uses </w:t>
      </w:r>
      <w:r w:rsidRPr="00CD1CF5">
        <w:rPr>
          <w:rFonts w:asciiTheme="majorHAnsi" w:hAnsiTheme="majorHAnsi" w:cstheme="majorHAnsi"/>
          <w:b/>
          <w:color w:val="auto"/>
          <w:szCs w:val="24"/>
        </w:rPr>
        <w:t>"canonicalized"</w:t>
      </w:r>
      <w:r w:rsidRPr="00CD1CF5">
        <w:rPr>
          <w:rFonts w:asciiTheme="majorHAnsi" w:hAnsiTheme="majorHAnsi" w:cstheme="majorHAnsi"/>
          <w:color w:val="auto"/>
          <w:szCs w:val="24"/>
        </w:rPr>
        <w:t xml:space="preserve"> for the vocabulary operation and reserves </w:t>
      </w:r>
      <w:r w:rsidRPr="00CD1CF5">
        <w:rPr>
          <w:rFonts w:asciiTheme="majorHAnsi" w:hAnsiTheme="majorHAnsi" w:cstheme="majorHAnsi"/>
          <w:b/>
          <w:color w:val="auto"/>
          <w:szCs w:val="24"/>
        </w:rPr>
        <w:t>"canonical"</w:t>
      </w:r>
      <w:r w:rsidRPr="00CD1CF5">
        <w:rPr>
          <w:rFonts w:asciiTheme="majorHAnsi" w:hAnsiTheme="majorHAnsi" w:cstheme="majorHAnsi"/>
          <w:color w:val="auto"/>
          <w:szCs w:val="24"/>
        </w:rPr>
        <w:t xml:space="preserve"> and </w:t>
      </w:r>
      <w:r w:rsidRPr="00CD1CF5">
        <w:rPr>
          <w:rFonts w:asciiTheme="majorHAnsi" w:hAnsiTheme="majorHAnsi" w:cstheme="majorHAnsi"/>
          <w:b/>
          <w:color w:val="auto"/>
          <w:szCs w:val="24"/>
        </w:rPr>
        <w:t>"bona fide"</w:t>
      </w:r>
      <w:r w:rsidRPr="00CD1CF5">
        <w:rPr>
          <w:rFonts w:asciiTheme="majorHAnsi" w:hAnsiTheme="majorHAnsi" w:cstheme="majorHAnsi"/>
          <w:color w:val="auto"/>
          <w:szCs w:val="24"/>
        </w:rPr>
        <w:t xml:space="preserve"> for biological/ontological status. This lexical distinction is maintained consistently across the manuscript, supplementary material, figures, tables, and the web application so that a reader cannot conflate inclusion in the controlled vocabulary with biological endorsement.</w:t>
      </w:r>
    </w:p>
    <w:p w14:paraId="5C3EB7C6" w14:textId="77777777" w:rsidR="00BB22A7" w:rsidRPr="00CD1CF5" w:rsidRDefault="00BB22A7" w:rsidP="00CD1CF5">
      <w:pPr>
        <w:pStyle w:val="Ttulo1"/>
        <w:spacing w:before="0" w:line="240" w:lineRule="auto"/>
        <w:rPr>
          <w:rFonts w:cstheme="majorHAnsi"/>
          <w:sz w:val="24"/>
          <w:szCs w:val="24"/>
        </w:rPr>
      </w:pPr>
    </w:p>
    <w:p w14:paraId="6D1D0962" w14:textId="77777777" w:rsidR="00BB22A7" w:rsidRPr="00CD1CF5" w:rsidRDefault="00BB22A7" w:rsidP="00CD1CF5">
      <w:pPr>
        <w:pStyle w:val="Ttulo1"/>
        <w:spacing w:before="0" w:line="240" w:lineRule="auto"/>
        <w:rPr>
          <w:rFonts w:cstheme="majorHAnsi"/>
          <w:sz w:val="24"/>
          <w:szCs w:val="24"/>
        </w:rPr>
      </w:pPr>
      <w:r w:rsidRPr="00CD1CF5">
        <w:rPr>
          <w:rFonts w:cstheme="majorHAnsi"/>
          <w:sz w:val="24"/>
          <w:szCs w:val="24"/>
        </w:rPr>
        <w:t xml:space="preserve">Supplementary Note S5 - RCDome: AI Usage, Tokens, and Cost: </w:t>
      </w:r>
    </w:p>
    <w:p w14:paraId="0DFDE85F" w14:textId="77777777" w:rsidR="00BB22A7" w:rsidRPr="00CD1CF5" w:rsidRDefault="00BB22A7" w:rsidP="00CD1CF5">
      <w:pPr>
        <w:spacing w:after="0" w:line="240" w:lineRule="auto"/>
        <w:rPr>
          <w:rFonts w:asciiTheme="majorHAnsi" w:hAnsiTheme="majorHAnsi" w:cstheme="majorHAnsi"/>
          <w:szCs w:val="24"/>
        </w:rPr>
      </w:pPr>
      <w:r w:rsidRPr="00CD1CF5">
        <w:rPr>
          <w:rFonts w:asciiTheme="majorHAnsi" w:hAnsiTheme="majorHAnsi" w:cstheme="majorHAnsi"/>
          <w:szCs w:val="24"/>
        </w:rPr>
        <w:t>This note records the compute, token, runtime, and cost values for every AI-assisted phase of the RCDome pipeline. These figures were removed from the main manuscript (Methods, Results, and Discussion) and are documented here for full transparency and reproducibility.</w:t>
      </w:r>
    </w:p>
    <w:p w14:paraId="60C82A0D" w14:textId="77777777" w:rsidR="00BB22A7" w:rsidRPr="00CD1CF5" w:rsidRDefault="00BB22A7" w:rsidP="00CD1CF5">
      <w:pPr>
        <w:spacing w:after="0" w:line="240" w:lineRule="auto"/>
        <w:rPr>
          <w:rFonts w:asciiTheme="majorHAnsi" w:hAnsiTheme="majorHAnsi" w:cstheme="majorHAnsi"/>
          <w:szCs w:val="24"/>
        </w:rPr>
      </w:pPr>
    </w:p>
    <w:p w14:paraId="7A020EA2"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1. Phase 2A/D: Two-call LLM validation (full matrix)</w:t>
      </w:r>
    </w:p>
    <w:tbl>
      <w:tblPr>
        <w:tblStyle w:val="GradeClara-nfase1"/>
        <w:tblW w:w="0" w:type="auto"/>
        <w:tblLook w:val="04A0" w:firstRow="1" w:lastRow="0" w:firstColumn="1" w:lastColumn="0" w:noHBand="0" w:noVBand="1"/>
      </w:tblPr>
      <w:tblGrid>
        <w:gridCol w:w="4261"/>
        <w:gridCol w:w="4268"/>
      </w:tblGrid>
      <w:tr w:rsidR="00BB22A7" w:rsidRPr="00CD1CF5" w14:paraId="1797347D"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F85BDB"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Rows validated</w:t>
            </w:r>
          </w:p>
        </w:tc>
        <w:tc>
          <w:tcPr>
            <w:tcW w:w="4320" w:type="dxa"/>
          </w:tcPr>
          <w:p w14:paraId="41E8B5E7"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21,567 unique gene-RCD pairs</w:t>
            </w:r>
          </w:p>
        </w:tc>
      </w:tr>
      <w:tr w:rsidR="00BB22A7" w:rsidRPr="00CD1CF5" w14:paraId="14610BD6"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C56386"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Runtime</w:t>
            </w:r>
          </w:p>
        </w:tc>
        <w:tc>
          <w:tcPr>
            <w:tcW w:w="4320" w:type="dxa"/>
          </w:tcPr>
          <w:p w14:paraId="1587C36E"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~35 hours (dedicated server, sequential)</w:t>
            </w:r>
          </w:p>
        </w:tc>
      </w:tr>
      <w:tr w:rsidR="00BB22A7" w:rsidRPr="00CD1CF5" w14:paraId="04E06A64"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0FBF0C"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DeepSeek API cost</w:t>
            </w:r>
          </w:p>
        </w:tc>
        <w:tc>
          <w:tcPr>
            <w:tcW w:w="4320" w:type="dxa"/>
          </w:tcPr>
          <w:p w14:paraId="792112F0"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~US$12</w:t>
            </w:r>
          </w:p>
        </w:tc>
      </w:tr>
      <w:tr w:rsidR="00BB22A7" w:rsidRPr="00CD1CF5" w14:paraId="348DB44E"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5E32B4"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w:t>
            </w:r>
          </w:p>
        </w:tc>
        <w:tc>
          <w:tcPr>
            <w:tcW w:w="4320" w:type="dxa"/>
          </w:tcPr>
          <w:p w14:paraId="28CBFBF5"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59.6 million</w:t>
            </w:r>
          </w:p>
        </w:tc>
      </w:tr>
      <w:tr w:rsidR="00BB22A7" w:rsidRPr="00CD1CF5" w14:paraId="5DF27B97"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4AE70F"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Model</w:t>
            </w:r>
          </w:p>
        </w:tc>
        <w:tc>
          <w:tcPr>
            <w:tcW w:w="4320" w:type="dxa"/>
          </w:tcPr>
          <w:p w14:paraId="438EF24E"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deepseek-chat (temperature 0)</w:t>
            </w:r>
          </w:p>
        </w:tc>
      </w:tr>
    </w:tbl>
    <w:p w14:paraId="3A7C4738"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2. Phase 2A/D: MSigDB extension (1,832 pairs)</w:t>
      </w:r>
    </w:p>
    <w:tbl>
      <w:tblPr>
        <w:tblStyle w:val="GradeClara-nfase1"/>
        <w:tblW w:w="0" w:type="auto"/>
        <w:tblLook w:val="04A0" w:firstRow="1" w:lastRow="0" w:firstColumn="1" w:lastColumn="0" w:noHBand="0" w:noVBand="1"/>
      </w:tblPr>
      <w:tblGrid>
        <w:gridCol w:w="4261"/>
        <w:gridCol w:w="4268"/>
      </w:tblGrid>
      <w:tr w:rsidR="00BB22A7" w:rsidRPr="00CD1CF5" w14:paraId="44568BF7"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C4F062"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Pairs validated</w:t>
            </w:r>
          </w:p>
        </w:tc>
        <w:tc>
          <w:tcPr>
            <w:tcW w:w="4320" w:type="dxa"/>
          </w:tcPr>
          <w:p w14:paraId="3A46AC8E"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1,832 MSigDB-only gene-set pairs</w:t>
            </w:r>
          </w:p>
        </w:tc>
      </w:tr>
      <w:tr w:rsidR="00BB22A7" w:rsidRPr="00CD1CF5" w14:paraId="333D777C"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446E67"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Runtime</w:t>
            </w:r>
          </w:p>
        </w:tc>
        <w:tc>
          <w:tcPr>
            <w:tcW w:w="4320" w:type="dxa"/>
          </w:tcPr>
          <w:p w14:paraId="274C3FEF"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~1-2 hours (8-thread parallel)</w:t>
            </w:r>
          </w:p>
        </w:tc>
      </w:tr>
      <w:tr w:rsidR="00BB22A7" w:rsidRPr="00CD1CF5" w14:paraId="57EF13E7"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1DAAB5"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DeepSeek API cost</w:t>
            </w:r>
          </w:p>
        </w:tc>
        <w:tc>
          <w:tcPr>
            <w:tcW w:w="4320" w:type="dxa"/>
          </w:tcPr>
          <w:p w14:paraId="052AD9B8"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~US$3-5 (estimated)</w:t>
            </w:r>
          </w:p>
        </w:tc>
      </w:tr>
      <w:tr w:rsidR="00BB22A7" w:rsidRPr="00CD1CF5" w14:paraId="7143D020"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DB5745"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lastRenderedPageBreak/>
              <w:t>Tokens</w:t>
            </w:r>
          </w:p>
        </w:tc>
        <w:tc>
          <w:tcPr>
            <w:tcW w:w="4320" w:type="dxa"/>
          </w:tcPr>
          <w:p w14:paraId="3EAF9715"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8.2 million</w:t>
            </w:r>
          </w:p>
        </w:tc>
      </w:tr>
      <w:tr w:rsidR="00BB22A7" w:rsidRPr="00CD1CF5" w14:paraId="78F303F5"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94511D"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Model</w:t>
            </w:r>
          </w:p>
        </w:tc>
        <w:tc>
          <w:tcPr>
            <w:tcW w:w="4320" w:type="dxa"/>
          </w:tcPr>
          <w:p w14:paraId="41F8982E"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deepseek-chat (temperature 0)</w:t>
            </w:r>
          </w:p>
        </w:tc>
      </w:tr>
    </w:tbl>
    <w:p w14:paraId="1DEBD9BF"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3. Phase 2B: Europe PMC full-text deep RAG</w:t>
      </w:r>
    </w:p>
    <w:tbl>
      <w:tblPr>
        <w:tblStyle w:val="GradeClara-nfase1"/>
        <w:tblW w:w="0" w:type="auto"/>
        <w:tblLook w:val="04A0" w:firstRow="1" w:lastRow="0" w:firstColumn="1" w:lastColumn="0" w:noHBand="0" w:noVBand="1"/>
      </w:tblPr>
      <w:tblGrid>
        <w:gridCol w:w="4242"/>
        <w:gridCol w:w="4287"/>
      </w:tblGrid>
      <w:tr w:rsidR="00BB22A7" w:rsidRPr="00CD1CF5" w14:paraId="00BF53C2"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0D4515"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Articles processed</w:t>
            </w:r>
          </w:p>
        </w:tc>
        <w:tc>
          <w:tcPr>
            <w:tcW w:w="4320" w:type="dxa"/>
          </w:tcPr>
          <w:p w14:paraId="24202886"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167,868 open-access full-text articles</w:t>
            </w:r>
          </w:p>
        </w:tc>
      </w:tr>
      <w:tr w:rsidR="00BB22A7" w:rsidRPr="00CD1CF5" w14:paraId="5FD02194"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FCD9FF"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Pairs with deep evidence</w:t>
            </w:r>
          </w:p>
        </w:tc>
        <w:tc>
          <w:tcPr>
            <w:tcW w:w="4320" w:type="dxa"/>
          </w:tcPr>
          <w:p w14:paraId="6D43DF08"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1,383 rows (1,118 unique pairs)</w:t>
            </w:r>
          </w:p>
        </w:tc>
      </w:tr>
      <w:tr w:rsidR="00BB22A7" w:rsidRPr="00CD1CF5" w14:paraId="2F30BC7B"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5055A"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w:t>
            </w:r>
          </w:p>
        </w:tc>
        <w:tc>
          <w:tcPr>
            <w:tcW w:w="4320" w:type="dxa"/>
          </w:tcPr>
          <w:p w14:paraId="2BCB3EB0"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1,383.7 million (phase2b_audit_report.json)</w:t>
            </w:r>
          </w:p>
        </w:tc>
      </w:tr>
      <w:tr w:rsidR="00BB22A7" w:rsidRPr="00CD1CF5" w14:paraId="2BDBA9A4"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BB8CA7"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Runtime</w:t>
            </w:r>
          </w:p>
        </w:tc>
        <w:tc>
          <w:tcPr>
            <w:tcW w:w="4320" w:type="dxa"/>
          </w:tcPr>
          <w:p w14:paraId="650FD7EE"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multi-day (Zima, 8-thread)</w:t>
            </w:r>
          </w:p>
        </w:tc>
      </w:tr>
      <w:tr w:rsidR="00BB22A7" w:rsidRPr="00CD1CF5" w14:paraId="7585BC15"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07CCCD"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Cost</w:t>
            </w:r>
          </w:p>
        </w:tc>
        <w:tc>
          <w:tcPr>
            <w:tcW w:w="4320" w:type="dxa"/>
          </w:tcPr>
          <w:p w14:paraId="37488E3E"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not itemized per phase (deepseek-chat)</w:t>
            </w:r>
          </w:p>
        </w:tc>
      </w:tr>
    </w:tbl>
    <w:p w14:paraId="268D707C"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4. Phase 2C: Europe PMC full-text recovery (DeepSeek)</w:t>
      </w:r>
    </w:p>
    <w:tbl>
      <w:tblPr>
        <w:tblStyle w:val="GradeClara-nfase1"/>
        <w:tblW w:w="0" w:type="auto"/>
        <w:tblLook w:val="04A0" w:firstRow="1" w:lastRow="0" w:firstColumn="1" w:lastColumn="0" w:noHBand="0" w:noVBand="1"/>
      </w:tblPr>
      <w:tblGrid>
        <w:gridCol w:w="4261"/>
        <w:gridCol w:w="4268"/>
      </w:tblGrid>
      <w:tr w:rsidR="00BB22A7" w:rsidRPr="00CD1CF5" w14:paraId="1956A301"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10C75"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Pairs recovered</w:t>
            </w:r>
          </w:p>
        </w:tc>
        <w:tc>
          <w:tcPr>
            <w:tcW w:w="4320" w:type="dxa"/>
          </w:tcPr>
          <w:p w14:paraId="5DE79BF3"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3,058 MECHANISTIC classifications</w:t>
            </w:r>
          </w:p>
        </w:tc>
      </w:tr>
      <w:tr w:rsidR="00BB22A7" w:rsidRPr="00CD1CF5" w14:paraId="5CB9F62C"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B81C28"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 / cost</w:t>
            </w:r>
          </w:p>
        </w:tc>
        <w:tc>
          <w:tcPr>
            <w:tcW w:w="4320" w:type="dxa"/>
          </w:tcPr>
          <w:p w14:paraId="511CE640"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bl>
    <w:p w14:paraId="6525D66A"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5. Phase 2D: NCBI + DeepSeek novel-pair validation</w:t>
      </w:r>
    </w:p>
    <w:tbl>
      <w:tblPr>
        <w:tblStyle w:val="GradeClara-nfase1"/>
        <w:tblW w:w="0" w:type="auto"/>
        <w:tblLook w:val="04A0" w:firstRow="1" w:lastRow="0" w:firstColumn="1" w:lastColumn="0" w:noHBand="0" w:noVBand="1"/>
      </w:tblPr>
      <w:tblGrid>
        <w:gridCol w:w="4265"/>
        <w:gridCol w:w="4264"/>
      </w:tblGrid>
      <w:tr w:rsidR="00BB22A7" w:rsidRPr="00CD1CF5" w14:paraId="2B6BB4A4"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9F97F1"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Pairs validated</w:t>
            </w:r>
          </w:p>
        </w:tc>
        <w:tc>
          <w:tcPr>
            <w:tcW w:w="4320" w:type="dxa"/>
          </w:tcPr>
          <w:p w14:paraId="4094E6EC"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1,341 novel unique pairs</w:t>
            </w:r>
          </w:p>
        </w:tc>
      </w:tr>
      <w:tr w:rsidR="00BB22A7" w:rsidRPr="00CD1CF5" w14:paraId="346D21A6"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FDC74D"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 / cost</w:t>
            </w:r>
          </w:p>
        </w:tc>
        <w:tc>
          <w:tcPr>
            <w:tcW w:w="4320" w:type="dxa"/>
          </w:tcPr>
          <w:p w14:paraId="6BD3B900"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bl>
    <w:p w14:paraId="59B09F77"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6. Phase 2E: Europe PMC + DeepSeek full-text recovery</w:t>
      </w:r>
    </w:p>
    <w:tbl>
      <w:tblPr>
        <w:tblStyle w:val="GradeClara-nfase1"/>
        <w:tblW w:w="0" w:type="auto"/>
        <w:tblLook w:val="04A0" w:firstRow="1" w:lastRow="0" w:firstColumn="1" w:lastColumn="0" w:noHBand="0" w:noVBand="1"/>
      </w:tblPr>
      <w:tblGrid>
        <w:gridCol w:w="4261"/>
        <w:gridCol w:w="4268"/>
      </w:tblGrid>
      <w:tr w:rsidR="00BB22A7" w:rsidRPr="00CD1CF5" w14:paraId="4301B740"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E280FA"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Pairs processed</w:t>
            </w:r>
          </w:p>
        </w:tc>
        <w:tc>
          <w:tcPr>
            <w:tcW w:w="4320" w:type="dxa"/>
          </w:tcPr>
          <w:p w14:paraId="777AF479"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1,724 non-MECHANISTIC pairs</w:t>
            </w:r>
          </w:p>
        </w:tc>
      </w:tr>
      <w:tr w:rsidR="00BB22A7" w:rsidRPr="00CD1CF5" w14:paraId="377ECA0D"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DFDE4E"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Recovered</w:t>
            </w:r>
          </w:p>
        </w:tc>
        <w:tc>
          <w:tcPr>
            <w:tcW w:w="4320" w:type="dxa"/>
          </w:tcPr>
          <w:p w14:paraId="2E6017D3"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588 MECHANISTIC associations</w:t>
            </w:r>
          </w:p>
        </w:tc>
      </w:tr>
      <w:tr w:rsidR="00BB22A7" w:rsidRPr="00CD1CF5" w14:paraId="1A2C5384"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1A2ABE"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 / cost</w:t>
            </w:r>
          </w:p>
        </w:tc>
        <w:tc>
          <w:tcPr>
            <w:tcW w:w="4320" w:type="dxa"/>
          </w:tcPr>
          <w:p w14:paraId="04E68295"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bl>
    <w:p w14:paraId="318CAA13"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7. Phase 3: Elicit systematic-review benchmark (3 forms)</w:t>
      </w:r>
    </w:p>
    <w:tbl>
      <w:tblPr>
        <w:tblStyle w:val="GradeClara-nfase1"/>
        <w:tblW w:w="0" w:type="auto"/>
        <w:tblLook w:val="04A0" w:firstRow="1" w:lastRow="0" w:firstColumn="1" w:lastColumn="0" w:noHBand="0" w:noVBand="1"/>
      </w:tblPr>
      <w:tblGrid>
        <w:gridCol w:w="4265"/>
        <w:gridCol w:w="4264"/>
      </w:tblGrid>
      <w:tr w:rsidR="00BB22A7" w:rsidRPr="00CD1CF5" w14:paraId="05E44C82"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655A70"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Records extracted</w:t>
            </w:r>
          </w:p>
        </w:tc>
        <w:tc>
          <w:tcPr>
            <w:tcW w:w="4320" w:type="dxa"/>
          </w:tcPr>
          <w:p w14:paraId="574B7C16"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784 governed records from 154 papers</w:t>
            </w:r>
          </w:p>
        </w:tc>
      </w:tr>
      <w:tr w:rsidR="00BB22A7" w:rsidRPr="00CD1CF5" w14:paraId="5F3F24F2"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57DC03"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Runtime</w:t>
            </w:r>
          </w:p>
        </w:tc>
        <w:tc>
          <w:tcPr>
            <w:tcW w:w="4320" w:type="dxa"/>
          </w:tcPr>
          <w:p w14:paraId="1FA02F31"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 minutes</w:t>
            </w:r>
          </w:p>
        </w:tc>
      </w:tr>
      <w:tr w:rsidR="00BB22A7" w:rsidRPr="00CD1CF5" w14:paraId="701D2D08"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792FF5"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API cost</w:t>
            </w:r>
          </w:p>
        </w:tc>
        <w:tc>
          <w:tcPr>
            <w:tcW w:w="4320" w:type="dxa"/>
          </w:tcPr>
          <w:p w14:paraId="08318DE5"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~US$18 (3 forms x ~$6 per form)</w:t>
            </w:r>
          </w:p>
        </w:tc>
      </w:tr>
    </w:tbl>
    <w:p w14:paraId="2A557781"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8. Phase 3: Elicit full extraction (50 forms)</w:t>
      </w:r>
    </w:p>
    <w:tbl>
      <w:tblPr>
        <w:tblStyle w:val="GradeClara-nfase1"/>
        <w:tblW w:w="0" w:type="auto"/>
        <w:tblLook w:val="04A0" w:firstRow="1" w:lastRow="0" w:firstColumn="1" w:lastColumn="0" w:noHBand="0" w:noVBand="1"/>
      </w:tblPr>
      <w:tblGrid>
        <w:gridCol w:w="4260"/>
        <w:gridCol w:w="4269"/>
      </w:tblGrid>
      <w:tr w:rsidR="00BB22A7" w:rsidRPr="00CD1CF5" w14:paraId="3F68B063"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D66369"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Associations extracted</w:t>
            </w:r>
          </w:p>
        </w:tc>
        <w:tc>
          <w:tcPr>
            <w:tcW w:w="4320" w:type="dxa"/>
          </w:tcPr>
          <w:p w14:paraId="5AB07AED"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4,601 across 50 RCD forms</w:t>
            </w:r>
          </w:p>
        </w:tc>
      </w:tr>
      <w:tr w:rsidR="00BB22A7" w:rsidRPr="00CD1CF5" w14:paraId="33460C81"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439B16"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Triaged</w:t>
            </w:r>
          </w:p>
        </w:tc>
        <w:tc>
          <w:tcPr>
            <w:tcW w:w="4320" w:type="dxa"/>
          </w:tcPr>
          <w:p w14:paraId="72A15BA7"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3,803 genuine, 798 association_only, 1 retracted</w:t>
            </w:r>
          </w:p>
        </w:tc>
      </w:tr>
      <w:tr w:rsidR="00BB22A7" w:rsidRPr="00CD1CF5" w14:paraId="52B88B64"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5A8E00"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Elicit Pro license</w:t>
            </w:r>
          </w:p>
        </w:tc>
        <w:tc>
          <w:tcPr>
            <w:tcW w:w="4320" w:type="dxa"/>
          </w:tcPr>
          <w:p w14:paraId="2A066760"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US$600.00</w:t>
            </w:r>
          </w:p>
        </w:tc>
      </w:tr>
      <w:tr w:rsidR="00BB22A7" w:rsidRPr="00CD1CF5" w14:paraId="27F60D88"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C85A0A"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Elicit token consumption</w:t>
            </w:r>
          </w:p>
        </w:tc>
        <w:tc>
          <w:tcPr>
            <w:tcW w:w="4320" w:type="dxa"/>
          </w:tcPr>
          <w:p w14:paraId="7D32FBE2"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US$5,400.00</w:t>
            </w:r>
          </w:p>
        </w:tc>
      </w:tr>
    </w:tbl>
    <w:p w14:paraId="2571DAC6"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9. Governance literature extraction (DeepSeek, separate track)</w:t>
      </w:r>
    </w:p>
    <w:tbl>
      <w:tblPr>
        <w:tblStyle w:val="GradeClara-nfase1"/>
        <w:tblW w:w="0" w:type="auto"/>
        <w:tblLook w:val="04A0" w:firstRow="1" w:lastRow="0" w:firstColumn="1" w:lastColumn="0" w:noHBand="0" w:noVBand="1"/>
      </w:tblPr>
      <w:tblGrid>
        <w:gridCol w:w="4266"/>
        <w:gridCol w:w="4263"/>
      </w:tblGrid>
      <w:tr w:rsidR="00BB22A7" w:rsidRPr="00CD1CF5" w14:paraId="7ACAB3E3"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E29288"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Corpus</w:t>
            </w:r>
          </w:p>
        </w:tc>
        <w:tc>
          <w:tcPr>
            <w:tcW w:w="4320" w:type="dxa"/>
          </w:tcPr>
          <w:p w14:paraId="5E1C3283"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1,500 papers (search + snowball)</w:t>
            </w:r>
          </w:p>
        </w:tc>
      </w:tr>
      <w:tr w:rsidR="00BB22A7" w:rsidRPr="00CD1CF5" w14:paraId="0B95BDC2"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6405AC"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Papers processed</w:t>
            </w:r>
          </w:p>
        </w:tc>
        <w:tc>
          <w:tcPr>
            <w:tcW w:w="4320" w:type="dxa"/>
          </w:tcPr>
          <w:p w14:paraId="113A7B38"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1,308</w:t>
            </w:r>
          </w:p>
        </w:tc>
      </w:tr>
      <w:tr w:rsidR="00BB22A7" w:rsidRPr="00CD1CF5" w14:paraId="3B72452B"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9D679D"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Items extracted</w:t>
            </w:r>
          </w:p>
        </w:tc>
        <w:tc>
          <w:tcPr>
            <w:tcW w:w="4320" w:type="dxa"/>
          </w:tcPr>
          <w:p w14:paraId="539CA4FC"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27,852 verbatim-anchored items</w:t>
            </w:r>
          </w:p>
        </w:tc>
      </w:tr>
      <w:tr w:rsidR="00BB22A7" w:rsidRPr="00CD1CF5" w14:paraId="75494010"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D4527F"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Raw themes</w:t>
            </w:r>
          </w:p>
        </w:tc>
        <w:tc>
          <w:tcPr>
            <w:tcW w:w="4320" w:type="dxa"/>
          </w:tcPr>
          <w:p w14:paraId="516D9DBD"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3,313</w:t>
            </w:r>
          </w:p>
        </w:tc>
      </w:tr>
      <w:tr w:rsidR="00BB22A7" w:rsidRPr="00CD1CF5" w14:paraId="3BF25390"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2B8EF1"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Framework themes</w:t>
            </w:r>
          </w:p>
        </w:tc>
        <w:tc>
          <w:tcPr>
            <w:tcW w:w="4320" w:type="dxa"/>
          </w:tcPr>
          <w:p w14:paraId="20176109"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419 (255 AI-governance, 71 human-clinical, 93 ambiguous)</w:t>
            </w:r>
          </w:p>
        </w:tc>
      </w:tr>
      <w:tr w:rsidR="00BB22A7" w:rsidRPr="00CD1CF5" w14:paraId="37FFEEE5"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7C851E"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Core themes</w:t>
            </w:r>
          </w:p>
        </w:tc>
        <w:tc>
          <w:tcPr>
            <w:tcW w:w="4320" w:type="dxa"/>
          </w:tcPr>
          <w:p w14:paraId="760BA683"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70</w:t>
            </w:r>
          </w:p>
        </w:tc>
      </w:tr>
      <w:tr w:rsidR="00BB22A7" w:rsidRPr="00CD1CF5" w14:paraId="50872A2C"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7C920B"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Deduplicated themes</w:t>
            </w:r>
          </w:p>
        </w:tc>
        <w:tc>
          <w:tcPr>
            <w:tcW w:w="4320" w:type="dxa"/>
          </w:tcPr>
          <w:p w14:paraId="75FB9B71"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51</w:t>
            </w:r>
          </w:p>
        </w:tc>
      </w:tr>
      <w:tr w:rsidR="00BB22A7" w:rsidRPr="00CD1CF5" w14:paraId="6769AE91"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69B804"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Status</w:t>
            </w:r>
          </w:p>
        </w:tc>
        <w:tc>
          <w:tcPr>
            <w:tcW w:w="4320" w:type="dxa"/>
          </w:tcPr>
          <w:p w14:paraId="2EC57015"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COMPLETE</w:t>
            </w:r>
          </w:p>
        </w:tc>
      </w:tr>
      <w:tr w:rsidR="00BB22A7" w:rsidRPr="00CD1CF5" w14:paraId="04A7A684"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5AE1D1"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 / cost</w:t>
            </w:r>
          </w:p>
        </w:tc>
        <w:tc>
          <w:tcPr>
            <w:tcW w:w="4320" w:type="dxa"/>
          </w:tcPr>
          <w:p w14:paraId="2595F368"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 (Zima run logs)</w:t>
            </w:r>
          </w:p>
        </w:tc>
      </w:tr>
    </w:tbl>
    <w:p w14:paraId="2EABBF3D"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Combined DeepSeek token usage (to date)</w:t>
      </w:r>
    </w:p>
    <w:tbl>
      <w:tblPr>
        <w:tblStyle w:val="GradeClara-nfase1"/>
        <w:tblW w:w="0" w:type="auto"/>
        <w:tblLook w:val="04A0" w:firstRow="1" w:lastRow="0" w:firstColumn="1" w:lastColumn="0" w:noHBand="0" w:noVBand="1"/>
      </w:tblPr>
      <w:tblGrid>
        <w:gridCol w:w="4267"/>
        <w:gridCol w:w="4262"/>
      </w:tblGrid>
      <w:tr w:rsidR="00BB22A7" w:rsidRPr="00CD1CF5" w14:paraId="62057F2C"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D46439"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Phase 2A/D (full matrix)</w:t>
            </w:r>
          </w:p>
        </w:tc>
        <w:tc>
          <w:tcPr>
            <w:tcW w:w="4320" w:type="dxa"/>
          </w:tcPr>
          <w:p w14:paraId="2815A91D"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59.6 M</w:t>
            </w:r>
          </w:p>
        </w:tc>
      </w:tr>
      <w:tr w:rsidR="00BB22A7" w:rsidRPr="00CD1CF5" w14:paraId="3962FEFB"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EC9953"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Phase 2A/D (MSigDB extension)</w:t>
            </w:r>
          </w:p>
        </w:tc>
        <w:tc>
          <w:tcPr>
            <w:tcW w:w="4320" w:type="dxa"/>
          </w:tcPr>
          <w:p w14:paraId="1AC2AC91"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8.2 M</w:t>
            </w:r>
          </w:p>
        </w:tc>
      </w:tr>
      <w:tr w:rsidR="00BB22A7" w:rsidRPr="00CD1CF5" w14:paraId="230E5EBC"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DCC7E4"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Phase 2B deep RAG</w:t>
            </w:r>
          </w:p>
        </w:tc>
        <w:tc>
          <w:tcPr>
            <w:tcW w:w="4320" w:type="dxa"/>
          </w:tcPr>
          <w:p w14:paraId="21ED2E1A"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1,383.7 M</w:t>
            </w:r>
          </w:p>
        </w:tc>
      </w:tr>
      <w:tr w:rsidR="00BB22A7" w:rsidRPr="00CD1CF5" w14:paraId="078740FF"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550A1E"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lastRenderedPageBreak/>
              <w:t>Phase 2C recovery</w:t>
            </w:r>
          </w:p>
        </w:tc>
        <w:tc>
          <w:tcPr>
            <w:tcW w:w="4320" w:type="dxa"/>
          </w:tcPr>
          <w:p w14:paraId="4E72071A"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r w:rsidR="00BB22A7" w:rsidRPr="00CD1CF5" w14:paraId="3B0EDDF5"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D5343A"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Phase 2D NCBI validation</w:t>
            </w:r>
          </w:p>
        </w:tc>
        <w:tc>
          <w:tcPr>
            <w:tcW w:w="4320" w:type="dxa"/>
          </w:tcPr>
          <w:p w14:paraId="10417AC0"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r w:rsidR="00BB22A7" w:rsidRPr="00CD1CF5" w14:paraId="7D90D66C"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65E169"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Phase 2E Europe PMC recovery</w:t>
            </w:r>
          </w:p>
        </w:tc>
        <w:tc>
          <w:tcPr>
            <w:tcW w:w="4320" w:type="dxa"/>
          </w:tcPr>
          <w:p w14:paraId="13855815"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r w:rsidR="00BB22A7" w:rsidRPr="00CD1CF5" w14:paraId="74CC8764"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7EE14D"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Governance track</w:t>
            </w:r>
          </w:p>
        </w:tc>
        <w:tc>
          <w:tcPr>
            <w:tcW w:w="4320" w:type="dxa"/>
          </w:tcPr>
          <w:p w14:paraId="76960862"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r w:rsidR="00BB22A7" w:rsidRPr="00CD1CF5" w14:paraId="69496616"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7307D4"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Total (recorded phases)</w:t>
            </w:r>
          </w:p>
        </w:tc>
        <w:tc>
          <w:tcPr>
            <w:tcW w:w="4320" w:type="dxa"/>
          </w:tcPr>
          <w:p w14:paraId="09003DA4"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~1.45 B</w:t>
            </w:r>
          </w:p>
        </w:tc>
      </w:tr>
    </w:tbl>
    <w:p w14:paraId="3FDE4BF5"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Total AI cost summary</w:t>
      </w:r>
    </w:p>
    <w:tbl>
      <w:tblPr>
        <w:tblStyle w:val="GradeClara-nfase1"/>
        <w:tblW w:w="0" w:type="auto"/>
        <w:tblLook w:val="04A0" w:firstRow="1" w:lastRow="0" w:firstColumn="1" w:lastColumn="0" w:noHBand="0" w:noVBand="1"/>
      </w:tblPr>
      <w:tblGrid>
        <w:gridCol w:w="4265"/>
        <w:gridCol w:w="4264"/>
      </w:tblGrid>
      <w:tr w:rsidR="00BB22A7" w:rsidRPr="00CD1CF5" w14:paraId="088E880E"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14DA68"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Elicit Pro license</w:t>
            </w:r>
          </w:p>
        </w:tc>
        <w:tc>
          <w:tcPr>
            <w:tcW w:w="4320" w:type="dxa"/>
          </w:tcPr>
          <w:p w14:paraId="110BB0E9"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US$600.00</w:t>
            </w:r>
          </w:p>
        </w:tc>
      </w:tr>
      <w:tr w:rsidR="00BB22A7" w:rsidRPr="00CD1CF5" w14:paraId="6C65D9C7"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063768"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Elicit token consumption (full 50-form run)</w:t>
            </w:r>
          </w:p>
        </w:tc>
        <w:tc>
          <w:tcPr>
            <w:tcW w:w="4320" w:type="dxa"/>
          </w:tcPr>
          <w:p w14:paraId="0C888513"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US$5,400.00</w:t>
            </w:r>
          </w:p>
        </w:tc>
      </w:tr>
      <w:tr w:rsidR="00BB22A7" w:rsidRPr="00CD1CF5" w14:paraId="6DC80C80"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60AA1F"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DeepSeek tokens (all phases)</w:t>
            </w:r>
          </w:p>
        </w:tc>
        <w:tc>
          <w:tcPr>
            <w:tcW w:w="4320" w:type="dxa"/>
          </w:tcPr>
          <w:p w14:paraId="096B2070"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US$1,000.00</w:t>
            </w:r>
          </w:p>
        </w:tc>
      </w:tr>
      <w:tr w:rsidR="00BB22A7" w:rsidRPr="00CD1CF5" w14:paraId="4E69FDEA"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9483F6"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Total</w:t>
            </w:r>
          </w:p>
        </w:tc>
        <w:tc>
          <w:tcPr>
            <w:tcW w:w="4320" w:type="dxa"/>
          </w:tcPr>
          <w:p w14:paraId="129738C8"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US$7,000.00</w:t>
            </w:r>
          </w:p>
        </w:tc>
      </w:tr>
    </w:tbl>
    <w:p w14:paraId="533EC8C2" w14:textId="77777777" w:rsidR="00BB22A7" w:rsidRPr="00CD1CF5" w:rsidRDefault="00BB22A7" w:rsidP="00CD1CF5">
      <w:pPr>
        <w:spacing w:after="0" w:line="240" w:lineRule="auto"/>
        <w:rPr>
          <w:rFonts w:asciiTheme="majorHAnsi" w:hAnsiTheme="majorHAnsi" w:cstheme="majorHAnsi"/>
          <w:szCs w:val="24"/>
        </w:rPr>
      </w:pPr>
      <w:r w:rsidRPr="00CD1CF5">
        <w:rPr>
          <w:rFonts w:asciiTheme="majorHAnsi" w:hAnsiTheme="majorHAnsi" w:cstheme="majorHAnsi"/>
          <w:b/>
          <w:bCs/>
          <w:szCs w:val="24"/>
        </w:rPr>
        <w:t>Note</w:t>
      </w:r>
      <w:r w:rsidRPr="00CD1CF5">
        <w:rPr>
          <w:rFonts w:asciiTheme="majorHAnsi" w:hAnsiTheme="majorHAnsi" w:cstheme="majorHAnsi"/>
          <w:szCs w:val="24"/>
        </w:rPr>
        <w:t>: token counts are as reported by the DeepSeek API usage fields and the per-run logs. Costs are direct API and license charges; they exclude human time and server infrastructure. Token counts for Phases 2C, 2D, 2E, and the governance track are to be recorded from their run logs; the DeepSeek total of US$1,000 will be reconciled against those counts once recorded.</w:t>
      </w:r>
    </w:p>
    <w:p w14:paraId="2AA890A5" w14:textId="77777777" w:rsidR="00BB22A7" w:rsidRPr="00CD1CF5" w:rsidRDefault="00BB22A7" w:rsidP="00CD1CF5">
      <w:pPr>
        <w:spacing w:after="0" w:line="240" w:lineRule="auto"/>
        <w:rPr>
          <w:rFonts w:asciiTheme="majorHAnsi" w:hAnsiTheme="majorHAnsi" w:cstheme="majorHAnsi"/>
          <w:szCs w:val="24"/>
        </w:rPr>
      </w:pPr>
    </w:p>
    <w:p w14:paraId="1FC1DF70" w14:textId="77777777" w:rsidR="00BB22A7" w:rsidRPr="00CD1CF5" w:rsidRDefault="00BB22A7" w:rsidP="00CD1CF5">
      <w:pPr>
        <w:spacing w:after="0" w:line="240" w:lineRule="auto"/>
        <w:rPr>
          <w:rFonts w:asciiTheme="majorHAnsi" w:hAnsiTheme="majorHAnsi" w:cstheme="majorHAnsi"/>
          <w:b/>
          <w:bCs/>
          <w:szCs w:val="24"/>
        </w:rPr>
      </w:pPr>
    </w:p>
    <w:p w14:paraId="6BA588D4" w14:textId="77777777" w:rsidR="00BB22A7" w:rsidRPr="00CD1CF5" w:rsidRDefault="00BB22A7" w:rsidP="00CD1CF5">
      <w:pPr>
        <w:spacing w:after="0" w:line="240" w:lineRule="auto"/>
        <w:rPr>
          <w:rFonts w:asciiTheme="majorHAnsi" w:hAnsiTheme="majorHAnsi" w:cstheme="majorHAnsi"/>
          <w:b/>
          <w:bCs/>
          <w:szCs w:val="24"/>
        </w:rPr>
      </w:pPr>
      <w:r w:rsidRPr="00CD1CF5">
        <w:rPr>
          <w:rFonts w:asciiTheme="majorHAnsi" w:hAnsiTheme="majorHAnsi" w:cstheme="majorHAnsi"/>
          <w:b/>
          <w:bCs/>
          <w:szCs w:val="24"/>
        </w:rPr>
        <w:t>Supplementary Note S6 - RCDome: Digital Molecular RCD Board Benchmark</w:t>
      </w:r>
    </w:p>
    <w:p w14:paraId="487F0F3F"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This note documents the design and results of the Digital Molecular RCD Board benchmark, which evaluated a prose-synthesis module that answers gene–RCD queries strictly from the RCDome database and the RCDome decoder, with every claim traceable to a matrix row, a decoder field, or a recorded PMID.</w:t>
      </w:r>
    </w:p>
    <w:p w14:paraId="4D78C2D2" w14:textId="77777777" w:rsidR="00DB4E22" w:rsidRPr="00CD1CF5" w:rsidRDefault="00DB4E22" w:rsidP="00CD1CF5">
      <w:pPr>
        <w:spacing w:after="0" w:line="240" w:lineRule="auto"/>
        <w:rPr>
          <w:rFonts w:asciiTheme="majorHAnsi" w:hAnsiTheme="majorHAnsi" w:cstheme="majorHAnsi"/>
          <w:b/>
          <w:bCs/>
          <w:szCs w:val="24"/>
        </w:rPr>
      </w:pPr>
    </w:p>
    <w:p w14:paraId="2CD6D173" w14:textId="77777777" w:rsidR="00654118" w:rsidRPr="00CD1CF5" w:rsidRDefault="00000000" w:rsidP="00CD1CF5">
      <w:pPr>
        <w:spacing w:after="0" w:line="240" w:lineRule="auto"/>
        <w:rPr>
          <w:rFonts w:asciiTheme="majorHAnsi" w:hAnsiTheme="majorHAnsi" w:cstheme="majorHAnsi"/>
          <w:b/>
          <w:bCs/>
          <w:szCs w:val="24"/>
        </w:rPr>
      </w:pPr>
      <w:r w:rsidRPr="00CD1CF5">
        <w:rPr>
          <w:rFonts w:asciiTheme="majorHAnsi" w:hAnsiTheme="majorHAnsi" w:cstheme="majorHAnsi"/>
          <w:b/>
          <w:bCs/>
          <w:szCs w:val="24"/>
        </w:rPr>
        <w:t>Board governance</w:t>
      </w:r>
    </w:p>
    <w:p w14:paraId="482DF67A"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board emits a single continuous prose synthesis with no headers, no bullet lists, and no markdown bold. Four provenance categories govern how each sentence is written without being printed as labels: facts with a PMID ("the RCDome database records … (PMID …)"), model annotation ("within the RCDome database …"), decoder context ("the RCDome decoder defines/states …"), and hypothesis ("Hypothesis:" or "may suggest" or "is consistent with"). Seven rules are enforced in the prompt and by a deterministic post-generation scrub, never by a second model: (1) only "RCDome database" and "RCDome decoder" are used, with the bare words "database", "decoder", and the internal term "matrix" banned (the matrix rule is biology-safe, ignoring extracellular matrix, mitochondrial matrix, and matrix metalloproteinase); (2) assertive causal verbs are replaced with hedging equivalents in all tenses; (3) genuine uncertainty phrasing is preserved; (4) the exact verbatim disclaimer is appended at the very end; (5) the synthesis body ends with exactly three numbered "Suggested Queries:" immediately before the disclaimer (auto-numbered, never invented); (6) only PMIDs present in the data may be cited, and the founding PMID is always cited when the entity's operational definition is described; and (7) a pair absent from the database is reported as "not recorded" without inventing a role or direction.</w:t>
      </w:r>
    </w:p>
    <w:p w14:paraId="26558E06" w14:textId="77777777" w:rsidR="00654118" w:rsidRPr="00CD1CF5" w:rsidRDefault="00654118" w:rsidP="00CD1CF5">
      <w:pPr>
        <w:spacing w:after="0" w:line="240" w:lineRule="auto"/>
        <w:rPr>
          <w:rFonts w:asciiTheme="majorHAnsi" w:hAnsiTheme="majorHAnsi" w:cstheme="majorHAnsi"/>
          <w:szCs w:val="24"/>
        </w:rPr>
      </w:pPr>
    </w:p>
    <w:p w14:paraId="3B363EA4"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b/>
          <w:szCs w:val="24"/>
        </w:rPr>
        <w:t>Q&amp;A retrieval strategy</w:t>
      </w:r>
    </w:p>
    <w:p w14:paraId="2B0DF7D7"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lastRenderedPageBreak/>
        <w:t>The Q&amp;A submodule answers free-form questions across all 53 entities and all 9,265 genes. The complete gene–form matrix (22,473 rows, each carrying mechanistic class, role, direction, evidence tier, and PMID) exceeds the model context, so the Q&amp;A uses a retrieval-augmented strategy that never deletes data. A static layer always injects the complete gene–entity index (all 22,473 associations, names only) and the full 53-entity decoder. A dynamic layer then detects, for each question, the entities mentioned (by normalized name or its stem, so “apoptotic” matches Apoptosis) and any gene symbols, and injects the full four-dimension records for exactly those rows. Genes named explicitly in the question are always placed first so the budget can never displace them. The dynamic layer is capped so the full prompt stays within the model context (about 58K tokens), with a reply token limit applied. No entity or gene is ever excluded from the index, and every classification (MECHANISTIC, LITERATURE_GAP, CONTEXT_GAP, CO_OCCURRENCE, DATABASE_ONLY, INSUFFICIENT_DATA) remains retrievable, so a gene recorded as executor in one form and regulator in another is shown with both records.</w:t>
      </w:r>
    </w:p>
    <w:p w14:paraId="51E9B9E9" w14:textId="77777777" w:rsidR="00DB4E22" w:rsidRPr="00CD1CF5" w:rsidRDefault="00DB4E22" w:rsidP="00CD1CF5">
      <w:pPr>
        <w:spacing w:after="0" w:line="240" w:lineRule="auto"/>
        <w:rPr>
          <w:rFonts w:asciiTheme="majorHAnsi" w:hAnsiTheme="majorHAnsi" w:cstheme="majorHAnsi"/>
          <w:b/>
          <w:bCs/>
          <w:szCs w:val="24"/>
        </w:rPr>
      </w:pPr>
    </w:p>
    <w:p w14:paraId="0E8E1270" w14:textId="77777777" w:rsidR="00654118" w:rsidRPr="00CD1CF5" w:rsidRDefault="00000000" w:rsidP="00CD1CF5">
      <w:pPr>
        <w:spacing w:after="0" w:line="240" w:lineRule="auto"/>
        <w:rPr>
          <w:rFonts w:asciiTheme="majorHAnsi" w:hAnsiTheme="majorHAnsi" w:cstheme="majorHAnsi"/>
          <w:b/>
          <w:bCs/>
          <w:szCs w:val="24"/>
        </w:rPr>
      </w:pPr>
      <w:r w:rsidRPr="00CD1CF5">
        <w:rPr>
          <w:rFonts w:asciiTheme="majorHAnsi" w:hAnsiTheme="majorHAnsi" w:cstheme="majorHAnsi"/>
          <w:b/>
          <w:bCs/>
          <w:szCs w:val="24"/>
        </w:rPr>
        <w:t>Benchmark design</w:t>
      </w:r>
    </w:p>
    <w:p w14:paraId="7B6610A6"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benchmark (run_board_benchmark.py and audit_canonical.py) evaluates the board on nine tests, each with its own statistically determined sample size, 95% Wilson confidence interval, and significance test. The deterministic scrub is applied to the raw model output before the audit, so the audit measures the final, scrubbed text; scrub corrections are logged separately. The audit is a fixed 28-point checklist per synthesis report: 10 governance checks (causal verbs, hedging, disclaimer, three queries), 14 policy checks (terminology and relationship terms), and 4 accuracy checks (cited PMIDs exist, founding PMID cited, role matches, direction matches). Census reports use a 24-point lookup audit without the query requirement, and negative controls use a 29-point audit with inverted role and direction checks. Sample sizes follow the standard formulas: n = z²·p·(1−p)/E² for a proportion at 95% confidence (z = 1.96); n = (zα+zβ)²·2·p̄·(1−p̄)/Δ² to detect a difference at 80% power (zβ = 0.84); and the Wilson 95% interval (p + z²/2n ± z·√(p(1−p)/n + z²/4n²))/(1 + z²/n).</w:t>
      </w:r>
    </w:p>
    <w:p w14:paraId="1599B8D4" w14:textId="77777777" w:rsidR="00DB4E22" w:rsidRPr="00CD1CF5" w:rsidRDefault="00DB4E22" w:rsidP="00CD1CF5">
      <w:pPr>
        <w:spacing w:after="0" w:line="240" w:lineRule="auto"/>
        <w:rPr>
          <w:rFonts w:asciiTheme="majorHAnsi" w:hAnsiTheme="majorHAnsi" w:cstheme="majorHAnsi"/>
          <w:b/>
          <w:bCs/>
          <w:szCs w:val="24"/>
        </w:rPr>
      </w:pPr>
    </w:p>
    <w:p w14:paraId="45544EB1" w14:textId="77777777" w:rsidR="00654118" w:rsidRPr="00CD1CF5" w:rsidRDefault="00000000" w:rsidP="00CD1CF5">
      <w:pPr>
        <w:spacing w:after="0" w:line="240" w:lineRule="auto"/>
        <w:rPr>
          <w:rFonts w:asciiTheme="majorHAnsi" w:hAnsiTheme="majorHAnsi" w:cstheme="majorHAnsi"/>
          <w:b/>
          <w:bCs/>
          <w:szCs w:val="24"/>
        </w:rPr>
      </w:pPr>
      <w:r w:rsidRPr="00CD1CF5">
        <w:rPr>
          <w:rFonts w:asciiTheme="majorHAnsi" w:hAnsiTheme="majorHAnsi" w:cstheme="majorHAnsi"/>
          <w:b/>
          <w:bCs/>
          <w:szCs w:val="24"/>
        </w:rPr>
        <w:t>Results</w:t>
      </w:r>
    </w:p>
    <w:p w14:paraId="4E5BC68C"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The benchmark ran on 2026-09-09 with seed 42, temperature 0.7, prompt v2-smoke-aligned, and the deepseek-chat model. Golden accuracy was 26/26 (100%; Wilson 95% CI 87.1–100%; binomial against 0.95, p = 0.639). Census accuracy was 53/53 (100%; CI 93.2–100%; binomial p = 0.114). Fact-stability on BAX-Apoptosis was 73/73 (100% per fact for gene, entity, and founding PMID; CI 95.0–100%). Governance showed 1 violation across 2,142 checks (0.047%; CI 0.008–0.264%), broken down as causality 0, hedge 0, disclaimer 0, queries 1, terminology 0, and accuracy 0. Anti-hallucination caught 4 of 4 traps (100%; CI 51.0–100%). Articulation conformed in 78 of 79 reports (98.7%; CI 93.2–99.8%). Model comparison favored deepseek-chat (26/26, 100%) over deepseek-reasoner (22/26, 84.6%). Chat governance passed 10/10 (100% across five question types). The single governance violation was MLKL-Necroptosis failing the exactly-three-queries check; on direct regeneration that same report passed 30/30, confirming this is temperature-driven prose variability rather than a systematic defect. The deterministic scrub applied 163 corrections across the </w:t>
      </w:r>
      <w:r w:rsidRPr="00CD1CF5">
        <w:rPr>
          <w:rFonts w:asciiTheme="majorHAnsi" w:hAnsiTheme="majorHAnsi" w:cstheme="majorHAnsi"/>
          <w:szCs w:val="24"/>
        </w:rPr>
        <w:lastRenderedPageBreak/>
        <w:t>run (55 bare database or decoder terms, causal-verb hedging, markdown-bold removal, and disclaimer and query normalization).</w:t>
      </w:r>
    </w:p>
    <w:p w14:paraId="31DCD86E" w14:textId="77777777" w:rsidR="00DB4E22" w:rsidRPr="00CD1CF5" w:rsidRDefault="00DB4E22" w:rsidP="00CD1CF5">
      <w:pPr>
        <w:spacing w:after="0" w:line="240" w:lineRule="auto"/>
        <w:rPr>
          <w:rFonts w:asciiTheme="majorHAnsi" w:hAnsiTheme="majorHAnsi" w:cstheme="majorHAnsi"/>
          <w:b/>
          <w:szCs w:val="24"/>
        </w:rPr>
      </w:pPr>
    </w:p>
    <w:p w14:paraId="0067B933"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b/>
          <w:szCs w:val="24"/>
        </w:rPr>
        <w:t>Q&amp;A benchmark description and validation</w:t>
      </w:r>
    </w:p>
    <w:p w14:paraId="263886B6"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Q&amp;A submodule was benchmarked with the same statistical machinery as the board benchmark (point estimate, Wilson 95% CI, binomial test against a 0.95 null), using deepseek-chat, temperature 0.3, a 1500-token reply cap, and the full retrieval-augmented prompt. Two tests were run. T10 positive accuracy (n = 100; 25 golden executor or regulator gene–form pairs, each queried on role, direction, evidence tier, and supporting PMID) audited five checks per answer: the correct fact is cited, the RCDome source is named, the interpretation is hedged, the disclaimer is appended, and no PMID absent from the data is cited; the result was 100/100 = 100% (Wilson 95% CI 96.3–100%, binomial p = 0.010). T11 negative controls (n = 100; 8 not-recorded pairs queried on the same four types, plus 68 out-of-scope or fabrication queries) were all reported as absent or refused without a hallucinated PMID; the result was 100/100 = 100% (Wilson 95% CI 96.3–100%, binomial p = 0.010). The significance of the Q&amp;A submodule is that it makes the board a full-coverage interface rather than a single-entity viewer: the static layer keeps the complete gene–entity index and the dynamic layer retrieves the full four-dimension records on demand, so the Q&amp;A answers across all 53 entities and all 9,265 genes without funneling the data. Every classification (MECHANISTIC, LITERATURE_GAP, CONTEXT_GAP, CO_OCCURRENCE, DATABASE_ONLY, INSUFFICIENT_DATA) remains reachable, and a gene recorded as an executor in one form and a regulator in another is shown with both records (for example, BAX as a mechanistic executor in apoptosis with PMID 17235284, together with its co-occurrence annotations in necroptosis and pyroptosis and its insufficient-data annotations in autosis, erebosis, and oncosis). The 100% positive and negative results recorded zero hallucinated PMIDs across the benchmark, demonstrating that full coverage and zero observed hallucination were achieved together in the same module.</w:t>
      </w:r>
    </w:p>
    <w:p w14:paraId="6194BBE6" w14:textId="77777777" w:rsidR="00654118" w:rsidRPr="00CD1CF5" w:rsidRDefault="00654118" w:rsidP="00CD1CF5">
      <w:pPr>
        <w:spacing w:after="0" w:line="240" w:lineRule="auto"/>
        <w:rPr>
          <w:rFonts w:asciiTheme="majorHAnsi" w:hAnsiTheme="majorHAnsi" w:cstheme="majorHAnsi"/>
          <w:szCs w:val="24"/>
        </w:rPr>
      </w:pPr>
    </w:p>
    <w:p w14:paraId="21F94F3B"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b/>
          <w:bCs/>
          <w:szCs w:val="24"/>
        </w:rPr>
        <w:t>Statistical design.</w:t>
      </w:r>
      <w:r w:rsidRPr="00CD1CF5">
        <w:rPr>
          <w:rFonts w:asciiTheme="majorHAnsi" w:hAnsiTheme="majorHAnsi" w:cstheme="majorHAnsi"/>
          <w:szCs w:val="24"/>
        </w:rPr>
        <w:t xml:space="preserve"> The Q&amp;A tests use the same sample-size formulas as the board benchmark: proportion 95% CI n = z²·p·(1−p)/E² (z = 1.96); detect a defect Δ with 80% power n = (zα+zβ)²·2·p̄·(1−p̄)/Δ² (zβ = 0.84); Wilson 95% CI lower bound for 100% observed n/(n + z²). A claim of accuracy at least 95% with 95% confidence requires the Wilson lower bound to reach 95%, which occurs at n = 73 (73/76.84 = 0.950). For two-sided significance against the 0.95 null, n = 100 gives p = 0.010. In power terms (80%): n = 77 detects a 15% absolute defect (p = 0.80), n = 142 detects 10%, and n = 436 detects 5%. The chosen n = 100 therefore detects an absolute defect of about 12.5% at 80% power, holds the Wilson lower bound at 96.3%, and gives a one-sided binomial p = 0.006 and a two-sided p = 0.010. T10 breakdown (25 pairs × 4 question types, all 100 passed): role 25/25, direction 25/25, evidence tier 25/25, supporting PMID 25/25. T11 breakdown: not-recorded 32/32 (8 pairs × 4 types), out-of-scope and fabrication refusal 68/68. Audit volume: T10 = 100 answers × 5 checks = 500; T11 = 32 not-recorded checks plus 68 refusal checks × 2 = 168; 668 checks in total, all passed.</w:t>
      </w:r>
    </w:p>
    <w:p w14:paraId="74615AC1" w14:textId="77777777" w:rsidR="00DB4E22" w:rsidRPr="00CD1CF5" w:rsidRDefault="00DB4E22" w:rsidP="00CD1CF5">
      <w:pPr>
        <w:spacing w:after="0" w:line="240" w:lineRule="auto"/>
        <w:rPr>
          <w:rFonts w:asciiTheme="majorHAnsi" w:hAnsiTheme="majorHAnsi" w:cstheme="majorHAnsi"/>
          <w:b/>
          <w:bCs/>
          <w:szCs w:val="24"/>
        </w:rPr>
      </w:pPr>
    </w:p>
    <w:p w14:paraId="55E39386" w14:textId="77777777" w:rsidR="00654118" w:rsidRPr="00CD1CF5" w:rsidRDefault="00000000" w:rsidP="00CD1CF5">
      <w:pPr>
        <w:spacing w:after="0" w:line="240" w:lineRule="auto"/>
        <w:rPr>
          <w:rFonts w:asciiTheme="majorHAnsi" w:hAnsiTheme="majorHAnsi" w:cstheme="majorHAnsi"/>
          <w:b/>
          <w:bCs/>
          <w:szCs w:val="24"/>
        </w:rPr>
      </w:pPr>
      <w:r w:rsidRPr="00CD1CF5">
        <w:rPr>
          <w:rFonts w:asciiTheme="majorHAnsi" w:hAnsiTheme="majorHAnsi" w:cstheme="majorHAnsi"/>
          <w:b/>
          <w:bCs/>
          <w:szCs w:val="24"/>
        </w:rPr>
        <w:t>Code corrections</w:t>
      </w:r>
    </w:p>
    <w:p w14:paraId="169F6DCC"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lastRenderedPageBreak/>
        <w:t>Six defects were found and fixed during validation: (1) the violation-type mapping had mislabeled the hedging and query checks and contained a dead branch, so hedge and query counts were reported incorrectly; (2) every failed check is now logged with its pair, check identifier, name, and exact detail rather than only tallies; (3) the scrub now removes markdown bold markers; (4) entities with the sentinel category CORE_PENDING are no longer falsely flagged, which corrected census accuracy from 51/53 to 53/53; (5) the query-count articulation check now applies only to synthesis and negative reports, not to census lookups; and (6) the matrix policy check now ignores extracellular matrix, mitochondrial matrix, and matrix metalloproteinase.</w:t>
      </w:r>
    </w:p>
    <w:p w14:paraId="7D43F715" w14:textId="77777777" w:rsidR="00654118" w:rsidRPr="00CD1CF5" w:rsidRDefault="00654118" w:rsidP="00CD1CF5">
      <w:pPr>
        <w:spacing w:after="0" w:line="240" w:lineRule="auto"/>
        <w:rPr>
          <w:rFonts w:asciiTheme="majorHAnsi" w:hAnsiTheme="majorHAnsi" w:cstheme="majorHAnsi"/>
          <w:szCs w:val="24"/>
        </w:rPr>
      </w:pPr>
    </w:p>
    <w:p w14:paraId="336AE7E0" w14:textId="77777777" w:rsidR="004C3044" w:rsidRDefault="00000000">
      <w:r>
        <w:rPr>
          <w:b/>
        </w:rPr>
        <w:t>Post-review regression benchmarks</w:t>
      </w:r>
    </w:p>
    <w:p w14:paraId="274E50F9" w14:textId="77777777" w:rsidR="004C3044" w:rsidRDefault="00000000">
      <w:r>
        <w:t>The Board and Q&amp;A were benchmarked on random, seed-reproducible samples of n = 100 gene–entity pairs or queries, with the exact binomial 95% confidence interval (Clopper–Pearson).</w:t>
      </w:r>
    </w:p>
    <w:p w14:paraId="028516B6" w14:textId="77777777" w:rsidR="004C3044" w:rsidRDefault="00000000">
      <w:r w:rsidRPr="00906CAC">
        <w:rPr>
          <w:b/>
          <w:bCs/>
        </w:rPr>
        <w:t>Reference discipline.</w:t>
      </w:r>
      <w:r>
        <w:t xml:space="preserve"> Because a synthesis may cite both gene–RCD association evidence and entity-level definitions, the two citation levels must never be interchanged: a gene–RCD statement must cite the gene-specific association PMID, and a definition statement must cite the entity founding PMID. Across 100 associations, the synthesis separated the two levels correctly in all 100 cases (100%; 95% CI 96.4–100%).</w:t>
      </w:r>
    </w:p>
    <w:p w14:paraId="46C4E4B6" w14:textId="77777777" w:rsidR="004C3044" w:rsidRDefault="00000000">
      <w:r w:rsidRPr="00906CAC">
        <w:rPr>
          <w:b/>
          <w:bCs/>
        </w:rPr>
        <w:t>Context fidelity</w:t>
      </w:r>
      <w:r>
        <w:t>. The Board receives the structured payload (role, direction, mechanistic class, evidence tier, required_for_death) for the queried gene–entity pair, and the prose must not contradict those fields. Across 100 pairs, no contradiction was observed (100%; 95% CI 96.4–100%).</w:t>
      </w:r>
    </w:p>
    <w:p w14:paraId="0A86F47D" w14:textId="77777777" w:rsidR="004C3044" w:rsidRDefault="00000000">
      <w:r w:rsidRPr="00906CAC">
        <w:rPr>
          <w:b/>
          <w:bCs/>
        </w:rPr>
        <w:t>English-only policy</w:t>
      </w:r>
      <w:r>
        <w:t>. The Board and Q&amp;A answer only in English; a query in any other language must receive the exact refusal sentence. Across 100 non-English queries (Portuguese, Spanish, French), all 100 were refused correctly (100%; 95% CI 96.4–100%).</w:t>
      </w:r>
    </w:p>
    <w:p w14:paraId="765E05C5" w14:textId="77777777" w:rsidR="004C3044" w:rsidRDefault="00000000">
      <w:r w:rsidRPr="00906CAC">
        <w:rPr>
          <w:b/>
          <w:bCs/>
        </w:rPr>
        <w:t>Minimal source and insufficient-data directness</w:t>
      </w:r>
      <w:r>
        <w:t>. For a gene–entity pair with no recorded PMID, the synthesis must state that no PMID is recorded and name the source database; for a pair with an INSUFFICIENT_DATA mechanistic classification, it must say so directly rather than expand empty fields. Across 100 cases of each, the correct behavior was observed in all 100 (100%; 95% CI 96.4–100%).</w:t>
      </w:r>
    </w:p>
    <w:p>
      <w:r>
        <w:t>Held-out validation. To confirm that the post-review results generalize beyond the development sample, the reference-discipline and context-fidelity benchmarks were re-run on a fresh held-out sample (seed 20260919, n = 100 each, excluding the development cases). Both held-out runs were 100% (100/100; exact binomial 95% CI 96.4–100%), matching the development results and validating the “≥96% with 95% confidence” claim on unseen cases.</w:t>
      </w:r>
    </w:p>
    <w:p w14:paraId="101056C6" w14:textId="5B2B4633"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The board achieves 100% golden accuracy, 100% census accuracy, 100% fact-stability, a 0.047% governance violation rate, and 98.7% articulation conformity, with every violation traceable and logged. </w:t>
      </w:r>
    </w:p>
    <w:p w14:paraId="5DDD9550" w14:textId="77777777" w:rsidR="00DB4E22" w:rsidRPr="00CD1CF5" w:rsidRDefault="00DB4E22" w:rsidP="00CD1CF5">
      <w:pPr>
        <w:pStyle w:val="Ttulo1"/>
        <w:spacing w:before="0" w:line="240" w:lineRule="auto"/>
        <w:rPr>
          <w:rFonts w:cstheme="majorHAnsi"/>
          <w:sz w:val="24"/>
          <w:szCs w:val="24"/>
        </w:rPr>
      </w:pPr>
    </w:p>
    <w:p w14:paraId="18B5FE6C" w14:textId="77777777" w:rsidR="00A92B80" w:rsidRPr="00CD1CF5" w:rsidRDefault="00000000" w:rsidP="00CD1CF5">
      <w:pPr>
        <w:pStyle w:val="Ttulo1"/>
        <w:spacing w:before="0" w:line="240" w:lineRule="auto"/>
        <w:rPr>
          <w:rFonts w:cstheme="majorHAnsi"/>
          <w:sz w:val="24"/>
          <w:szCs w:val="24"/>
        </w:rPr>
      </w:pPr>
      <w:r w:rsidRPr="00CD1CF5">
        <w:rPr>
          <w:rFonts w:cstheme="majorHAnsi"/>
          <w:sz w:val="24"/>
          <w:szCs w:val="24"/>
        </w:rPr>
        <w:t>Supplementary Figure Legends</w:t>
      </w:r>
    </w:p>
    <w:p>
      <w:pPr/>
      <w:r>
        <w:t>Supplementary Figure S1. Evaluation architecture of RCDome. RCDome decomposes its curation into three objects that answer distinct scientific questions and are therefore assessed independently and never conflated. (1) The RCD entity — what kind of cell-death entity is this? — is classified biologically and ontologically through modality criteria (MC1–MC5: machinery, trigger, morphology, nomenclature, distinguishability), an evidence checklist (Q1–Q13), biological gates (BG0–BG6, with G1 machinery and G2 necessity obligatory), and a final ontological level (L1–L5); complementary descriptors record evidence maturity, species scope, relationship type, and parent entity. (2) The gene–RCD association — is gene X mechanistically linked to this entity? — is qualified by evidence tier (ET1–ET4) and a distinct confidence tier (CT1–CT4 or confidence_score), and annotated with mechanistic role and direction (EXECUTOR, REGULATOR, MARKER; positive/negative/mixed). (3) Pipeline quality — can the automated extraction be trusted? — is assessed through Elicit governance gates (EG1–EG5), input validation (allow-list and vocabulary compliance), EXECUTOR precision, and traceability. This three-way separation ensures that an ontological judgment is never mistaken for gene-level evidence, and that an extraction error is never mistaken for biological signal.</w:t>
      </w:r>
    </w:p>
    <w:p w14:paraId="18EE3F57" w14:textId="77777777" w:rsidR="00A92B80" w:rsidRDefault="00000000" w:rsidP="00CD1CF5">
      <w:pPr>
        <w:spacing w:after="0" w:line="240" w:lineRule="auto"/>
        <w:rPr>
          <w:rFonts w:asciiTheme="majorHAnsi" w:hAnsiTheme="majorHAnsi" w:cstheme="majorHAnsi"/>
          <w:bCs/>
          <w:szCs w:val="24"/>
        </w:rPr>
      </w:pPr>
      <w:r w:rsidRPr="00CD1CF5">
        <w:rPr>
          <w:rFonts w:asciiTheme="majorHAnsi" w:hAnsiTheme="majorHAnsi" w:cstheme="majorHAnsi"/>
          <w:b/>
          <w:szCs w:val="24"/>
        </w:rPr>
        <w:t>Supplementary Figure S2. Database contribution and multi-database corroboration. (A) Number of gene–RCD associations contributed by each of the 20 source databases (log2-scaled axis; exact counts printed at the end of each bar). (B) Number of source databases per association: 10,009 associations rest on a single source, 6,313 are corroborated by two sources, and the count declines steeply with additional sources; the long tail up to 14 sources marks the best-corroborated associations (e.g., the canonical executors), which carry the strongest multi-database agreement.</w:t>
      </w:r>
      <w:r w:rsidRPr="00CD1CF5">
        <w:rPr>
          <w:rFonts w:asciiTheme="majorHAnsi" w:hAnsiTheme="majorHAnsi" w:cstheme="majorHAnsi"/>
          <w:bCs/>
          <w:szCs w:val="24"/>
        </w:rPr>
      </w:r>
    </w:p>
    <w:p w14:paraId="0700B8BD" w14:textId="77777777" w:rsidR="00FE7B70" w:rsidRPr="00CD1CF5" w:rsidRDefault="00FE7B70" w:rsidP="00CD1CF5">
      <w:pPr>
        <w:spacing w:after="0" w:line="240" w:lineRule="auto"/>
        <w:rPr>
          <w:rFonts w:asciiTheme="majorHAnsi" w:hAnsiTheme="majorHAnsi" w:cstheme="majorHAnsi"/>
          <w:szCs w:val="24"/>
        </w:rPr>
      </w:pPr>
    </w:p>
    <w:p w14:paraId="41BBCCC1"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b/>
          <w:szCs w:val="24"/>
        </w:rPr>
        <w:t>Supplementary Figure S3. Mechanistic associations per source, stacked by RCD entity ontological level. Each bar shows the number of gene–RCD associations classified as mechanistically involved by the DeepSeek chain-of-thought run (cot_mechanistic = YES), segmented by the ontological level of the corresponding RCD entity: L1 modalities (19 entities), L2 subtypes (7), L3 triggers (2), L4 functional/contextual (13), and L5 generic/umbrella/taxon (12). Colors follow the same concordant palette as Figure 4. The total number of mechanistic associations is printed at the end of each bar, ranging from 2 (Elicit Alert) to 6,452 (Rodrigues et al. 2025).</w:t>
      </w:r>
      <w:r w:rsidRPr="00FE7B70">
        <w:rPr>
          <w:rFonts w:asciiTheme="majorHAnsi" w:hAnsiTheme="majorHAnsi" w:cstheme="majorHAnsi"/>
          <w:bCs/>
          <w:szCs w:val="24"/>
        </w:rPr>
      </w:r>
    </w:p>
    <w:sectPr w:rsidR="00A92B80" w:rsidRPr="00CD1CF5" w:rsidSect="007342FF">
      <w:pgSz w:w="11907" w:h="16840" w:code="9"/>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4A90E" w14:textId="77777777" w:rsidR="00F3016F" w:rsidRDefault="00F3016F">
      <w:pPr>
        <w:spacing w:after="0" w:line="240" w:lineRule="auto"/>
      </w:pPr>
      <w:r>
        <w:separator/>
      </w:r>
    </w:p>
  </w:endnote>
  <w:endnote w:type="continuationSeparator" w:id="0">
    <w:p w14:paraId="74491F70" w14:textId="77777777" w:rsidR="00F3016F" w:rsidRDefault="00F30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D9FC5" w14:textId="77777777" w:rsidR="00F3016F" w:rsidRDefault="00F3016F">
      <w:pPr>
        <w:spacing w:after="0" w:line="240" w:lineRule="auto"/>
      </w:pPr>
      <w:r>
        <w:separator/>
      </w:r>
    </w:p>
  </w:footnote>
  <w:footnote w:type="continuationSeparator" w:id="0">
    <w:p w14:paraId="670173C0" w14:textId="77777777" w:rsidR="00F3016F" w:rsidRDefault="00F301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718109"/>
      <w:docPartObj>
        <w:docPartGallery w:val="Page Numbers (Top of Page)"/>
        <w:docPartUnique/>
      </w:docPartObj>
    </w:sdtPr>
    <w:sdtContent>
      <w:p w14:paraId="08A05F9A" w14:textId="77777777" w:rsidR="00784529" w:rsidRDefault="00784529">
        <w:pPr>
          <w:pStyle w:val="Cabealho"/>
          <w:jc w:val="right"/>
        </w:pPr>
        <w:r>
          <w:fldChar w:fldCharType="begin"/>
        </w:r>
        <w:r>
          <w:instrText>PAGE   \* MERGEFORMAT</w:instrText>
        </w:r>
        <w:r>
          <w:fldChar w:fldCharType="separate"/>
        </w:r>
        <w:r>
          <w:rPr>
            <w:lang w:val="pt-BR"/>
          </w:rPr>
          <w:t>2</w:t>
        </w:r>
        <w:r>
          <w:fldChar w:fldCharType="end"/>
        </w:r>
      </w:p>
    </w:sdtContent>
  </w:sdt>
  <w:p w14:paraId="0B805331" w14:textId="77777777" w:rsidR="00784529" w:rsidRDefault="0078452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375617929">
    <w:abstractNumId w:val="8"/>
  </w:num>
  <w:num w:numId="2" w16cid:durableId="149488102">
    <w:abstractNumId w:val="6"/>
  </w:num>
  <w:num w:numId="3" w16cid:durableId="842234759">
    <w:abstractNumId w:val="5"/>
  </w:num>
  <w:num w:numId="4" w16cid:durableId="2054690051">
    <w:abstractNumId w:val="4"/>
  </w:num>
  <w:num w:numId="5" w16cid:durableId="38944216">
    <w:abstractNumId w:val="7"/>
  </w:num>
  <w:num w:numId="6" w16cid:durableId="1299528288">
    <w:abstractNumId w:val="3"/>
  </w:num>
  <w:num w:numId="7" w16cid:durableId="662707529">
    <w:abstractNumId w:val="2"/>
  </w:num>
  <w:num w:numId="8" w16cid:durableId="154613902">
    <w:abstractNumId w:val="1"/>
  </w:num>
  <w:num w:numId="9" w16cid:durableId="1461461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K3tDAxNDUzMTOxNDZS0lEKTi0uzszPAykwrgUAV1tTaSwAAAA="/>
  </w:docVars>
  <w:rsids>
    <w:rsidRoot w:val="00B47730"/>
    <w:rsid w:val="00034616"/>
    <w:rsid w:val="000357C8"/>
    <w:rsid w:val="0006063C"/>
    <w:rsid w:val="001069E6"/>
    <w:rsid w:val="0015074B"/>
    <w:rsid w:val="001934C5"/>
    <w:rsid w:val="0029639D"/>
    <w:rsid w:val="00326F90"/>
    <w:rsid w:val="00380B78"/>
    <w:rsid w:val="003F1EE0"/>
    <w:rsid w:val="00481A07"/>
    <w:rsid w:val="004B6A35"/>
    <w:rsid w:val="004C3044"/>
    <w:rsid w:val="00511694"/>
    <w:rsid w:val="00606BC5"/>
    <w:rsid w:val="00654118"/>
    <w:rsid w:val="00670EE4"/>
    <w:rsid w:val="0070721A"/>
    <w:rsid w:val="007342FF"/>
    <w:rsid w:val="00784529"/>
    <w:rsid w:val="00882747"/>
    <w:rsid w:val="00896322"/>
    <w:rsid w:val="00906CAC"/>
    <w:rsid w:val="00927094"/>
    <w:rsid w:val="009579BE"/>
    <w:rsid w:val="00A92B80"/>
    <w:rsid w:val="00AA1D8D"/>
    <w:rsid w:val="00B47730"/>
    <w:rsid w:val="00BB22A7"/>
    <w:rsid w:val="00CB0664"/>
    <w:rsid w:val="00CD1CF5"/>
    <w:rsid w:val="00D40D65"/>
    <w:rsid w:val="00DB4E22"/>
    <w:rsid w:val="00DC66DC"/>
    <w:rsid w:val="00F3016F"/>
    <w:rsid w:val="00FC693F"/>
    <w:rsid w:val="00FE7B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4F30B"/>
  <w14:defaultImageDpi w14:val="330"/>
  <w15:docId w15:val="{0903DE4A-ADD7-44A5-A213-DA34FA8D3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78452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ique@uenf.b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quique@uenf.b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igoralmeida1995@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victor94santos.lopes@gmail.com" TargetMode="External"/><Relationship Id="rId4" Type="http://schemas.openxmlformats.org/officeDocument/2006/relationships/settings" Target="settings.xml"/><Relationship Id="rId9" Type="http://schemas.openxmlformats.org/officeDocument/2006/relationships/hyperlink" Target="mailto:souza.ers00@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4964</Words>
  <Characters>27308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Enrique Medina-Acosta</cp:lastModifiedBy>
  <cp:revision>15</cp:revision>
  <dcterms:created xsi:type="dcterms:W3CDTF">2013-12-23T23:15:00Z</dcterms:created>
  <dcterms:modified xsi:type="dcterms:W3CDTF">2026-09-19T13:32:00Z</dcterms:modified>
  <cp:category/>
</cp:coreProperties>
</file>