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and independently assessed by a second curator (VdSL) on an entity-by-entity basis. Cases requiring reconsideration or involving disagreement between the two assessments were jointly adjudicated by both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(7, blue), L3 triggers (2, green), L4 Functional/contextual (11, purple), and L5 Generic/umbrella/taxon (17,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