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2"/>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{Galluzzi, 2018 #782025}. The NCCD’s operational-definition list totals 20 entities — these 15 plus anoikis, autosis, efferocytosis, mitotic death, and programmed cell death — all retained verbatim in RCDome. Building on this framework, our group compiled gene-level associations for 25 forms and provided tentative operational definitions for forms not covered in the NCCD consensus {Rodrigues de Souza, 2025 #782030;Rodrigues de Souza, 2026 #784804}.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r w:rsidRPr="0022059B">
        <w:rPr>
          <w:rFonts w:asciiTheme="majorHAnsi" w:hAnsiTheme="majorHAnsi" w:cstheme="majorHAnsi"/>
          <w:szCs w:val="24"/>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rPr>
      </w:r>
      <w:r w:rsidRPr="0022059B">
        <w:rPr>
          <w:rFonts w:asciiTheme="majorHAnsi" w:hAnsiTheme="majorHAnsi" w:cstheme="majorHAnsi"/>
          <w:szCs w:val="24"/>
          <w:highlight w:val="yellow"/>
        </w:rPr>
      </w:r>
      <w:r w:rsidRPr="0022059B">
        <w:rPr>
          <w:rFonts w:asciiTheme="majorHAnsi" w:hAnsiTheme="majorHAnsi" w:cstheme="majorHAnsi"/>
          <w:szCs w:val="24"/>
        </w:rPr>
      </w:r>
      <w:r w:rsidR="0022059B">
        <w:rPr>
          <w:rFonts w:asciiTheme="majorHAnsi" w:hAnsiTheme="majorHAnsi" w:cstheme="majorHAnsi"/>
          <w:szCs w:val="24"/>
        </w:rPr>
      </w:r>
      <w:r w:rsidRPr="0022059B">
        <w:rPr>
          <w:rFonts w:asciiTheme="majorHAnsi" w:hAnsiTheme="majorHAnsi" w:cstheme="majorHAnsi"/>
          <w:szCs w:val="24"/>
        </w:rPr>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Specialized databases such as FerrDB v3 (22 RCD forms, 3,481 genes) {Zhou, 2026 #782033} and RCDdb {Wang, 2024 #782694}, together with our prior compilation (25 RCD forms, 5,913 genes) {Rodrigues de Souza, 2025 #782030},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r w:rsidR="00980C69" w:rsidRPr="009B500E">
        <w:rPr>
          <w:rFonts w:asciiTheme="majorHAnsi" w:hAnsiTheme="majorHAnsi" w:cstheme="majorHAnsi"/>
          <w:szCs w:val="24"/>
          <w:highlight w:val="yellow"/>
        </w:rPr>
      </w:r>
      <w:r w:rsidR="00980C69" w:rsidRPr="009B500E">
        <w:rPr>
          <w:rFonts w:asciiTheme="majorHAnsi" w:hAnsiTheme="majorHAnsi" w:cstheme="majorHAnsi"/>
          <w:szCs w:val="24"/>
        </w:rPr>
      </w:r>
      <w:r w:rsidRPr="009B500E">
        <w:rPr>
          <w:rFonts w:asciiTheme="majorHAnsi" w:hAnsiTheme="majorHAnsi" w:cstheme="majorHAnsi"/>
          <w:szCs w:val="24"/>
        </w:rPr>
      </w:r>
      <w:r w:rsidR="000F5DEE" w:rsidRPr="009B500E">
        <w:rPr>
          <w:rFonts w:asciiTheme="majorHAnsi" w:hAnsiTheme="majorHAnsi" w:cstheme="majorHAnsi"/>
          <w:szCs w:val="24"/>
        </w:rPr>
      </w:r>
      <w:r w:rsidR="000F5DEE" w:rsidRPr="009B500E">
        <w:rPr>
          <w:rFonts w:asciiTheme="majorHAnsi" w:hAnsiTheme="majorHAnsi" w:cstheme="majorHAnsi"/>
          <w:szCs w:val="24"/>
          <w:highlight w:val="yellow"/>
        </w:rPr>
      </w:r>
      <w:r w:rsidRPr="009B500E">
        <w:rPr>
          <w:rFonts w:asciiTheme="majorHAnsi" w:hAnsiTheme="majorHAnsi" w:cstheme="majorHAnsi"/>
          <w:szCs w:val="24"/>
          <w:highlight w:val="yellow"/>
        </w:rPr>
      </w:r>
      <w:r w:rsidRPr="009B500E">
        <w:rPr>
          <w:rFonts w:asciiTheme="majorHAnsi" w:hAnsiTheme="majorHAnsi" w:cstheme="majorHAnsi"/>
          <w:szCs w:val="24"/>
        </w:rPr>
      </w:r>
      <w:r w:rsidR="00187DB0" w:rsidRPr="009B500E">
        <w:rPr>
          <w:rFonts w:asciiTheme="majorHAnsi" w:hAnsiTheme="majorHAnsi" w:cstheme="majorHAnsi"/>
          <w:szCs w:val="24"/>
          <w:highlight w:val="yellow"/>
        </w:rPr>
      </w:r>
      <w:r w:rsidRPr="009B500E">
        <w:rPr>
          <w:rFonts w:asciiTheme="majorHAnsi" w:hAnsiTheme="majorHAnsi" w:cstheme="majorHAnsi"/>
          <w:szCs w:val="24"/>
          <w:highlight w:val="yellow"/>
        </w:rPr>
      </w:r>
      <w:r w:rsidRPr="009B500E">
        <w:rPr>
          <w:rFonts w:asciiTheme="majorHAnsi" w:hAnsiTheme="majorHAnsi" w:cstheme="majorHAnsi"/>
          <w:szCs w:val="24"/>
        </w:rPr>
      </w:r>
      <w:r w:rsidR="005E4420">
        <w:rPr>
          <w:rFonts w:asciiTheme="majorHAnsi" w:hAnsiTheme="majorHAnsi" w:cstheme="majorHAnsi"/>
          <w:szCs w:val="24"/>
        </w:rPr>
      </w:r>
      <w:r w:rsidR="005E4420" w:rsidRPr="009B500E">
        <w:rPr>
          <w:rFonts w:asciiTheme="majorHAnsi" w:hAnsiTheme="majorHAnsi" w:cstheme="majorHAnsi"/>
          <w:szCs w:val="24"/>
        </w:rPr>
      </w:r>
      <w:r w:rsidRPr="009B500E">
        <w:rPr>
          <w:rFonts w:asciiTheme="majorHAnsi" w:hAnsiTheme="majorHAnsi" w:cstheme="majorHAnsi"/>
          <w:szCs w:val="24"/>
        </w:rPr>
      </w:r>
      <w:r w:rsidR="005E4420">
        <w:rPr>
          <w:rFonts w:asciiTheme="majorHAnsi" w:hAnsiTheme="majorHAnsi" w:cstheme="majorHAnsi"/>
          <w:szCs w:val="24"/>
        </w:rPr>
      </w:r>
      <w:r w:rsidRPr="009B500E">
        <w:rPr>
          <w:rFonts w:asciiTheme="majorHAnsi" w:hAnsiTheme="majorHAnsi" w:cstheme="majorHAnsi"/>
          <w:szCs w:val="24"/>
        </w:rPr>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r>
        <w:t>The platform was built in three stages — compile (Channels A–D), validate (Phase 2A–2G), and govern (Phase 3) — followed by the web application. Each stage is described in turn.</w:t>
      </w: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r>
        <w:t xml:space="preserve">The platform was built in three stages — compile (Channels A–D), validate (Phase 2A–2G), and govern (Phase 3) — followed by the web application. Each stage is described in turn.</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(Galluzzi et al., 2018, PMID:29362479) and extended through AI-curated definitions {Rodrigues de Souza, 2025 #782030;Rodrigues de Souza, 2026 #784804}. These 25 forms comprised 20 executioner entities, 2 trigger events, and 3 functional categories (Supplementary Table S1). </w:t>
      </w:r>
      <w:r w:rsidRPr="00E4335B">
        <w:rPr>
          <w:rFonts w:asciiTheme="majorHAnsi" w:hAnsiTheme="majorHAnsi" w:cstheme="majorHAnsi"/>
          <w:szCs w:val="24"/>
          <w:highlight w:val="magenta"/>
        </w:rPr>
      </w:r>
      <w:r w:rsidRPr="009B500E">
        <w:rPr>
          <w:rFonts w:asciiTheme="majorHAnsi" w:hAnsiTheme="majorHAnsi" w:cstheme="majorHAnsi"/>
          <w:szCs w:val="24"/>
        </w:rPr>
      </w:r>
      <w:r w:rsidRPr="00E4335B">
        <w:rPr>
          <w:rFonts w:asciiTheme="majorHAnsi" w:hAnsiTheme="majorHAnsi" w:cstheme="majorHAnsi"/>
          <w:color w:val="EE0000"/>
          <w:szCs w:val="24"/>
        </w:rPr>
      </w:r>
      <w:r w:rsidRPr="00E4335B">
        <w:rPr>
          <w:rFonts w:asciiTheme="majorHAnsi" w:hAnsiTheme="majorHAnsi" w:cstheme="majorHAnsi"/>
          <w:color w:val="EE0000"/>
          <w:szCs w:val="24"/>
          <w:highlight w:val="cyan"/>
        </w:rPr>
      </w:r>
      <w:r w:rsidRPr="00E4335B">
        <w:rPr>
          <w:rFonts w:asciiTheme="majorHAnsi" w:hAnsiTheme="majorHAnsi" w:cstheme="majorHAnsi"/>
          <w:color w:val="EE0000"/>
          <w:szCs w:val="24"/>
        </w:rPr>
      </w:r>
      <w:r w:rsidRPr="009B500E">
        <w:rPr>
          <w:rFonts w:asciiTheme="majorHAnsi" w:hAnsiTheme="majorHAnsi" w:cstheme="majorHAnsi"/>
          <w:szCs w:val="24"/>
        </w:rPr>
      </w:r>
      <w:r w:rsidRPr="009B500E">
        <w:rPr>
          <w:rFonts w:asciiTheme="majorHAnsi" w:hAnsiTheme="majorHAnsi" w:cstheme="majorHAnsi"/>
          <w:szCs w:val="24"/>
          <w:highlight w:val="yellow"/>
        </w:rPr>
      </w:r>
      <w:r w:rsidR="009B500E" w:rsidRPr="009B500E">
        <w:rPr>
          <w:rFonts w:asciiTheme="majorHAnsi" w:hAnsiTheme="majorHAnsi" w:cstheme="majorHAnsi"/>
          <w:szCs w:val="24"/>
        </w:rPr>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 RCD entity classification, gene–RCD association evidence, and pipeline quality gates — is summarized in Supplementary Figure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r>
        <w:t>Human review granularity. 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 the operational definition (prose), key molecules, inflammatory status, description of overlaps, category, and year of discovery; (ii) quantified ranking — the six criteria RS1–RS6 and the overall score S; and (iii) provenance —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 RS1 extent of research (25%), RS2 direct involvement (25%), RS3 impact on cell/tissue homeostasis (20%), RS4 emerging potential (15%), RS5 biological significance (10%), and RS6 pathophysiological relevance (5%) —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r>
        <w:t>Relationship to the NCCD “canonical” ontology. The 19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 cuproptosis, disulfidptosis, methuosis, oxeiptosis, paraptosis, alkaliptosis, NECSO, mitoxyperilysis, and triaptosis —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Every operational definition is anchored to a reference PMID: the NCCD verbatim definitions to Galluzzi et al. (PMID 29362479),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r>
        <w:rPr>
          <w:i/>
        </w:rPr>
      </w:r>
      <w:r/>
      <w:r>
        <w:rPr>
          <w:i/>
        </w:rPr>
      </w:r>
      <w:r/>
      <w:r>
        <w:rPr>
          <w:i/>
        </w:rPr>
      </w:r>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 in which the operational definitions of the five RCD forms not described by the NCCD were extracted by generative AI (GPT-4o, via the PDF Ai Drive tool, over a corpus of 6,603 free-access PDFs) and subsequently validated by manual review —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Inter-rater agreement between the drafted and human-reviewed RS1–RS6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r w:rsidR="00D16F02">
        <w:rPr>
          <w:rFonts w:asciiTheme="majorHAnsi" w:hAnsiTheme="majorHAnsi" w:cstheme="majorHAnsi"/>
          <w:szCs w:val="24"/>
        </w:rPr>
      </w:r>
      <w:r w:rsidRPr="009B500E">
        <w:rPr>
          <w:rFonts w:asciiTheme="majorHAnsi" w:hAnsiTheme="majorHAnsi" w:cstheme="majorHAnsi"/>
          <w:szCs w:val="24"/>
        </w:rPr>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(Figure 1).</w:t>
      </w:r>
      <w:r w:rsidR="00635000">
        <w:rPr>
          <w:rFonts w:asciiTheme="majorHAnsi" w:hAnsiTheme="majorHAnsi" w:cstheme="majorHAnsi"/>
          <w:szCs w:val="24"/>
        </w:rPr>
      </w:r>
      <w:r w:rsidRPr="009B500E">
        <w:rPr>
          <w:rFonts w:asciiTheme="majorHAnsi" w:hAnsiTheme="majorHAnsi" w:cstheme="majorHAnsi"/>
          <w:szCs w:val="24"/>
        </w:rPr>
      </w:r>
      <w:r w:rsidRPr="009B500E">
        <w:rPr>
          <w:rFonts w:asciiTheme="majorHAnsi" w:hAnsiTheme="majorHAnsi" w:cstheme="majorHAnsi"/>
          <w:szCs w:val="24"/>
          <w:highlight w:val="green"/>
        </w:rPr>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t>name exactly as recorded in each source database. A parallel rcd_form_canonical column was reserved for subsequent expert-governed unification of synonymous form names (e.g., "Entosis" to "Entotic cell death").</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t>RCD Form Vocabulary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 Floatptosis and Lysozincrosis as a cell-type program (L4) and a subtype (L2), respectively, and Metalloptosis as an umbrella term — completing the 53-entity vocabulary.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 whether a gene and an RCD entity are genuinely linked in the published record — which is automated and scalable across the three independent channels; and (ii) RCD modality status validation — whether an entity constitutes a bona fide human cell-death modality —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(ET1-ET4)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t>Independent Accuracy Assessment (Phase 2A/D)</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 </w:t>
      </w:r>
      <w:r w:rsidRPr="009B500E">
        <w:rPr>
          <w:rFonts w:asciiTheme="majorHAnsi" w:hAnsiTheme="majorHAnsi" w:cstheme="majorHAnsi"/>
          <w:szCs w:val="24"/>
        </w:rPr>
        <w:lastRenderedPageBreak/>
        <w:t>mechanistic (yes/no), role (executor/regulator/marker/uncertain), and direction (promotes/protects) —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t>Independent Accuracy Assessment (Phase 2B)</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pPr/>
      <w:r>
        <w:rPr>
          <w:b/>
        </w:rPr>
        <w:t>Phase 2C: Full-Text Europe PMC Recovery</w:t>
      </w: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Output and Traceability. 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r w:rsidRPr="009B500E">
        <w:rPr>
          <w:rFonts w:asciiTheme="majorHAnsi" w:hAnsiTheme="majorHAnsi" w:cstheme="majorHAnsi"/>
          <w:szCs w:val="24"/>
        </w:rPr>
      </w:r>
      <w:r w:rsidRPr="009B500E">
        <w:rPr>
          <w:rFonts w:asciiTheme="majorHAnsi" w:hAnsiTheme="majorHAnsi" w:cstheme="majorHAnsi"/>
          <w:szCs w:val="24"/>
        </w:rPr>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 PMID 34907160) 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hyperlink r:id="rId39">
        <w:r>
          <w:rPr>
            <w:rStyle w:val="Hyperlink"/>
          </w:rPr>
          <w:t>https://pcm2019.shinyapps.io/XDeathDB</w:t>
        </w:r>
      </w:hyperlink>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 the gene symbol followed only by “cell death” —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r w:rsidR="00495FA3">
        <w:rPr>
          <w:rFonts w:asciiTheme="majorHAnsi" w:hAnsiTheme="majorHAnsi" w:cstheme="majorHAnsi"/>
          <w:szCs w:val="24"/>
        </w:rPr>
      </w:r>
      <w:r w:rsidRPr="009B500E">
        <w:rPr>
          <w:rFonts w:asciiTheme="majorHAnsi" w:hAnsiTheme="majorHAnsi" w:cstheme="majorHAnsi"/>
          <w:szCs w:val="24"/>
        </w:rPr>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 RCD entities (all 53 RCD-related entities, with modal descriptions), Gene Catalog (the complete matrix with a Genes view, a Direction/Role source selector, a death-core preset, and a per-entity comparison), Network, and RCDchat (LLM literature consultation) —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t xml:space="preserve">The compendium contains 22,473 gene-RCD association rows spanning 9,265 unique HGNC-validated human gene symbols and 53 RCD-related entities (62 original RCD form name strings, consolidated through 11 synonym merges)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 a form formally excluded by the five-criteria admission framework (see Material and Methods) —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53 RCD-related entities, gene coverage is highly heterogeneous: the largest forms, Apoptosis (6,229 entries) and Autophagy (4,790),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r w:rsidRPr="009B500E">
        <w:rPr>
          <w:rFonts w:asciiTheme="majorHAnsi" w:hAnsiTheme="majorHAnsi" w:cstheme="majorHAnsi"/>
          <w:szCs w:val="24"/>
        </w:rPr>
      </w:r>
    </w:p>
    <w:p w14:paraId="7E8C93A2" w14:textId="77777777" w:rsidR="004C566E" w:rsidRPr="009B500E" w:rsidRDefault="004C566E" w:rsidP="009B500E">
      <w:pPr>
        <w:spacing w:after="0" w:line="240" w:lineRule="auto"/>
        <w:rPr>
          <w:rFonts w:asciiTheme="majorHAnsi" w:hAnsiTheme="majorHAnsi" w:cstheme="majorHAnsi"/>
          <w:b/>
          <w:szCs w:val="24"/>
        </w:rPr>
      </w:pPr>
    </w:p>
    <w:p>
      <w:r>
        <w:t>Read at the level of mechanism, the compendium reveals a remarkably small execution core: only 469 gene-RCD pairs (4.7% of the mechanistically-involved set) are executors — genes that directly pore, cleave, or permeabilize to kill the cell — while 9,489 pairs (94.7%) are regulators that promote or inhibit death without executing it (Figure 3A). Regulated cell death, therefore, is not a collection of lethal machines but a vast regulatory network built around a small core of executioners.</w:t>
      </w: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 of which five (cuproptosis, disulfidptosis, erebosis, alkaliptosis, and oxeiptosis) were not described by the NCCD and had been AI-extracted from a 6,603-PDF corpus and human-validated —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 the pre- and post-adjudication levels and the Q1–Q13 evidence trail under the BG0–BG6 hard gates —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RS1–RS6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 using PMC full text where available and Consensus full-text-derived takeaways otherwise —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Four of the de novo drafts — lysoptosis, PANoptosis, regulated necrosis, and triaptosis —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r>
        <w:rPr>
          <w:i/>
        </w:rPr>
      </w:r>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 ; CONTEXT_GAP, 6,170 pairs (27.5%), PubMed confirms but LLM training does not recognize ; CO_OCCURRENCE, 2,416 pairs (10.8%), high paper counts but no mechanistic evidence ; INSUFFICIENT_DATA, 8,863 pairs (39.4%), few papers; LLM cannot determine involvement ; DATABASE_ONLY, 442 pairs (2.0%), gene and RCD term never co-occur in PubMed ; TECHNICAL_FAILURE, 0 pairs (0%), no API failures in the final run</w:t>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 265 regulators (155 pro-survival, 110 pro-death) and 16 executors —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r w:rsidRPr="009B500E">
        <w:rPr>
          <w:rFonts w:asciiTheme="majorHAnsi" w:hAnsiTheme="majorHAnsi" w:cstheme="majorHAnsi"/>
          <w:bCs/>
          <w:szCs w:val="24"/>
        </w:rPr>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r w:rsidRPr="009B500E">
        <w:rPr>
          <w:rFonts w:asciiTheme="majorHAnsi" w:hAnsiTheme="majorHAnsi" w:cstheme="majorHAnsi"/>
          <w:szCs w:val="24"/>
        </w:rPr>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 evaluation and benchmarking, detection and mitigation, human oversight and accountability, transparency and explainability, and ethics and regulation —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 genes that directly execute the death pathway —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 53 entity nodes colored by ontological level (L1 gold through L5 orange) along the rim, with a gene constellation beneath —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 L1 modalities (19, gold), L2 subtypes (7, blue), L3 triggers (2, green), L4 Functional/contextual (13, purple), and L5 Generic/umbrella/taxon (12, orange) —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 gene, biotype, RCD entity, cancer gene, confidence tier, mechanistic, role, direction, and source databases —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 Compendium Browser, Gene-Centric Explorer, Pathway Diagrams, Literature Consultation, Definition Comparator, Discovery Timeline, and Integration Toolkit —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lastRenderedPageBreak/>
        <w:t>NCBI Gene keyword-only associations following a spot audit that revealed zero overlap with known RCD executioner and regulator genes —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 53 RCD-related entities consolidated from 62 original name strings —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entries.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 62 original name strings across 20 resources —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 the bona fide death forms —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 5,070 promoters versus 4,755 protectors (across all role-resolved associations) —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genes) and Autophagy (4,634) to Pyronecrosis (1 gene) (Figure 4). Where a subtype carries more genes than its parent — Autosis (1,105 genes) against Autophagy-dependent cell death (110) —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 DeepSeek (the chain-of-thought full-matrix classification) and Elicit (the original AI-assisted extraction) —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 what counts as a modality, subtype, trigger, or umbrella —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verifiable paper trail in the indexed literature, and 86.3% of validated rows are not mechanistically confirmed — limits of the published record itself rather than of the platform.</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 the gene symbol followed only by “cell death” —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r w:rsidRPr="002E2E0A">
        <w:rPr>
          <w:rFonts w:asciiTheme="majorHAnsi" w:hAnsiTheme="majorHAnsi" w:cstheme="majorHAnsi"/>
          <w:bCs/>
          <w:szCs w:val="24"/>
        </w:rPr>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 the gene symbol followed only by “cell death” —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genes) and Autophagy (4,634)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