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G0-G6 (whole-cell death, causal machinery, functional necessity/distinguishability, supportive phenotype, naming/provenance, replication/maturity, and species scope), which operationalize MC1-MC5 with G1 (machinery) and 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C3 ("impact on cancer progression" → "impact on cell/tissue homeostasis"), and C6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C1 = 4 whereas cuproptosis, 77 genes, is scored C1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G0-G6: G0 whole-cell death (irreversible), G1 identifiable causal machinery (obligatory), G2 functional necessity/distinguishability (obligatory), G3 supportive phenotype/trigger, G4 published name (necessary for traceability, not sufficient for mechanism), G5 independent replication (defines maturity), and G6 species scope. These gates operationalize the NCCD MC1-MC5 criteria (G1 ~ MC1 machinery; G2 ~ MC5 modulation; G3 ~ MC2/MC3 trigger and morphology; G4 ~ MC4 naming). Entities passing G1 and G2 were classified hard_gate_status = L1-ELIGIBLE (19/53); the remainder were NOT-L1 (subtypes, triggers, umbrellas, morphology, contextual, and taxon-specific programs). The multi-optosis RS1-RS6 scoring remains an orthogonal ranking metric, not an admission gate. Independent replication (G5)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(G1) and functional necessity/distinguishability (G2). RCDome therefore treats the NCCD list as a nomenclature baseline and re-screens it through the G0–G6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 xml:space="preserve">Every operational definition is anchored to a reference PMID: the NCCD verbatim definitions to Galluzzi </w:t>
      </w:r>
      <w:r>
        <w:rPr>
          <w:i/>
        </w:rPr>
        <w:t>et al.</w:t>
      </w:r>
      <w:r>
        <w:t xml:space="preserve"> (PMID 29362479), the multi-optosis definitions to their primary characterization PMIDs, and the </w:t>
      </w:r>
      <w:r>
        <w:rPr>
          <w:i/>
        </w:rPr>
        <w:t>de novo</w:t>
      </w:r>
      <w:r>
        <w:t xml:space="preserve"> definitions to their founding PMID. The 25 multi-optosis entities additionally carry their full primary and secondary evidence PMIDs from the multi-optosis reference table. Each </w:t>
      </w:r>
      <w:r>
        <w:rPr>
          <w:i/>
        </w:rPr>
        <w:t>de novo</w:t>
      </w:r>
      <w:r>
        <w:t xml:space="preserve">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C2 trigger or C3 morphology required by the NCCD logic were flagged criterion-pending, and umbrella categories were flagged umbrella-scope rather than as errors.</w:t>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(0.25·RS1 + 0.25·RS2 + 0.20·RS3 + 0.15·RS4 + 0.10·RS5 + 0.05·RS6) recomputed bitwise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7–10, CT2 = 4–6, CT3 = 2–3, CT4 = 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(T2 to 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G0–G6 hard-gate criteria for classification as bona fide RCD modalities. The 53 entities are organized into: 19 RCD modalities (bona fide cell death mechanisms with distinct molecular machinery, admitted through the G0-G6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w:t>
      </w:r>
      <w:r w:rsidRPr="009B500E">
        <w:rPr>
          <w:rFonts w:asciiTheme="majorHAnsi" w:hAnsiTheme="majorHAnsi" w:cstheme="majorHAnsi"/>
          <w:szCs w:val="24"/>
        </w:rPr>
        <w:lastRenderedPageBreak/>
        <w:t>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w:t>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G0–G6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 xml:space="preserve">Four of the </w:t>
      </w:r>
      <w:r>
        <w:rPr>
          <w:i/>
        </w:rPr>
        <w:t>de novo</w:t>
      </w:r>
      <w:r>
        <w:t xml:space="preserve"> drafts — lysoptosis, PANoptosis, regulated necrosis, and triaptosis — were flagged as criterion-pending because their founding articles describe the mechanism but not the C2 trigger and/or the 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(G0-G6;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S2).</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