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2"/>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2A/D)</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t>Independent Accuracy Assessment (Phase 2B)</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r>
        <w:t>Phase 2G is reported here out of numerical order because the Consensus channel was added during manuscript revision, after the Phase 3 benchmark; its placement reflects implementation order rather than pipeline order.</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t xml:space="preserve">The compendium contains 22,473 gene-RCD association rows spanning 9,265 unique HGNC-validated human gene symbols and 53 RCD-related entities (62 original RCD form name strings, consolidated through 11 synonym merges)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r>
        <w:t>Read at the level of mechanism, the compendium reveals a remarkably small execution core: only 469 gene-RCD pairs (4.7% of the mechanistically-involved set) are executors — genes that directly pore, cleave, or permeabilize to kill the cell — while 9,489 pairs (94.7%) are regulators that promote or inhibit death without executing it (Figure 3A). Regulated cell death, therefore, is not a collection of lethal machines but a vast regulatory network built around a small core of executioners.</w:t>
      </w: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 A, well-established; B, established; C, emerging; D, proposed).</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 Third,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Fourth, 442 DATABASE_ONLY pairs (2.0%) lack any verifiable paper trail in the indexed literature, and 86.3% of validated rows are not mechanistically confirmed — limits of the published record itself rather than of the platform.</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